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03" w:rsidRPr="002D14B8" w:rsidRDefault="002A1D03" w:rsidP="002A1D03">
      <w:pPr>
        <w:jc w:val="both"/>
        <w:rPr>
          <w:rFonts w:ascii="Arial" w:eastAsia="SimSun" w:hAnsi="Arial" w:cs="Arial"/>
          <w:b/>
          <w:bCs/>
          <w:color w:val="000000"/>
          <w:sz w:val="20"/>
          <w:lang w:val="bg-BG"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FB40C6" w:rsidTr="00DF42CC">
        <w:tc>
          <w:tcPr>
            <w:tcW w:w="9900" w:type="dxa"/>
            <w:shd w:val="clear" w:color="auto" w:fill="C0C0C0"/>
            <w:hideMark/>
          </w:tcPr>
          <w:p w:rsidR="00403CB9" w:rsidRPr="002D14B8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lang w:val="bg-BG"/>
              </w:rPr>
            </w:pPr>
            <w:r w:rsidRPr="002D14B8">
              <w:rPr>
                <w:rFonts w:ascii="Arial" w:hAnsi="Arial" w:cs="Arial"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2D14B8" w:rsidRDefault="00403CB9" w:rsidP="00DF42CC">
            <w:pPr>
              <w:jc w:val="both"/>
              <w:rPr>
                <w:rFonts w:ascii="Arial" w:hAnsi="Arial" w:cs="Arial"/>
                <w:sz w:val="20"/>
                <w:lang w:val="bg-BG"/>
              </w:rPr>
            </w:pPr>
          </w:p>
        </w:tc>
      </w:tr>
    </w:tbl>
    <w:p w:rsidR="00403CB9" w:rsidRPr="002D14B8" w:rsidRDefault="00403CB9" w:rsidP="0040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bg-BG"/>
        </w:rPr>
      </w:pPr>
    </w:p>
    <w:p w:rsidR="00C10849" w:rsidRPr="00C13817" w:rsidRDefault="00FB40C6" w:rsidP="00C10849">
      <w:pPr>
        <w:contextualSpacing/>
        <w:jc w:val="both"/>
        <w:rPr>
          <w:rStyle w:val="Hyperlink"/>
          <w:rFonts w:ascii="Arial" w:hAnsi="Arial" w:cs="Arial"/>
          <w:color w:val="auto"/>
          <w:sz w:val="20"/>
          <w:lang w:val="bg-BG"/>
        </w:rPr>
      </w:pPr>
      <w:r w:rsidRPr="00FB40C6">
        <w:rPr>
          <w:rStyle w:val="longtext"/>
          <w:rFonts w:ascii="Arial" w:hAnsi="Arial" w:cs="Arial"/>
          <w:b/>
          <w:sz w:val="20"/>
          <w:lang w:val="bg-BG"/>
        </w:rPr>
        <w:t>1</w:t>
      </w:r>
      <w:r w:rsidR="00C10849" w:rsidRPr="002D14B8">
        <w:rPr>
          <w:rStyle w:val="longtext"/>
          <w:rFonts w:ascii="Arial" w:hAnsi="Arial" w:cs="Arial"/>
          <w:b/>
          <w:sz w:val="20"/>
          <w:lang w:val="bg-BG"/>
        </w:rPr>
        <w:t xml:space="preserve">. Министрите </w:t>
      </w:r>
      <w:r w:rsidR="00F86FEB" w:rsidRPr="002D14B8">
        <w:rPr>
          <w:rStyle w:val="longtext"/>
          <w:rFonts w:ascii="Arial" w:hAnsi="Arial" w:cs="Arial"/>
          <w:b/>
          <w:sz w:val="20"/>
          <w:lang w:val="bg-BG"/>
        </w:rPr>
        <w:t>на</w:t>
      </w:r>
      <w:r w:rsidR="00C10849" w:rsidRPr="002D14B8">
        <w:rPr>
          <w:rStyle w:val="longtext"/>
          <w:rFonts w:ascii="Arial" w:hAnsi="Arial" w:cs="Arial"/>
          <w:b/>
          <w:sz w:val="20"/>
          <w:lang w:val="bg-BG"/>
        </w:rPr>
        <w:t xml:space="preserve"> земеделие</w:t>
      </w:r>
      <w:r w:rsidR="00F86FEB" w:rsidRPr="002D14B8">
        <w:rPr>
          <w:rStyle w:val="longtext"/>
          <w:rFonts w:ascii="Arial" w:hAnsi="Arial" w:cs="Arial"/>
          <w:b/>
          <w:sz w:val="20"/>
          <w:lang w:val="bg-BG"/>
        </w:rPr>
        <w:t>то</w:t>
      </w:r>
      <w:r w:rsidR="00C10849" w:rsidRPr="002D14B8">
        <w:rPr>
          <w:rStyle w:val="longtext"/>
          <w:rFonts w:ascii="Arial" w:hAnsi="Arial" w:cs="Arial"/>
          <w:b/>
          <w:sz w:val="20"/>
          <w:lang w:val="bg-BG"/>
        </w:rPr>
        <w:t xml:space="preserve"> в ЕС считат, че е необходимо да се свърши още работа преди да се формулира обща позиция на </w:t>
      </w:r>
      <w:r w:rsidR="00F86FEB" w:rsidRPr="002D14B8">
        <w:rPr>
          <w:rStyle w:val="longtext"/>
          <w:rFonts w:ascii="Arial" w:hAnsi="Arial" w:cs="Arial"/>
          <w:b/>
          <w:sz w:val="20"/>
          <w:lang w:val="bg-BG"/>
        </w:rPr>
        <w:t>държавите членки</w:t>
      </w:r>
      <w:r w:rsidR="00C10849" w:rsidRPr="002D14B8">
        <w:rPr>
          <w:rStyle w:val="longtext"/>
          <w:rFonts w:ascii="Arial" w:hAnsi="Arial" w:cs="Arial"/>
          <w:b/>
          <w:sz w:val="20"/>
          <w:lang w:val="bg-BG"/>
        </w:rPr>
        <w:t xml:space="preserve"> за реформата на ОСП след 2020 год.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Това е позицията, която </w:t>
      </w:r>
      <w:r w:rsidR="00F86FEB" w:rsidRPr="002D14B8">
        <w:rPr>
          <w:rStyle w:val="longtext"/>
          <w:rFonts w:ascii="Arial" w:hAnsi="Arial" w:cs="Arial"/>
          <w:sz w:val="20"/>
          <w:lang w:val="bg-BG"/>
        </w:rPr>
        <w:t>те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из</w:t>
      </w:r>
      <w:r w:rsidR="00F86FEB" w:rsidRPr="002D14B8">
        <w:rPr>
          <w:rStyle w:val="longtext"/>
          <w:rFonts w:ascii="Arial" w:hAnsi="Arial" w:cs="Arial"/>
          <w:sz w:val="20"/>
          <w:lang w:val="bg-BG"/>
        </w:rPr>
        <w:t>разиха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по време на Съвета по селско стопанство и рибарство, проведен на 18 юни в гр. Лю</w:t>
      </w:r>
      <w:r w:rsidR="00FB20B1" w:rsidRPr="002D14B8">
        <w:rPr>
          <w:rStyle w:val="longtext"/>
          <w:rFonts w:ascii="Arial" w:hAnsi="Arial" w:cs="Arial"/>
          <w:sz w:val="20"/>
          <w:lang w:val="bg-BG"/>
        </w:rPr>
        <w:t xml:space="preserve">ксембург. </w:t>
      </w:r>
      <w:r w:rsidR="00F710E0" w:rsidRPr="002D14B8">
        <w:rPr>
          <w:rStyle w:val="longtext"/>
          <w:rFonts w:ascii="Arial" w:hAnsi="Arial" w:cs="Arial"/>
          <w:sz w:val="20"/>
          <w:lang w:val="bg-BG"/>
        </w:rPr>
        <w:t>Н</w:t>
      </w:r>
      <w:r w:rsidR="00FB20B1" w:rsidRPr="002D14B8">
        <w:rPr>
          <w:rStyle w:val="longtext"/>
          <w:rFonts w:ascii="Arial" w:hAnsi="Arial" w:cs="Arial"/>
          <w:sz w:val="20"/>
          <w:lang w:val="bg-BG"/>
        </w:rPr>
        <w:t>а срещата р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умънското председателство на Съвета на ЕС представи доклад относно състоянието на преговорите 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>по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трите основни регламента, които имат отношение към новата ОСП (регламент за стратегическите планове, регламент за обща организация на пазарите и хоризонтален регламент). Комисар </w:t>
      </w:r>
      <w:proofErr w:type="spellStart"/>
      <w:r w:rsidR="00C10849" w:rsidRPr="002D14B8">
        <w:rPr>
          <w:rStyle w:val="longtext"/>
          <w:rFonts w:ascii="Arial" w:hAnsi="Arial" w:cs="Arial"/>
          <w:sz w:val="20"/>
          <w:lang w:val="bg-BG"/>
        </w:rPr>
        <w:t>Фил</w:t>
      </w:r>
      <w:proofErr w:type="spellEnd"/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C10849" w:rsidRPr="002D14B8">
        <w:rPr>
          <w:rStyle w:val="longtext"/>
          <w:rFonts w:ascii="Arial" w:hAnsi="Arial" w:cs="Arial"/>
          <w:sz w:val="20"/>
          <w:lang w:val="bg-BG"/>
        </w:rPr>
        <w:t>Хоган</w:t>
      </w:r>
      <w:proofErr w:type="spellEnd"/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предупреди категорично, че Комисията няма да приеме намаляване на амбицията за подобряване на околната среда за новата ОСП, като заяви, че „това не подлежи на преговори“. Комисар </w:t>
      </w:r>
      <w:proofErr w:type="spellStart"/>
      <w:r w:rsidR="00C10849" w:rsidRPr="002D14B8">
        <w:rPr>
          <w:rStyle w:val="longtext"/>
          <w:rFonts w:ascii="Arial" w:hAnsi="Arial" w:cs="Arial"/>
          <w:sz w:val="20"/>
          <w:lang w:val="bg-BG"/>
        </w:rPr>
        <w:t>Хоган</w:t>
      </w:r>
      <w:proofErr w:type="spellEnd"/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изказа съжаление, че са премахнати някои определени разпоредби за предварителната условност, като </w:t>
      </w:r>
      <w:r w:rsidR="00F710E0" w:rsidRPr="002D14B8">
        <w:rPr>
          <w:rStyle w:val="longtext"/>
          <w:rFonts w:ascii="Arial" w:hAnsi="Arial" w:cs="Arial"/>
          <w:sz w:val="20"/>
          <w:lang w:val="bg-BG"/>
        </w:rPr>
        <w:t>изтъкна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>, че новият модел на прилагане предлага достатъчна гъвкавост на държавите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членки. 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>Някои делегации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подкрепи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>ха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предложението на Комисията по отношение на „зелената архитектура“, както и </w:t>
      </w:r>
      <w:r w:rsidR="00015A7C" w:rsidRPr="002D14B8">
        <w:rPr>
          <w:rStyle w:val="longtext"/>
          <w:rFonts w:ascii="Arial" w:hAnsi="Arial" w:cs="Arial"/>
          <w:sz w:val="20"/>
          <w:lang w:val="bg-BG"/>
        </w:rPr>
        <w:t>задължителното за държавите членки прилагане на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C10849" w:rsidRPr="002D14B8">
        <w:rPr>
          <w:rStyle w:val="longtext"/>
          <w:rFonts w:ascii="Arial" w:hAnsi="Arial" w:cs="Arial"/>
          <w:sz w:val="20"/>
          <w:lang w:val="bg-BG"/>
        </w:rPr>
        <w:t>еко-схеми</w:t>
      </w:r>
      <w:proofErr w:type="spellEnd"/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по Стълб 1. 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 xml:space="preserve">Други делегации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>приветства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>ха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предложенията на румънското председателство за опростяване на правилата за „зелената архитектура“ и предварител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>н</w:t>
      </w:r>
      <w:r w:rsidR="004633FE" w:rsidRPr="002D14B8">
        <w:rPr>
          <w:rStyle w:val="longtext"/>
          <w:rFonts w:ascii="Arial" w:hAnsi="Arial" w:cs="Arial"/>
          <w:sz w:val="20"/>
          <w:lang w:val="bg-BG"/>
        </w:rPr>
        <w:t>ата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 xml:space="preserve"> услов</w:t>
      </w:r>
      <w:r w:rsidR="004633FE" w:rsidRPr="002D14B8">
        <w:rPr>
          <w:rStyle w:val="longtext"/>
          <w:rFonts w:ascii="Arial" w:hAnsi="Arial" w:cs="Arial"/>
          <w:sz w:val="20"/>
          <w:lang w:val="bg-BG"/>
        </w:rPr>
        <w:t>ност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 xml:space="preserve"> за околната среда</w:t>
      </w:r>
      <w:r w:rsidR="00EB4872" w:rsidRPr="002D14B8">
        <w:rPr>
          <w:rStyle w:val="longtext"/>
          <w:rFonts w:ascii="Arial" w:hAnsi="Arial" w:cs="Arial"/>
          <w:sz w:val="20"/>
          <w:lang w:val="bg-BG"/>
        </w:rPr>
        <w:t xml:space="preserve">, като 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 xml:space="preserve">подкрепиха доброволното прилагане на </w:t>
      </w:r>
      <w:proofErr w:type="spellStart"/>
      <w:r w:rsidR="00C10849" w:rsidRPr="002D14B8">
        <w:rPr>
          <w:rStyle w:val="longtext"/>
          <w:rFonts w:ascii="Arial" w:hAnsi="Arial" w:cs="Arial"/>
          <w:sz w:val="20"/>
          <w:lang w:val="bg-BG"/>
        </w:rPr>
        <w:t>еко-схемите</w:t>
      </w:r>
      <w:proofErr w:type="spellEnd"/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 xml:space="preserve">от държавите членки по </w:t>
      </w:r>
      <w:r w:rsidR="00EB4872" w:rsidRPr="002D14B8">
        <w:rPr>
          <w:rStyle w:val="longtext"/>
          <w:rFonts w:ascii="Arial" w:hAnsi="Arial" w:cs="Arial"/>
          <w:sz w:val="20"/>
          <w:lang w:val="bg-BG"/>
        </w:rPr>
        <w:t>Стълб 1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. Министрите </w:t>
      </w:r>
      <w:r w:rsidR="0070495A" w:rsidRPr="002D14B8">
        <w:rPr>
          <w:rStyle w:val="longtext"/>
          <w:rFonts w:ascii="Arial" w:hAnsi="Arial" w:cs="Arial"/>
          <w:sz w:val="20"/>
          <w:lang w:val="bg-BG"/>
        </w:rPr>
        <w:t xml:space="preserve">от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няколко държави-членки припомниха, че трябва да 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 xml:space="preserve">се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знаят резултатите от преговорите по Многогодишната финансова рамка за периода 2021-2027 год., преди да се формулира окончателна позиция за ОСП след 2020 год. Повечето 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делегации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приветстваха постигнатия напредък в преговорите за новата ОСП, като подчертаха, че по няколко важни теми разговорите трябва да продължат, като изравняване на директните плащания, „таваните“ на плащанията и предварителните екологични условия. </w:t>
      </w:r>
      <w:r w:rsidR="00FB20B1" w:rsidRPr="002D14B8">
        <w:rPr>
          <w:rStyle w:val="longtext"/>
          <w:rFonts w:ascii="Arial" w:hAnsi="Arial" w:cs="Arial"/>
          <w:sz w:val="20"/>
          <w:lang w:val="bg-BG"/>
        </w:rPr>
        <w:t>Някои делегации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не сподел</w:t>
      </w:r>
      <w:r w:rsidR="00FB20B1" w:rsidRPr="002D14B8">
        <w:rPr>
          <w:rStyle w:val="longtext"/>
          <w:rFonts w:ascii="Arial" w:hAnsi="Arial" w:cs="Arial"/>
          <w:sz w:val="20"/>
          <w:lang w:val="bg-BG"/>
        </w:rPr>
        <w:t>иха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позицията на румънското председателство, че са „стабилни“ текстовете по регламента за общата организация на пазарите и хоризонталния регламент, </w:t>
      </w:r>
      <w:r w:rsidR="002B562C" w:rsidRPr="002D14B8">
        <w:rPr>
          <w:rStyle w:val="longtext"/>
          <w:rFonts w:ascii="Arial" w:hAnsi="Arial" w:cs="Arial"/>
          <w:sz w:val="20"/>
          <w:lang w:val="bg-BG"/>
        </w:rPr>
        <w:t>тъй като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CA58F1" w:rsidRPr="002D14B8">
        <w:rPr>
          <w:rStyle w:val="longtext"/>
          <w:rFonts w:ascii="Arial" w:hAnsi="Arial" w:cs="Arial"/>
          <w:sz w:val="20"/>
          <w:lang w:val="bg-BG"/>
        </w:rPr>
        <w:t xml:space="preserve">такава формулировка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изглежда като 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„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почти постигнато споразумение </w:t>
      </w:r>
      <w:r w:rsidR="002B562C" w:rsidRPr="002D14B8">
        <w:rPr>
          <w:rStyle w:val="longtext"/>
          <w:rFonts w:ascii="Arial" w:hAnsi="Arial" w:cs="Arial"/>
          <w:sz w:val="20"/>
          <w:lang w:val="bg-BG"/>
        </w:rPr>
        <w:t>по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текстовете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“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. </w:t>
      </w:r>
      <w:r w:rsidR="004A545E" w:rsidRPr="002D14B8">
        <w:rPr>
          <w:rStyle w:val="longtext"/>
          <w:rFonts w:ascii="Arial" w:hAnsi="Arial" w:cs="Arial"/>
          <w:sz w:val="20"/>
          <w:lang w:val="bg-BG"/>
        </w:rPr>
        <w:t xml:space="preserve">Изразено беше мнение, че е необходимо </w:t>
      </w:r>
      <w:r w:rsidR="00F900DD" w:rsidRPr="002D14B8">
        <w:rPr>
          <w:rStyle w:val="longtext"/>
          <w:rFonts w:ascii="Arial" w:hAnsi="Arial" w:cs="Arial"/>
          <w:sz w:val="20"/>
          <w:lang w:val="bg-BG"/>
        </w:rPr>
        <w:t xml:space="preserve">да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продължи </w:t>
      </w:r>
      <w:r w:rsidR="004A545E" w:rsidRPr="002D14B8">
        <w:rPr>
          <w:rStyle w:val="longtext"/>
          <w:rFonts w:ascii="Arial" w:hAnsi="Arial" w:cs="Arial"/>
          <w:sz w:val="20"/>
          <w:lang w:val="bg-BG"/>
        </w:rPr>
        <w:t>дискусията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по отношение на </w:t>
      </w:r>
      <w:r w:rsidR="004A545E" w:rsidRPr="002D14B8">
        <w:rPr>
          <w:rStyle w:val="longtext"/>
          <w:rFonts w:ascii="Arial" w:hAnsi="Arial" w:cs="Arial"/>
          <w:sz w:val="20"/>
          <w:lang w:val="bg-BG"/>
        </w:rPr>
        <w:t>дефиницията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за „истински фермер“, </w:t>
      </w:r>
      <w:r w:rsidR="00F900DD" w:rsidRPr="002D14B8">
        <w:rPr>
          <w:rStyle w:val="longtext"/>
          <w:rFonts w:ascii="Arial" w:hAnsi="Arial" w:cs="Arial"/>
          <w:sz w:val="20"/>
          <w:lang w:val="bg-BG"/>
        </w:rPr>
        <w:t xml:space="preserve">по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>„зелената архитектура“</w:t>
      </w:r>
      <w:r w:rsidR="00F900DD" w:rsidRPr="002D14B8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и </w:t>
      </w:r>
      <w:r w:rsidR="004A545E" w:rsidRPr="002D14B8">
        <w:rPr>
          <w:rStyle w:val="longtext"/>
          <w:rFonts w:ascii="Arial" w:hAnsi="Arial" w:cs="Arial"/>
          <w:sz w:val="20"/>
          <w:lang w:val="bg-BG"/>
        </w:rPr>
        <w:t>предварителн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ата</w:t>
      </w:r>
      <w:r w:rsidR="004A545E" w:rsidRPr="002D14B8">
        <w:rPr>
          <w:rStyle w:val="longtext"/>
          <w:rFonts w:ascii="Arial" w:hAnsi="Arial" w:cs="Arial"/>
          <w:sz w:val="20"/>
          <w:lang w:val="bg-BG"/>
        </w:rPr>
        <w:t xml:space="preserve"> услов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ност. Част от делегациите</w:t>
      </w:r>
      <w:r w:rsidR="00F900DD" w:rsidRPr="002D14B8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подкрепиха предварителната условност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да се спазва от всички фермери, включително </w:t>
      </w:r>
      <w:r w:rsidR="00F900DD" w:rsidRPr="002D14B8">
        <w:rPr>
          <w:rStyle w:val="longtext"/>
          <w:rFonts w:ascii="Arial" w:hAnsi="Arial" w:cs="Arial"/>
          <w:sz w:val="20"/>
          <w:lang w:val="bg-BG"/>
        </w:rPr>
        <w:t xml:space="preserve">и от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>дребните фермери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. Някои</w:t>
      </w:r>
      <w:r w:rsidR="00F900DD" w:rsidRPr="002D14B8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държави-членки</w:t>
      </w:r>
      <w:r w:rsidR="00F900DD" w:rsidRPr="002D14B8">
        <w:rPr>
          <w:rStyle w:val="longtext"/>
          <w:rFonts w:ascii="Arial" w:hAnsi="Arial" w:cs="Arial"/>
          <w:sz w:val="20"/>
          <w:lang w:val="bg-BG"/>
        </w:rPr>
        <w:t xml:space="preserve"> заявиха, че е н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>еизбежно да не се прилага преходен период</w:t>
      </w:r>
      <w:r w:rsidR="00F900DD" w:rsidRPr="002D14B8">
        <w:rPr>
          <w:rStyle w:val="longtext"/>
          <w:rFonts w:ascii="Arial" w:hAnsi="Arial" w:cs="Arial"/>
          <w:sz w:val="20"/>
          <w:lang w:val="bg-BG"/>
        </w:rPr>
        <w:t xml:space="preserve"> и изразиха мнение, че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>правила</w:t>
      </w:r>
      <w:r w:rsidR="00F900DD" w:rsidRPr="002D14B8">
        <w:rPr>
          <w:rStyle w:val="longtext"/>
          <w:rFonts w:ascii="Arial" w:hAnsi="Arial" w:cs="Arial"/>
          <w:sz w:val="20"/>
          <w:lang w:val="bg-BG"/>
        </w:rPr>
        <w:t>та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за преходн</w:t>
      </w:r>
      <w:r w:rsidR="00F900DD" w:rsidRPr="002D14B8">
        <w:rPr>
          <w:rStyle w:val="longtext"/>
          <w:rFonts w:ascii="Arial" w:hAnsi="Arial" w:cs="Arial"/>
          <w:sz w:val="20"/>
          <w:lang w:val="bg-BG"/>
        </w:rPr>
        <w:t>ия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период трябва да бъдат обсъдени „възможно най-бързо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“</w:t>
      </w:r>
      <w:r w:rsidR="00437F62" w:rsidRPr="002D14B8">
        <w:rPr>
          <w:rStyle w:val="longtext"/>
          <w:rFonts w:ascii="Arial" w:hAnsi="Arial" w:cs="Arial"/>
          <w:sz w:val="20"/>
          <w:lang w:val="bg-BG"/>
        </w:rPr>
        <w:t xml:space="preserve">. Някои 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делегации се изказаха в подкрепа на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запазване </w:t>
      </w:r>
      <w:r w:rsidR="00437F62" w:rsidRPr="002D14B8">
        <w:rPr>
          <w:rStyle w:val="longtext"/>
          <w:rFonts w:ascii="Arial" w:hAnsi="Arial" w:cs="Arial"/>
          <w:sz w:val="20"/>
          <w:lang w:val="bg-BG"/>
        </w:rPr>
        <w:t xml:space="preserve">на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размера на бюджета на ОСП след 2020 год. за „ЕС с 27 държави-членки“. </w:t>
      </w:r>
      <w:r w:rsidR="00437F62" w:rsidRPr="002D14B8">
        <w:rPr>
          <w:rStyle w:val="longtext"/>
          <w:rFonts w:ascii="Arial" w:hAnsi="Arial" w:cs="Arial"/>
          <w:sz w:val="20"/>
          <w:lang w:val="bg-BG"/>
        </w:rPr>
        <w:t xml:space="preserve">Една част от </w:t>
      </w:r>
      <w:r w:rsidR="001646A1" w:rsidRPr="002D14B8">
        <w:rPr>
          <w:rStyle w:val="longtext"/>
          <w:rFonts w:ascii="Arial" w:hAnsi="Arial" w:cs="Arial"/>
          <w:sz w:val="20"/>
          <w:lang w:val="bg-BG"/>
        </w:rPr>
        <w:t>министрите</w:t>
      </w:r>
      <w:r w:rsidR="00437F62" w:rsidRPr="002D14B8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>призова</w:t>
      </w:r>
      <w:r w:rsidR="00437F62" w:rsidRPr="002D14B8">
        <w:rPr>
          <w:rStyle w:val="longtext"/>
          <w:rFonts w:ascii="Arial" w:hAnsi="Arial" w:cs="Arial"/>
          <w:sz w:val="20"/>
          <w:lang w:val="bg-BG"/>
        </w:rPr>
        <w:t>ха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за </w:t>
      </w:r>
      <w:r w:rsidR="00437F62" w:rsidRPr="002D14B8">
        <w:rPr>
          <w:rStyle w:val="longtext"/>
          <w:rFonts w:ascii="Arial" w:hAnsi="Arial" w:cs="Arial"/>
          <w:sz w:val="20"/>
          <w:lang w:val="bg-BG"/>
        </w:rPr>
        <w:t>увеличение на бюджета за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обвързана подкрепа, като в същото време </w:t>
      </w:r>
      <w:r w:rsidR="00437F62" w:rsidRPr="002D14B8">
        <w:rPr>
          <w:rStyle w:val="longtext"/>
          <w:rFonts w:ascii="Arial" w:hAnsi="Arial" w:cs="Arial"/>
          <w:sz w:val="20"/>
          <w:lang w:val="bg-BG"/>
        </w:rPr>
        <w:t>други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силно критикува</w:t>
      </w:r>
      <w:r w:rsidR="00437F62" w:rsidRPr="002D14B8">
        <w:rPr>
          <w:rStyle w:val="longtext"/>
          <w:rFonts w:ascii="Arial" w:hAnsi="Arial" w:cs="Arial"/>
          <w:sz w:val="20"/>
          <w:lang w:val="bg-BG"/>
        </w:rPr>
        <w:t>ха</w:t>
      </w:r>
      <w:r w:rsidR="00C10849" w:rsidRPr="002D14B8">
        <w:rPr>
          <w:rStyle w:val="longtext"/>
          <w:rFonts w:ascii="Arial" w:hAnsi="Arial" w:cs="Arial"/>
          <w:sz w:val="20"/>
          <w:lang w:val="bg-BG"/>
        </w:rPr>
        <w:t xml:space="preserve"> този тип подпомагане, който според тях предизвиква нарушение на конкуренцията на пазара.</w:t>
      </w:r>
      <w:r w:rsidR="00E25064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България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подчерта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някои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основните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си 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приоритети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в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продължаващите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дискусии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относно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завишена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та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обвързана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подкрепа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запазване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преходната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национална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помощ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изключването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дребните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земеделски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производители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условността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за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получаване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директни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плащания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,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както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и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доброволно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прилагане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на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proofErr w:type="spellStart"/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еко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>-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схемите</w:t>
      </w:r>
      <w:proofErr w:type="spellEnd"/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от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 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държавите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>-</w:t>
      </w:r>
      <w:r w:rsidR="00E25064" w:rsidRPr="00C13817">
        <w:rPr>
          <w:rStyle w:val="longtext"/>
          <w:rFonts w:ascii="Arial" w:hAnsi="Arial" w:cs="Arial" w:hint="eastAsia"/>
          <w:sz w:val="20"/>
          <w:lang w:val="bg-BG"/>
        </w:rPr>
        <w:t>членки</w:t>
      </w:r>
      <w:r w:rsidR="00E25064" w:rsidRPr="00C13817">
        <w:rPr>
          <w:rStyle w:val="longtext"/>
          <w:rFonts w:ascii="Arial" w:hAnsi="Arial" w:cs="Arial"/>
          <w:sz w:val="20"/>
          <w:lang w:val="bg-BG"/>
        </w:rPr>
        <w:t xml:space="preserve">.  </w:t>
      </w:r>
    </w:p>
    <w:p w:rsidR="00C10849" w:rsidRPr="002D14B8" w:rsidRDefault="00C10849" w:rsidP="00403C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0"/>
          <w:lang w:val="bg-BG"/>
        </w:rPr>
      </w:pPr>
    </w:p>
    <w:p w:rsidR="005F7457" w:rsidRPr="002D14B8" w:rsidRDefault="00FB40C6" w:rsidP="005F7457">
      <w:pPr>
        <w:contextualSpacing/>
        <w:jc w:val="both"/>
        <w:rPr>
          <w:rStyle w:val="longtext"/>
          <w:rFonts w:ascii="Arial" w:hAnsi="Arial" w:cs="Arial"/>
          <w:sz w:val="20"/>
          <w:lang w:val="bg-BG"/>
        </w:rPr>
      </w:pPr>
      <w:r w:rsidRPr="00FB40C6">
        <w:rPr>
          <w:rStyle w:val="longtext"/>
          <w:rFonts w:ascii="Arial" w:hAnsi="Arial" w:cs="Arial"/>
          <w:b/>
          <w:sz w:val="20"/>
          <w:lang w:val="bg-BG"/>
        </w:rPr>
        <w:t>2</w:t>
      </w:r>
      <w:r w:rsidR="00543B2B" w:rsidRPr="002D14B8">
        <w:rPr>
          <w:rStyle w:val="longtext"/>
          <w:rFonts w:ascii="Arial" w:hAnsi="Arial" w:cs="Arial"/>
          <w:b/>
          <w:sz w:val="20"/>
          <w:lang w:val="bg-BG"/>
        </w:rPr>
        <w:t xml:space="preserve">. </w:t>
      </w:r>
      <w:r w:rsidR="006F3640" w:rsidRPr="002D14B8">
        <w:rPr>
          <w:rStyle w:val="longtext"/>
          <w:rFonts w:ascii="Arial" w:hAnsi="Arial" w:cs="Arial"/>
          <w:b/>
          <w:sz w:val="20"/>
          <w:lang w:val="bg-BG"/>
        </w:rPr>
        <w:t xml:space="preserve">Конгрес на тема „Зелената архитектура“ на ОСП след 2020 г. се проведе в Испания в периода 29-31 май 2019 г. </w:t>
      </w:r>
      <w:r w:rsidR="006F3640" w:rsidRPr="002D14B8">
        <w:rPr>
          <w:rStyle w:val="longtext"/>
          <w:rFonts w:ascii="Arial" w:hAnsi="Arial" w:cs="Arial"/>
          <w:sz w:val="20"/>
          <w:lang w:val="bg-BG"/>
        </w:rPr>
        <w:t xml:space="preserve">Основен фокус по време на събитието беше поставен върху бъдещите </w:t>
      </w:r>
      <w:proofErr w:type="spellStart"/>
      <w:r w:rsidR="006F3640" w:rsidRPr="002D14B8">
        <w:rPr>
          <w:rStyle w:val="longtext"/>
          <w:rFonts w:ascii="Arial" w:hAnsi="Arial" w:cs="Arial"/>
          <w:sz w:val="20"/>
          <w:lang w:val="bg-BG"/>
        </w:rPr>
        <w:t>еко-схеми</w:t>
      </w:r>
      <w:proofErr w:type="spellEnd"/>
      <w:r w:rsidR="006F3640" w:rsidRPr="002D14B8">
        <w:rPr>
          <w:rStyle w:val="longtext"/>
          <w:rFonts w:ascii="Arial" w:hAnsi="Arial" w:cs="Arial"/>
          <w:sz w:val="20"/>
          <w:lang w:val="bg-BG"/>
        </w:rPr>
        <w:t xml:space="preserve"> в ОСП в следващия период. По време на заседанието на Съвета на министрите на ЕС по земеделие и рибарство на 18 юни 2019 г.</w:t>
      </w:r>
      <w:r w:rsidR="00520162" w:rsidRPr="002D14B8">
        <w:rPr>
          <w:rStyle w:val="longtext"/>
          <w:rFonts w:ascii="Arial" w:hAnsi="Arial" w:cs="Arial"/>
          <w:sz w:val="20"/>
          <w:lang w:val="bg-BG"/>
        </w:rPr>
        <w:t xml:space="preserve"> в рамките на публичния дебат за Бъдещето на ОСП</w:t>
      </w:r>
      <w:r w:rsidR="006F3640" w:rsidRPr="002D14B8">
        <w:rPr>
          <w:rStyle w:val="longtext"/>
          <w:rFonts w:ascii="Arial" w:hAnsi="Arial" w:cs="Arial"/>
          <w:sz w:val="20"/>
          <w:lang w:val="bg-BG"/>
        </w:rPr>
        <w:t>, испанският министър на земеделието представи информация за конгреса, посветен на екологията в ОСП</w:t>
      </w:r>
      <w:r w:rsidR="00520162" w:rsidRPr="002D14B8">
        <w:rPr>
          <w:rStyle w:val="longtext"/>
          <w:rFonts w:ascii="Arial" w:hAnsi="Arial" w:cs="Arial"/>
          <w:sz w:val="20"/>
          <w:lang w:val="bg-BG"/>
        </w:rPr>
        <w:t xml:space="preserve">. Идеята на Конгреса беше да се обсъдят подходящи земеделски практики, които допринасят за биоразнообразието, водите, климата, почвите в контекста на южните европейски държави с цел подготовка за прилагане на бъдещи </w:t>
      </w:r>
      <w:proofErr w:type="spellStart"/>
      <w:r w:rsidR="00520162" w:rsidRPr="002D14B8">
        <w:rPr>
          <w:rStyle w:val="longtext"/>
          <w:rFonts w:ascii="Arial" w:hAnsi="Arial" w:cs="Arial"/>
          <w:sz w:val="20"/>
          <w:lang w:val="bg-BG"/>
        </w:rPr>
        <w:t>еко-схеми</w:t>
      </w:r>
      <w:proofErr w:type="spellEnd"/>
      <w:r w:rsidR="00520162" w:rsidRPr="002D14B8">
        <w:rPr>
          <w:rStyle w:val="longtext"/>
          <w:rFonts w:ascii="Arial" w:hAnsi="Arial" w:cs="Arial"/>
          <w:sz w:val="20"/>
          <w:lang w:val="bg-BG"/>
        </w:rPr>
        <w:t xml:space="preserve">. Подробните презентации са публикувани на електронната страница на Министерство на земеделието на Испания: </w:t>
      </w:r>
      <w:hyperlink r:id="rId8" w:history="1">
        <w:r w:rsidR="00520162" w:rsidRPr="002D14B8">
          <w:rPr>
            <w:rStyle w:val="Hyperlink"/>
            <w:rFonts w:ascii="Arial" w:hAnsi="Arial" w:cs="Arial"/>
            <w:sz w:val="20"/>
            <w:lang w:val="bg-BG"/>
          </w:rPr>
          <w:t>https://www.mapa.gob.es/es/pac/la-arquitectura-verde-de-la-PAC-POST-2020-eco-esquemas/</w:t>
        </w:r>
      </w:hyperlink>
      <w:r w:rsidR="00520162" w:rsidRPr="002D14B8">
        <w:rPr>
          <w:rFonts w:ascii="Arial" w:hAnsi="Arial" w:cs="Arial"/>
          <w:color w:val="1F497D"/>
          <w:sz w:val="20"/>
          <w:lang w:val="bg-BG"/>
        </w:rPr>
        <w:t xml:space="preserve">. </w:t>
      </w:r>
      <w:r w:rsidR="00520162" w:rsidRPr="002D14B8">
        <w:rPr>
          <w:rStyle w:val="longtext"/>
          <w:rFonts w:ascii="Arial" w:hAnsi="Arial" w:cs="Arial"/>
          <w:sz w:val="20"/>
          <w:lang w:val="bg-BG"/>
        </w:rPr>
        <w:t>Представяния имаше от страна на земеделски стопани, научни институти и администрацията на Испани</w:t>
      </w:r>
      <w:r w:rsidR="005F7457" w:rsidRPr="002D14B8">
        <w:rPr>
          <w:rStyle w:val="longtext"/>
          <w:rFonts w:ascii="Arial" w:hAnsi="Arial" w:cs="Arial"/>
          <w:sz w:val="20"/>
          <w:lang w:val="bg-BG"/>
        </w:rPr>
        <w:t xml:space="preserve">я, както и от представители на Франция, Италия, Португалия, Нидерландия. Според изразените становища, все още няма готови </w:t>
      </w:r>
      <w:proofErr w:type="spellStart"/>
      <w:r w:rsidR="005F7457" w:rsidRPr="002D14B8">
        <w:rPr>
          <w:rStyle w:val="longtext"/>
          <w:rFonts w:ascii="Arial" w:hAnsi="Arial" w:cs="Arial"/>
          <w:sz w:val="20"/>
          <w:lang w:val="bg-BG"/>
        </w:rPr>
        <w:t>еко-схеми</w:t>
      </w:r>
      <w:proofErr w:type="spellEnd"/>
      <w:r w:rsidR="005F7457" w:rsidRPr="002D14B8">
        <w:rPr>
          <w:rStyle w:val="longtext"/>
          <w:rFonts w:ascii="Arial" w:hAnsi="Arial" w:cs="Arial"/>
          <w:sz w:val="20"/>
          <w:lang w:val="bg-BG"/>
        </w:rPr>
        <w:t xml:space="preserve"> в никоя от представените страни, защото в момента се извършват дискусии и консултации със заинтересованите страни за дефиниране на подходящи екологични практики, които биха могли да се прилагат. Представените идеи включваха следните възможни практики, върху които се извършва дискусия и се търси приложимост съобразно изискванията на проекта на регламент: Ротация на културите на ниво парцел; Диверсификация на културите на ниво стопанство (3-5 култури); Диверсификация на културите – повече от 5 култури в стопанството; Прилагане на зимна растителна покривка между основните култури; Мултифункционални </w:t>
      </w:r>
      <w:r w:rsidR="005F7457" w:rsidRPr="002D14B8">
        <w:rPr>
          <w:rStyle w:val="longtext"/>
          <w:rFonts w:ascii="Arial" w:hAnsi="Arial" w:cs="Arial"/>
          <w:sz w:val="20"/>
          <w:lang w:val="bg-BG"/>
        </w:rPr>
        <w:lastRenderedPageBreak/>
        <w:t xml:space="preserve">ивици с подходяща растителност (медоносни растения, билки, цветя, растения подходящи за </w:t>
      </w:r>
      <w:proofErr w:type="spellStart"/>
      <w:r w:rsidR="005F7457" w:rsidRPr="002D14B8">
        <w:rPr>
          <w:rStyle w:val="longtext"/>
          <w:rFonts w:ascii="Arial" w:hAnsi="Arial" w:cs="Arial"/>
          <w:sz w:val="20"/>
          <w:lang w:val="bg-BG"/>
        </w:rPr>
        <w:t>опрашителите</w:t>
      </w:r>
      <w:proofErr w:type="spellEnd"/>
      <w:r w:rsidR="005F7457" w:rsidRPr="002D14B8">
        <w:rPr>
          <w:rStyle w:val="longtext"/>
          <w:rFonts w:ascii="Arial" w:hAnsi="Arial" w:cs="Arial"/>
          <w:sz w:val="20"/>
          <w:lang w:val="bg-BG"/>
        </w:rPr>
        <w:t>) по края на стопанството; Редуване на ивици билки и цветя с обработваема земя.</w:t>
      </w:r>
    </w:p>
    <w:p w:rsidR="00DC5A8E" w:rsidRPr="002D14B8" w:rsidRDefault="00DC5A8E" w:rsidP="003877CA">
      <w:pPr>
        <w:contextualSpacing/>
        <w:jc w:val="both"/>
        <w:rPr>
          <w:rStyle w:val="longtext"/>
          <w:rFonts w:ascii="Arial" w:hAnsi="Arial" w:cs="Arial"/>
          <w:sz w:val="20"/>
          <w:lang w:val="bg-BG"/>
        </w:rPr>
      </w:pPr>
    </w:p>
    <w:p w:rsidR="001C04A3" w:rsidRPr="002D14B8" w:rsidRDefault="001C04A3" w:rsidP="001C04A3">
      <w:pPr>
        <w:jc w:val="both"/>
        <w:rPr>
          <w:rFonts w:ascii="Arial" w:hAnsi="Arial" w:cs="Arial"/>
          <w:sz w:val="20"/>
          <w:lang w:val="bg-BG"/>
        </w:rPr>
      </w:pPr>
    </w:p>
    <w:p w:rsidR="001B6831" w:rsidRPr="002D14B8" w:rsidRDefault="001B6831" w:rsidP="001C04A3">
      <w:pPr>
        <w:ind w:left="7200" w:firstLine="720"/>
        <w:jc w:val="both"/>
        <w:rPr>
          <w:rFonts w:ascii="Arial" w:hAnsi="Arial" w:cs="Arial"/>
          <w:b/>
          <w:i/>
          <w:sz w:val="20"/>
          <w:lang w:val="bg-BG"/>
        </w:rPr>
      </w:pPr>
    </w:p>
    <w:p w:rsidR="002D14B8" w:rsidRDefault="002D14B8">
      <w:pPr>
        <w:spacing w:after="160" w:line="259" w:lineRule="auto"/>
        <w:rPr>
          <w:rFonts w:ascii="Arial" w:hAnsi="Arial" w:cs="Arial"/>
          <w:b/>
          <w:i/>
          <w:sz w:val="20"/>
          <w:lang w:val="bg-BG"/>
        </w:rPr>
      </w:pPr>
      <w:r>
        <w:rPr>
          <w:rFonts w:ascii="Arial" w:hAnsi="Arial" w:cs="Arial"/>
          <w:b/>
          <w:i/>
          <w:sz w:val="20"/>
          <w:lang w:val="bg-BG"/>
        </w:rPr>
        <w:br w:type="page"/>
      </w:r>
    </w:p>
    <w:p w:rsidR="001C04A3" w:rsidRPr="002D14B8" w:rsidRDefault="001C04A3" w:rsidP="001C04A3">
      <w:pPr>
        <w:ind w:left="7200" w:firstLine="720"/>
        <w:jc w:val="both"/>
        <w:rPr>
          <w:rFonts w:ascii="Arial" w:hAnsi="Arial" w:cs="Arial"/>
          <w:b/>
          <w:i/>
          <w:sz w:val="20"/>
          <w:lang w:val="bg-BG"/>
        </w:rPr>
      </w:pPr>
    </w:p>
    <w:p w:rsidR="001C04A3" w:rsidRPr="002D14B8" w:rsidRDefault="001C04A3" w:rsidP="001C04A3">
      <w:pPr>
        <w:jc w:val="center"/>
        <w:rPr>
          <w:rFonts w:ascii="Arial" w:hAnsi="Arial" w:cs="Arial"/>
          <w:b/>
          <w:sz w:val="20"/>
          <w:lang w:val="bg-BG"/>
        </w:rPr>
      </w:pPr>
      <w:bookmarkStart w:id="0" w:name="_GoBack"/>
      <w:bookmarkEnd w:id="0"/>
    </w:p>
    <w:sectPr w:rsidR="001C04A3" w:rsidRPr="002D14B8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95" w:rsidRDefault="00B16095">
      <w:r>
        <w:separator/>
      </w:r>
    </w:p>
  </w:endnote>
  <w:endnote w:type="continuationSeparator" w:id="0">
    <w:p w:rsidR="00B16095" w:rsidRDefault="00B1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B160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B16095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Дирекции „Директни плащания и идентификация на земеделски парцели”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FB40C6">
      <w:rPr>
        <w:rFonts w:ascii="Arial" w:hAnsi="Arial"/>
        <w:i/>
        <w:iCs/>
        <w:noProof/>
        <w:color w:val="800080"/>
        <w:sz w:val="18"/>
        <w:szCs w:val="18"/>
        <w:lang w:val="bg-BG"/>
      </w:rPr>
      <w:t>2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4B3CB3" w:rsidRPr="004B3CB3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5618E1" w:rsidRPr="004B3CB3" w:rsidRDefault="00B16095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24" w:rsidRDefault="009D0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95" w:rsidRDefault="00B16095">
      <w:r>
        <w:separator/>
      </w:r>
    </w:p>
  </w:footnote>
  <w:footnote w:type="continuationSeparator" w:id="0">
    <w:p w:rsidR="00B16095" w:rsidRDefault="00B1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24" w:rsidRDefault="009D0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 w:eastAsia="zh-TW"/>
            </w:rPr>
            <w:drawing>
              <wp:inline distT="0" distB="0" distL="0" distR="0" wp14:anchorId="4051DB9F" wp14:editId="1F634C7D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B16095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B16095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7F4E89">
      <w:rPr>
        <w:rFonts w:ascii="Arial" w:hAnsi="Arial"/>
        <w:b/>
        <w:bCs/>
        <w:color w:val="800080"/>
        <w:sz w:val="20"/>
        <w:lang w:val="en-US"/>
      </w:rPr>
      <w:t>37</w:t>
    </w:r>
    <w:r w:rsidR="009D0924">
      <w:rPr>
        <w:rFonts w:ascii="Arial" w:hAnsi="Arial"/>
        <w:b/>
        <w:bCs/>
        <w:color w:val="800080"/>
        <w:sz w:val="20"/>
        <w:lang w:val="en-US"/>
      </w:rPr>
      <w:t>9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9D0924">
      <w:rPr>
        <w:rFonts w:ascii="Arial" w:hAnsi="Arial"/>
        <w:b/>
        <w:bCs/>
        <w:color w:val="800080"/>
        <w:sz w:val="20"/>
        <w:lang w:val="en-US"/>
      </w:rPr>
      <w:t>24</w:t>
    </w:r>
    <w:r w:rsidR="009F7022">
      <w:rPr>
        <w:rFonts w:ascii="Arial" w:hAnsi="Arial"/>
        <w:b/>
        <w:bCs/>
        <w:color w:val="800080"/>
        <w:sz w:val="20"/>
        <w:lang w:val="en-US"/>
      </w:rPr>
      <w:t>.0</w:t>
    </w:r>
    <w:r w:rsidR="00C20809">
      <w:rPr>
        <w:rFonts w:ascii="Arial" w:hAnsi="Arial"/>
        <w:b/>
        <w:bCs/>
        <w:color w:val="800080"/>
        <w:sz w:val="20"/>
        <w:lang w:val="en-US"/>
      </w:rPr>
      <w:t>6</w:t>
    </w:r>
    <w:r>
      <w:rPr>
        <w:rFonts w:ascii="Arial" w:hAnsi="Arial"/>
        <w:b/>
        <w:bCs/>
        <w:color w:val="800080"/>
        <w:sz w:val="20"/>
        <w:lang w:val="bg-BG"/>
      </w:rPr>
      <w:t>.201</w:t>
    </w:r>
    <w:r>
      <w:rPr>
        <w:rFonts w:ascii="Arial" w:hAnsi="Arial"/>
        <w:b/>
        <w:bCs/>
        <w:color w:val="800080"/>
        <w:sz w:val="20"/>
        <w:lang w:val="en-US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924" w:rsidRDefault="009D09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603557E"/>
    <w:multiLevelType w:val="hybridMultilevel"/>
    <w:tmpl w:val="1ECA7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3FCA"/>
    <w:multiLevelType w:val="hybridMultilevel"/>
    <w:tmpl w:val="AD6E0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C8A"/>
    <w:multiLevelType w:val="hybridMultilevel"/>
    <w:tmpl w:val="9EA24B74"/>
    <w:lvl w:ilvl="0" w:tplc="C638D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6C73C8"/>
    <w:multiLevelType w:val="hybridMultilevel"/>
    <w:tmpl w:val="509A91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98018F"/>
    <w:multiLevelType w:val="hybridMultilevel"/>
    <w:tmpl w:val="24227C26"/>
    <w:lvl w:ilvl="0" w:tplc="88943C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32670"/>
    <w:multiLevelType w:val="hybridMultilevel"/>
    <w:tmpl w:val="B4165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65A53"/>
    <w:multiLevelType w:val="hybridMultilevel"/>
    <w:tmpl w:val="BC628ACA"/>
    <w:lvl w:ilvl="0" w:tplc="EBC20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5A7C"/>
    <w:rsid w:val="0002497A"/>
    <w:rsid w:val="000323A5"/>
    <w:rsid w:val="000A31F0"/>
    <w:rsid w:val="00131A6D"/>
    <w:rsid w:val="0014608C"/>
    <w:rsid w:val="001639CC"/>
    <w:rsid w:val="001646A1"/>
    <w:rsid w:val="001B6831"/>
    <w:rsid w:val="001C04A3"/>
    <w:rsid w:val="001E1EAA"/>
    <w:rsid w:val="001F2EC7"/>
    <w:rsid w:val="002610A9"/>
    <w:rsid w:val="00285183"/>
    <w:rsid w:val="002A1D03"/>
    <w:rsid w:val="002A6A4C"/>
    <w:rsid w:val="002B562C"/>
    <w:rsid w:val="002D14B8"/>
    <w:rsid w:val="002F1104"/>
    <w:rsid w:val="002F6211"/>
    <w:rsid w:val="00300FA3"/>
    <w:rsid w:val="00301B69"/>
    <w:rsid w:val="00305A66"/>
    <w:rsid w:val="00313FBA"/>
    <w:rsid w:val="003877CA"/>
    <w:rsid w:val="003952CE"/>
    <w:rsid w:val="003B7AAB"/>
    <w:rsid w:val="003C1BFF"/>
    <w:rsid w:val="003E118D"/>
    <w:rsid w:val="003E5CB2"/>
    <w:rsid w:val="00403CB9"/>
    <w:rsid w:val="00414575"/>
    <w:rsid w:val="004147F5"/>
    <w:rsid w:val="00422311"/>
    <w:rsid w:val="00424148"/>
    <w:rsid w:val="00437F62"/>
    <w:rsid w:val="0044148C"/>
    <w:rsid w:val="004603DE"/>
    <w:rsid w:val="004633FE"/>
    <w:rsid w:val="00487CF1"/>
    <w:rsid w:val="004923C1"/>
    <w:rsid w:val="004A3432"/>
    <w:rsid w:val="004A545E"/>
    <w:rsid w:val="004B62E1"/>
    <w:rsid w:val="00520162"/>
    <w:rsid w:val="005247A5"/>
    <w:rsid w:val="00543B2B"/>
    <w:rsid w:val="005610D3"/>
    <w:rsid w:val="005A0184"/>
    <w:rsid w:val="005B4574"/>
    <w:rsid w:val="005E3FD0"/>
    <w:rsid w:val="005F7457"/>
    <w:rsid w:val="006367A9"/>
    <w:rsid w:val="006A739D"/>
    <w:rsid w:val="006B0DDB"/>
    <w:rsid w:val="006F3640"/>
    <w:rsid w:val="0070495A"/>
    <w:rsid w:val="00730012"/>
    <w:rsid w:val="007314AB"/>
    <w:rsid w:val="00762EF9"/>
    <w:rsid w:val="007A70E6"/>
    <w:rsid w:val="007D7438"/>
    <w:rsid w:val="007E284B"/>
    <w:rsid w:val="007E7D90"/>
    <w:rsid w:val="007F4E89"/>
    <w:rsid w:val="008030C3"/>
    <w:rsid w:val="0080373E"/>
    <w:rsid w:val="0083232B"/>
    <w:rsid w:val="00852DE4"/>
    <w:rsid w:val="00861450"/>
    <w:rsid w:val="0087763E"/>
    <w:rsid w:val="008836F2"/>
    <w:rsid w:val="008E0F81"/>
    <w:rsid w:val="00903384"/>
    <w:rsid w:val="009355BA"/>
    <w:rsid w:val="00950AD1"/>
    <w:rsid w:val="009704A2"/>
    <w:rsid w:val="0099695D"/>
    <w:rsid w:val="009D0924"/>
    <w:rsid w:val="009F4E95"/>
    <w:rsid w:val="009F7022"/>
    <w:rsid w:val="00A1170C"/>
    <w:rsid w:val="00A447C0"/>
    <w:rsid w:val="00A673EB"/>
    <w:rsid w:val="00A96CFD"/>
    <w:rsid w:val="00AC73DE"/>
    <w:rsid w:val="00AE14FF"/>
    <w:rsid w:val="00AE2FF4"/>
    <w:rsid w:val="00B16095"/>
    <w:rsid w:val="00B2066F"/>
    <w:rsid w:val="00B346B3"/>
    <w:rsid w:val="00B34793"/>
    <w:rsid w:val="00B64F87"/>
    <w:rsid w:val="00B73DA3"/>
    <w:rsid w:val="00B8112B"/>
    <w:rsid w:val="00B853D4"/>
    <w:rsid w:val="00B93F21"/>
    <w:rsid w:val="00BC70E2"/>
    <w:rsid w:val="00BE55CA"/>
    <w:rsid w:val="00BF28EC"/>
    <w:rsid w:val="00C037D6"/>
    <w:rsid w:val="00C10849"/>
    <w:rsid w:val="00C129FD"/>
    <w:rsid w:val="00C13817"/>
    <w:rsid w:val="00C20809"/>
    <w:rsid w:val="00C3643A"/>
    <w:rsid w:val="00C60D17"/>
    <w:rsid w:val="00C67120"/>
    <w:rsid w:val="00C718EB"/>
    <w:rsid w:val="00CA58F1"/>
    <w:rsid w:val="00CE5E69"/>
    <w:rsid w:val="00D1195A"/>
    <w:rsid w:val="00D167B1"/>
    <w:rsid w:val="00D3159B"/>
    <w:rsid w:val="00D32B06"/>
    <w:rsid w:val="00D43BBD"/>
    <w:rsid w:val="00D61B59"/>
    <w:rsid w:val="00D8519B"/>
    <w:rsid w:val="00DA4860"/>
    <w:rsid w:val="00DC5A8E"/>
    <w:rsid w:val="00DD0B21"/>
    <w:rsid w:val="00DF7E91"/>
    <w:rsid w:val="00E02B6A"/>
    <w:rsid w:val="00E17E07"/>
    <w:rsid w:val="00E2125A"/>
    <w:rsid w:val="00E24FA2"/>
    <w:rsid w:val="00E25064"/>
    <w:rsid w:val="00E256E7"/>
    <w:rsid w:val="00E44DF1"/>
    <w:rsid w:val="00E6099A"/>
    <w:rsid w:val="00E712F4"/>
    <w:rsid w:val="00E922CF"/>
    <w:rsid w:val="00EB0F17"/>
    <w:rsid w:val="00EB4872"/>
    <w:rsid w:val="00EB783C"/>
    <w:rsid w:val="00F23EFD"/>
    <w:rsid w:val="00F531AD"/>
    <w:rsid w:val="00F66FBB"/>
    <w:rsid w:val="00F710E0"/>
    <w:rsid w:val="00F86FEB"/>
    <w:rsid w:val="00F900DD"/>
    <w:rsid w:val="00F969DD"/>
    <w:rsid w:val="00FB20B1"/>
    <w:rsid w:val="00FB40C6"/>
    <w:rsid w:val="00FD4196"/>
    <w:rsid w:val="00FE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tlid-translation">
    <w:name w:val="tlid-translation"/>
    <w:basedOn w:val="DefaultParagraphFont"/>
    <w:rsid w:val="002A1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tlid-translation">
    <w:name w:val="tlid-translation"/>
    <w:basedOn w:val="DefaultParagraphFont"/>
    <w:rsid w:val="002A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a.gob.es/es/pac/la-arquitectura-verde-de-la-PAC-POST-2020-eco-esquemas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Elina Hristova</cp:lastModifiedBy>
  <cp:revision>6</cp:revision>
  <dcterms:created xsi:type="dcterms:W3CDTF">2019-06-24T10:13:00Z</dcterms:created>
  <dcterms:modified xsi:type="dcterms:W3CDTF">2019-07-03T11:40:00Z</dcterms:modified>
</cp:coreProperties>
</file>