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41" w:rsidRPr="00913541" w:rsidRDefault="00913541" w:rsidP="00913541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rFonts w:ascii="Times New Roman Bold" w:hAnsi="Times New Roman Bold"/>
          <w:b/>
          <w:caps/>
          <w:spacing w:val="12"/>
          <w:sz w:val="28"/>
          <w:szCs w:val="28"/>
          <w:lang w:val="ru-RU" w:eastAsia="en-US"/>
        </w:rPr>
      </w:pPr>
      <w:r w:rsidRPr="00913541">
        <w:rPr>
          <w:rFonts w:ascii="Times New Roman Bold" w:hAnsi="Times New Roman Bold"/>
          <w:b/>
          <w:spacing w:val="12"/>
          <w:sz w:val="28"/>
          <w:szCs w:val="28"/>
          <w:lang w:val="ru-RU" w:eastAsia="en-US"/>
        </w:rPr>
        <w:t>МИНИСТЕРСТВО НА ЗЕМЕДЕЛИЕТО, ХРАНИТЕ И ГОРИТЕ</w:t>
      </w:r>
    </w:p>
    <w:p w:rsidR="00913541" w:rsidRPr="00913541" w:rsidRDefault="00913541" w:rsidP="00913541">
      <w:pPr>
        <w:spacing w:line="360" w:lineRule="auto"/>
        <w:jc w:val="right"/>
        <w:rPr>
          <w:bCs/>
          <w:sz w:val="20"/>
          <w:szCs w:val="20"/>
          <w:highlight w:val="white"/>
          <w:shd w:val="clear" w:color="auto" w:fill="FEFEFE"/>
          <w:lang w:eastAsia="en-US"/>
        </w:rPr>
      </w:pPr>
      <w:r w:rsidRPr="00913541">
        <w:rPr>
          <w:bCs/>
          <w:sz w:val="20"/>
          <w:szCs w:val="20"/>
          <w:highlight w:val="white"/>
          <w:shd w:val="clear" w:color="auto" w:fill="FEFEFE"/>
          <w:lang w:eastAsia="en-US"/>
        </w:rPr>
        <w:t>Проект</w:t>
      </w:r>
    </w:p>
    <w:p w:rsidR="00720FC9" w:rsidRDefault="00720FC9" w:rsidP="000379DA">
      <w:pPr>
        <w:spacing w:line="360" w:lineRule="auto"/>
        <w:jc w:val="both"/>
        <w:rPr>
          <w:b/>
          <w:sz w:val="22"/>
          <w:lang w:val="en-US"/>
        </w:rPr>
      </w:pP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 w:rsidRPr="005C258B"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 xml:space="preserve">                         </w:t>
      </w:r>
      <w:r>
        <w:rPr>
          <w:b/>
          <w:sz w:val="22"/>
          <w:lang w:val="en-US"/>
        </w:rPr>
        <w:t xml:space="preserve"> </w:t>
      </w:r>
    </w:p>
    <w:p w:rsidR="00720FC9" w:rsidRPr="00CB15D0" w:rsidRDefault="00720FC9" w:rsidP="00913541">
      <w:pPr>
        <w:spacing w:line="360" w:lineRule="auto"/>
        <w:jc w:val="center"/>
        <w:rPr>
          <w:lang w:eastAsia="en-US"/>
        </w:rPr>
      </w:pPr>
      <w:r w:rsidRPr="00CB15D0">
        <w:rPr>
          <w:b/>
        </w:rPr>
        <w:t xml:space="preserve">Наредба за изменение и допълнение на Наредба № 62 от 2006 г. за изискванията към данните върху опаковката и в листовката за употреба на ветеринарномедицински продукт </w:t>
      </w:r>
      <w:r w:rsidRPr="00CB15D0">
        <w:rPr>
          <w:bCs/>
          <w:lang w:eastAsia="en-US"/>
        </w:rPr>
        <w:t>(</w:t>
      </w:r>
      <w:proofErr w:type="spellStart"/>
      <w:r w:rsidRPr="00CB15D0">
        <w:rPr>
          <w:rFonts w:eastAsia="MS Mincho"/>
          <w:lang w:eastAsia="ja-JP"/>
        </w:rPr>
        <w:t>обн</w:t>
      </w:r>
      <w:proofErr w:type="spellEnd"/>
      <w:r w:rsidRPr="00CB15D0">
        <w:rPr>
          <w:rFonts w:eastAsia="MS Mincho"/>
          <w:lang w:eastAsia="ja-JP"/>
        </w:rPr>
        <w:t xml:space="preserve">., ДВ, бр. </w:t>
      </w:r>
      <w:r w:rsidRPr="00CB15D0">
        <w:rPr>
          <w:rFonts w:eastAsia="MS Mincho"/>
          <w:lang w:val="en-US" w:eastAsia="ja-JP"/>
        </w:rPr>
        <w:t>47</w:t>
      </w:r>
      <w:r w:rsidRPr="00CB15D0">
        <w:rPr>
          <w:rFonts w:eastAsia="MS Mincho"/>
          <w:lang w:eastAsia="ja-JP"/>
        </w:rPr>
        <w:t xml:space="preserve"> от 200</w:t>
      </w:r>
      <w:r w:rsidRPr="00CB15D0">
        <w:rPr>
          <w:rFonts w:eastAsia="MS Mincho"/>
          <w:lang w:val="en-US" w:eastAsia="ja-JP"/>
        </w:rPr>
        <w:t>6</w:t>
      </w:r>
      <w:r w:rsidRPr="00CB15D0">
        <w:rPr>
          <w:rFonts w:eastAsia="MS Mincho"/>
          <w:lang w:eastAsia="ja-JP"/>
        </w:rPr>
        <w:t xml:space="preserve"> г.</w:t>
      </w:r>
      <w:r w:rsidRPr="00CB15D0">
        <w:rPr>
          <w:lang w:eastAsia="en-US"/>
        </w:rPr>
        <w:t>)</w:t>
      </w:r>
    </w:p>
    <w:p w:rsidR="008257E8" w:rsidRDefault="008257E8" w:rsidP="00913541">
      <w:pPr>
        <w:spacing w:line="360" w:lineRule="auto"/>
        <w:jc w:val="center"/>
        <w:rPr>
          <w:b/>
        </w:rPr>
      </w:pPr>
    </w:p>
    <w:p w:rsidR="00720FC9" w:rsidRPr="00CB15D0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t>§ 1.</w:t>
      </w:r>
      <w:r w:rsidRPr="00CB15D0">
        <w:t xml:space="preserve"> В чл. 3</w:t>
      </w:r>
      <w:r w:rsidRPr="00CB15D0">
        <w:rPr>
          <w:lang w:val="en-US"/>
        </w:rPr>
        <w:t xml:space="preserve"> </w:t>
      </w:r>
      <w:r w:rsidRPr="00CB15D0">
        <w:t>се правят следните изменения и допълнения:</w:t>
      </w:r>
    </w:p>
    <w:p w:rsidR="00720FC9" w:rsidRPr="00CB15D0" w:rsidRDefault="00835E0F" w:rsidP="00913541">
      <w:pPr>
        <w:spacing w:line="360" w:lineRule="auto"/>
        <w:ind w:firstLine="709"/>
        <w:jc w:val="both"/>
      </w:pPr>
      <w:r>
        <w:t xml:space="preserve">1. </w:t>
      </w:r>
      <w:r w:rsidR="004E6B21">
        <w:t>В</w:t>
      </w:r>
      <w:r w:rsidR="00720FC9" w:rsidRPr="00CB15D0">
        <w:t xml:space="preserve"> ал. 1 </w:t>
      </w:r>
      <w:r>
        <w:t>след думите „</w:t>
      </w:r>
      <w:r w:rsidR="008C600C">
        <w:t>л</w:t>
      </w:r>
      <w:r>
        <w:t>истовката на ВМП” се добавя „</w:t>
      </w:r>
      <w:r w:rsidR="008C600C">
        <w:t>трябва</w:t>
      </w:r>
      <w:r>
        <w:t xml:space="preserve"> да”</w:t>
      </w:r>
      <w:r w:rsidR="008C600C">
        <w:t xml:space="preserve">, а </w:t>
      </w:r>
      <w:r w:rsidR="00720FC9" w:rsidRPr="00CB15D0">
        <w:t>думите „данните в досието” се заменят с „кратката характеристика”;</w:t>
      </w:r>
    </w:p>
    <w:p w:rsidR="00720FC9" w:rsidRPr="00913541" w:rsidRDefault="00913541" w:rsidP="00913541">
      <w:pPr>
        <w:spacing w:line="360" w:lineRule="auto"/>
        <w:ind w:firstLine="709"/>
        <w:jc w:val="both"/>
      </w:pPr>
      <w:r>
        <w:rPr>
          <w:lang w:val="en-US"/>
        </w:rPr>
        <w:t xml:space="preserve">2. </w:t>
      </w:r>
      <w:r w:rsidR="004E6B21">
        <w:t>В</w:t>
      </w:r>
      <w:r w:rsidR="00720FC9" w:rsidRPr="00CB15D0">
        <w:t xml:space="preserve"> ал. 2 след думите „по ал. 1</w:t>
      </w:r>
      <w:r w:rsidR="00B330A3" w:rsidRPr="00CB15D0">
        <w:t>”</w:t>
      </w:r>
      <w:r w:rsidR="00720FC9" w:rsidRPr="00CB15D0">
        <w:t xml:space="preserve"> се добавя „</w:t>
      </w:r>
      <w:r w:rsidR="00B330A3" w:rsidRPr="00CB15D0">
        <w:t xml:space="preserve">не </w:t>
      </w:r>
      <w:r w:rsidR="00720FC9" w:rsidRPr="00CB15D0">
        <w:t>трябва да”.</w:t>
      </w:r>
    </w:p>
    <w:p w:rsidR="00E609B2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t>§ 2.</w:t>
      </w:r>
      <w:r w:rsidRPr="00CB15D0">
        <w:t xml:space="preserve"> </w:t>
      </w:r>
      <w:r w:rsidR="00E609B2">
        <w:t>В чл.</w:t>
      </w:r>
      <w:r w:rsidRPr="00CB15D0">
        <w:t xml:space="preserve"> 4, </w:t>
      </w:r>
      <w:r w:rsidR="00E609B2">
        <w:t>се правят следните изменения:</w:t>
      </w:r>
    </w:p>
    <w:p w:rsidR="00720FC9" w:rsidRPr="00CB15D0" w:rsidRDefault="00E609B2" w:rsidP="00913541">
      <w:pPr>
        <w:spacing w:line="360" w:lineRule="auto"/>
        <w:ind w:firstLine="709"/>
        <w:jc w:val="both"/>
      </w:pPr>
      <w:r>
        <w:t>1. Алинея</w:t>
      </w:r>
      <w:r w:rsidR="00720FC9" w:rsidRPr="00CB15D0">
        <w:t xml:space="preserve"> 1 се изменя така:</w:t>
      </w:r>
    </w:p>
    <w:p w:rsidR="00720FC9" w:rsidRPr="00CB15D0" w:rsidRDefault="00E609B2" w:rsidP="00913541">
      <w:pPr>
        <w:spacing w:line="360" w:lineRule="auto"/>
        <w:ind w:firstLine="709"/>
        <w:jc w:val="both"/>
      </w:pPr>
      <w:r>
        <w:t>„</w:t>
      </w:r>
      <w:r w:rsidR="00720FC9" w:rsidRPr="00CB15D0">
        <w:t>(1) Върху първичната и външната опаковка на ВМП, с изключение на хомеопатичните ВМП по чл. 281</w:t>
      </w:r>
      <w:r w:rsidR="00720FC9" w:rsidRPr="00CB15D0">
        <w:rPr>
          <w:lang w:val="en-US"/>
        </w:rPr>
        <w:t>a</w:t>
      </w:r>
      <w:r w:rsidR="00720FC9" w:rsidRPr="00CB15D0">
        <w:t xml:space="preserve"> от Закона за ветеринарномедицинската дейност (ЗВД), ясно, четливо и незаличимо се изписват: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1. наименование на ВМП; в случаите, когато ВМП съдържа една активна субстанция и наименованието му е търговско, се записва общоприетото наименование;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2. съдържание на активните субстанции, изразени качествено и количествено за една </w:t>
      </w:r>
      <w:proofErr w:type="spellStart"/>
      <w:r w:rsidRPr="00CB15D0">
        <w:t>дозова</w:t>
      </w:r>
      <w:proofErr w:type="spellEnd"/>
      <w:r w:rsidRPr="00CB15D0">
        <w:t xml:space="preserve"> единица или в зависимост от начина на прилагане за даден обем или маса, като се използват международните непатентни наименования;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3. партиден номер;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4. фармацевтична форма;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5. размер на опаковката;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6. видове животни за които е предназначен ВМП;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7. терапевтични показания;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8. метод и начин на приложение;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9. карентни срокове, ако ВМП е предназначен за продуктивни животни;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10. специални предупреждения, ако е необходимо;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11. срок на годност (при необходимост се посочва срокът на годност след пробиване системата за затваряне, отваряне, разтваряне, разреждане);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12. специални условия за съхранение;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13. специални мерки за  унищожаване на неизползван продукт или остатъци от него, ако има такива;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14. надписът “Само за ветеринарномедицинска употреба” и условия или ограничения относно разпространението и употребата, ако е приложимо (надписът “ Да </w:t>
      </w:r>
      <w:r w:rsidRPr="00CB15D0">
        <w:lastRenderedPageBreak/>
        <w:t>се отпуска само по лекарско предписание” - когато се отнася за ВМП, които се отпускат по лекарско предписание, ВМП, предназначени за продуктивни животни, и ВМП, при прилагането на които трябва да се вземат специални мерки от ветеринарния лекар с цел избягване на риск, свързан с третираните животни, лицата, прилагащи ВМП, или околната среда);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15. надписът “Да се съхранява далеч от погледа и на недостъпни за деца места”;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16. име и </w:t>
      </w:r>
      <w:proofErr w:type="spellStart"/>
      <w:r w:rsidRPr="00CB15D0">
        <w:t>постоянeн</w:t>
      </w:r>
      <w:proofErr w:type="spellEnd"/>
      <w:r w:rsidRPr="00CB15D0">
        <w:t xml:space="preserve"> адрес на притежателя на лиценза за употреба;</w:t>
      </w:r>
    </w:p>
    <w:p w:rsidR="001A394A" w:rsidRDefault="008F7A99" w:rsidP="00913541">
      <w:pPr>
        <w:spacing w:line="360" w:lineRule="auto"/>
        <w:ind w:firstLine="709"/>
        <w:jc w:val="both"/>
      </w:pPr>
      <w:r>
        <w:t>17.номер</w:t>
      </w:r>
      <w:r w:rsidR="001A394A">
        <w:t xml:space="preserve"> </w:t>
      </w:r>
      <w:r>
        <w:t>на</w:t>
      </w:r>
      <w:r w:rsidR="001A394A">
        <w:t xml:space="preserve"> </w:t>
      </w:r>
      <w:r w:rsidR="00720FC9" w:rsidRPr="00CB15D0">
        <w:t>ли</w:t>
      </w:r>
      <w:r>
        <w:t>ценза</w:t>
      </w:r>
      <w:r w:rsidR="001A394A">
        <w:t xml:space="preserve"> </w:t>
      </w:r>
      <w:r>
        <w:t>за</w:t>
      </w:r>
      <w:r w:rsidR="001A394A">
        <w:t xml:space="preserve"> </w:t>
      </w:r>
      <w:r>
        <w:t>употреба</w:t>
      </w:r>
      <w:r w:rsidR="001A394A">
        <w:t xml:space="preserve"> </w:t>
      </w:r>
      <w:r>
        <w:t>на</w:t>
      </w:r>
      <w:r w:rsidR="001A394A">
        <w:t xml:space="preserve"> </w:t>
      </w:r>
      <w:r w:rsidR="00821C97">
        <w:t>ВМП</w:t>
      </w:r>
      <w:r w:rsidR="001A394A">
        <w:t>.</w:t>
      </w:r>
      <w:r w:rsidR="00720FC9" w:rsidRPr="00CB15D0">
        <w:t>”.</w:t>
      </w:r>
    </w:p>
    <w:p w:rsidR="002265CA" w:rsidRPr="008F7A99" w:rsidRDefault="00E609B2" w:rsidP="00913541">
      <w:pPr>
        <w:spacing w:line="360" w:lineRule="auto"/>
        <w:ind w:firstLine="709"/>
        <w:jc w:val="both"/>
      </w:pPr>
      <w:r w:rsidRPr="008F7A99">
        <w:t>2. Алинея</w:t>
      </w:r>
      <w:r w:rsidR="00821C97" w:rsidRPr="008F7A99">
        <w:t xml:space="preserve"> </w:t>
      </w:r>
      <w:r w:rsidR="00575C4E" w:rsidRPr="008F7A99">
        <w:t>2</w:t>
      </w:r>
      <w:r w:rsidR="00821C97" w:rsidRPr="008F7A99">
        <w:t xml:space="preserve"> се изменя така:</w:t>
      </w:r>
    </w:p>
    <w:p w:rsidR="00EF4ED3" w:rsidRDefault="002265CA" w:rsidP="00913541">
      <w:pPr>
        <w:spacing w:line="360" w:lineRule="auto"/>
        <w:ind w:firstLine="709"/>
        <w:jc w:val="both"/>
        <w:rPr>
          <w:lang w:val="en-US"/>
        </w:rPr>
      </w:pPr>
      <w:r w:rsidRPr="00302CCA">
        <w:t>„(</w:t>
      </w:r>
      <w:r w:rsidRPr="008F7A99">
        <w:t>2)</w:t>
      </w:r>
      <w:r w:rsidR="00F32454" w:rsidRPr="008F7A99">
        <w:t xml:space="preserve"> </w:t>
      </w:r>
      <w:r w:rsidRPr="008F7A99">
        <w:t>Данните по ал. 1</w:t>
      </w:r>
      <w:r w:rsidR="00F32454" w:rsidRPr="008F7A99">
        <w:t>,</w:t>
      </w:r>
      <w:r w:rsidRPr="008F7A99">
        <w:t xml:space="preserve"> </w:t>
      </w:r>
      <w:r w:rsidR="00F32454" w:rsidRPr="008F7A99">
        <w:t xml:space="preserve">т. 4 – 15 се изписват на </w:t>
      </w:r>
      <w:r w:rsidR="007A1523" w:rsidRPr="008F7A99">
        <w:t>българс</w:t>
      </w:r>
      <w:r w:rsidR="00EF4ED3">
        <w:t>ки език както върху първичната,</w:t>
      </w:r>
      <w:r w:rsidR="00EF4ED3">
        <w:rPr>
          <w:lang w:val="en-US"/>
        </w:rPr>
        <w:t xml:space="preserve"> </w:t>
      </w:r>
      <w:r w:rsidR="007A1523" w:rsidRPr="008F7A99">
        <w:t>така и върху външната опаковка.”</w:t>
      </w:r>
    </w:p>
    <w:p w:rsidR="00FB50D3" w:rsidRPr="008F7A99" w:rsidRDefault="00BC21C4" w:rsidP="00913541">
      <w:pPr>
        <w:spacing w:line="360" w:lineRule="auto"/>
        <w:ind w:firstLine="709"/>
        <w:jc w:val="both"/>
      </w:pPr>
      <w:r w:rsidRPr="008F7A99">
        <w:t xml:space="preserve">3. Алинея </w:t>
      </w:r>
      <w:r w:rsidR="00FB50D3" w:rsidRPr="008F7A99">
        <w:t>7 се изменя така:</w:t>
      </w:r>
    </w:p>
    <w:p w:rsidR="007A1523" w:rsidRPr="00913541" w:rsidRDefault="006A70D6" w:rsidP="00913541">
      <w:pPr>
        <w:spacing w:line="360" w:lineRule="auto"/>
        <w:ind w:firstLine="709"/>
        <w:jc w:val="both"/>
      </w:pPr>
      <w:r w:rsidRPr="008F7A99">
        <w:t>„(7)</w:t>
      </w:r>
      <w:r w:rsidR="00BC21C4" w:rsidRPr="008F7A99">
        <w:t xml:space="preserve"> </w:t>
      </w:r>
      <w:r w:rsidRPr="008F7A99">
        <w:t>Върху външната опаковка се допуска информация на български език</w:t>
      </w:r>
      <w:r w:rsidR="007E6C22" w:rsidRPr="008F7A99">
        <w:t>, отнасяща се до разпространението, притежанието, продажбата, рекламата, други необходими предпазни мерки</w:t>
      </w:r>
      <w:r w:rsidR="005F1BDB" w:rsidRPr="008F7A99">
        <w:t>, при условие че такава информация не противоречи на ЗВД. Тази допълнител</w:t>
      </w:r>
      <w:r w:rsidR="009F1D24" w:rsidRPr="008F7A99">
        <w:t>на информация се поставя в зона,</w:t>
      </w:r>
      <w:r w:rsidR="005F1BDB" w:rsidRPr="008F7A99">
        <w:t xml:space="preserve"> оградена от синя линия</w:t>
      </w:r>
      <w:r w:rsidR="009F1D24" w:rsidRPr="008F7A99">
        <w:t>, която ясно я отделя от останалите данни.”</w:t>
      </w:r>
      <w:r w:rsidR="00FB50D3" w:rsidRPr="00E00D5E">
        <w:rPr>
          <w:color w:val="FF0000"/>
        </w:rPr>
        <w:tab/>
      </w:r>
    </w:p>
    <w:p w:rsidR="00720FC9" w:rsidRPr="00CB15D0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t>§ 3.</w:t>
      </w:r>
      <w:r w:rsidRPr="00CB15D0">
        <w:t xml:space="preserve"> Член 5 се изменя така: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„Чл. 5. </w:t>
      </w:r>
      <w:r w:rsidRPr="00CB15D0">
        <w:rPr>
          <w:lang w:val="ru-RU"/>
        </w:rPr>
        <w:t>(</w:t>
      </w:r>
      <w:r w:rsidRPr="00CB15D0">
        <w:t>1</w:t>
      </w:r>
      <w:r w:rsidRPr="00CB15D0">
        <w:rPr>
          <w:lang w:val="ru-RU"/>
        </w:rPr>
        <w:t>)</w:t>
      </w:r>
      <w:r w:rsidRPr="00CB15D0">
        <w:t xml:space="preserve"> Върху малки опаковки, съдържащи единична доза се изписват следните данни: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1. наименование на ВМП;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2. количество на активните субстанции;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3. съдържание спрямо  маса, обем или брой на единичните дози;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4. начин на приложение;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5. карентни срокове;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6. партиден номер;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7. срок на годност;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8. надписът “Само за ветеринарномедицинска употреба”;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(2) Върху </w:t>
      </w:r>
      <w:proofErr w:type="spellStart"/>
      <w:r w:rsidRPr="00CB15D0">
        <w:t>блистери</w:t>
      </w:r>
      <w:proofErr w:type="spellEnd"/>
      <w:r w:rsidRPr="00CB15D0">
        <w:t xml:space="preserve"> и ленти се изписват следните данни: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1. наименование на ВМП;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2. наименование на притежателя на лиценза за употреба;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3. срок на годност;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4. </w:t>
      </w:r>
      <w:proofErr w:type="spellStart"/>
      <w:r w:rsidRPr="00CB15D0">
        <w:t>партидeн</w:t>
      </w:r>
      <w:proofErr w:type="spellEnd"/>
      <w:r w:rsidRPr="00CB15D0">
        <w:t xml:space="preserve"> номер; </w:t>
      </w:r>
    </w:p>
    <w:p w:rsidR="00720FC9" w:rsidRPr="00913541" w:rsidRDefault="00720FC9" w:rsidP="00913541">
      <w:pPr>
        <w:spacing w:line="360" w:lineRule="auto"/>
        <w:ind w:firstLine="709"/>
        <w:jc w:val="both"/>
        <w:rPr>
          <w:lang w:val="en-US"/>
        </w:rPr>
      </w:pPr>
      <w:r w:rsidRPr="00CB15D0">
        <w:t>5. надписът “Само за ве</w:t>
      </w:r>
      <w:r w:rsidR="00913541">
        <w:t>теринарномедицинска употреба”.</w:t>
      </w:r>
    </w:p>
    <w:p w:rsidR="00913541" w:rsidRDefault="00913541" w:rsidP="00913541">
      <w:pPr>
        <w:spacing w:line="360" w:lineRule="auto"/>
        <w:ind w:firstLine="709"/>
        <w:jc w:val="both"/>
        <w:rPr>
          <w:b/>
          <w:lang w:val="en-US"/>
        </w:rPr>
      </w:pPr>
    </w:p>
    <w:p w:rsidR="00720FC9" w:rsidRPr="00CB15D0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lastRenderedPageBreak/>
        <w:t>§ 4.</w:t>
      </w:r>
      <w:r w:rsidRPr="00CB15D0">
        <w:t xml:space="preserve"> Член 6 се изменя така:</w:t>
      </w:r>
    </w:p>
    <w:p w:rsidR="00720FC9" w:rsidRPr="00CB15D0" w:rsidRDefault="00913541" w:rsidP="00913541">
      <w:pPr>
        <w:spacing w:line="360" w:lineRule="auto"/>
        <w:ind w:firstLine="709"/>
        <w:jc w:val="both"/>
      </w:pPr>
      <w:r>
        <w:t>„Чл. 6.</w:t>
      </w:r>
      <w:r>
        <w:rPr>
          <w:lang w:val="en-US"/>
        </w:rPr>
        <w:t xml:space="preserve"> </w:t>
      </w:r>
      <w:r w:rsidR="00720FC9" w:rsidRPr="00CB15D0">
        <w:t xml:space="preserve">(1) Върху първичната и външната опаковка се допуска изписването на символи или изображения, които онагледяват данните, посочени в чл. 4, ал. 1, т. 6 както и други данни, които съответстват на кратката характеристика на продукта, без да съдържат рекламни елементи. </w:t>
      </w:r>
    </w:p>
    <w:p w:rsidR="00720FC9" w:rsidRPr="00913541" w:rsidRDefault="00720FC9" w:rsidP="00913541">
      <w:pPr>
        <w:spacing w:line="360" w:lineRule="auto"/>
        <w:ind w:firstLine="709"/>
        <w:jc w:val="both"/>
        <w:rPr>
          <w:lang w:val="en-US"/>
        </w:rPr>
      </w:pPr>
      <w:r w:rsidRPr="00CB15D0">
        <w:t>(2) Първичната и външната опаковка на ВМП, които съдържат наркотични субстанции, се маркират диагонално с две червени ленти, а на психотропните ВМП - с две сини ленти.”.</w:t>
      </w:r>
    </w:p>
    <w:p w:rsidR="00720FC9" w:rsidRPr="00CB15D0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t>§ 5.</w:t>
      </w:r>
      <w:r w:rsidRPr="00CB15D0">
        <w:t xml:space="preserve"> Член 7 се изменя така:</w:t>
      </w:r>
    </w:p>
    <w:p w:rsidR="00720FC9" w:rsidRPr="00CB15D0" w:rsidRDefault="00720FC9" w:rsidP="00913541">
      <w:pPr>
        <w:spacing w:line="360" w:lineRule="auto"/>
        <w:ind w:firstLine="709"/>
        <w:jc w:val="both"/>
        <w:rPr>
          <w:lang w:val="ru-RU"/>
        </w:rPr>
      </w:pPr>
      <w:r w:rsidRPr="00CB15D0">
        <w:t xml:space="preserve">„Чл. 7 (1) Листовката на ВМП съдържа следните данни: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1. име и </w:t>
      </w:r>
      <w:proofErr w:type="spellStart"/>
      <w:r w:rsidRPr="00CB15D0">
        <w:t>постоянeн</w:t>
      </w:r>
      <w:proofErr w:type="spellEnd"/>
      <w:r w:rsidRPr="00CB15D0">
        <w:t xml:space="preserve"> адрес на притежателя на лиценза за употреба и на производителя, ако те са различни;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2. наименование на ветеринарномедицинския продукт; в случай че лицензът за употреба на ВМП е издаден съгласно децентрализирана процедура или процедурата за взаимно признаване с различни наименования в отделните държави членки, се представя списък с наименованията на ВМП;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3. съдържание на активните субстанции и </w:t>
      </w:r>
      <w:proofErr w:type="spellStart"/>
      <w:r w:rsidRPr="00CB15D0">
        <w:t>ексципиентите</w:t>
      </w:r>
      <w:proofErr w:type="spellEnd"/>
      <w:r w:rsidRPr="00CB15D0">
        <w:t xml:space="preserve">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4. терапевтични показания;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5. противопоказания;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6. неблагоприятни реакции;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7. видове животни, за които е предназначен ВМП;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8. дозировка за всеки вид животно, метод и начини на прилагане;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9. съвет за правилно приложение;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10. карентни срокове;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11. специални условия за съхранение на продукта;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12. специални предупреждения;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13. специални мерки за унищожаване на неизползван продукт или остатъци от него, ако има такива;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14. датата на последната редакция на текста;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15. допълнителна информация.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(2) Поставянето на листовка във външната опаковка на ВМП е задължително освен в случаите на големи опаковки, позволяващи поставянето върху тях  на комбиниран етикет и листовка.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0768DD">
        <w:t>(3)</w:t>
      </w:r>
      <w:r w:rsidRPr="00CB15D0">
        <w:t xml:space="preserve"> Наименованието на ВМП се изписва на </w:t>
      </w:r>
      <w:r w:rsidR="001E627F" w:rsidRPr="009F1D24">
        <w:t>български език</w:t>
      </w:r>
      <w:r w:rsidRPr="00CB15D0">
        <w:t xml:space="preserve"> или латиница, а INN - само на латиница.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lastRenderedPageBreak/>
        <w:t xml:space="preserve">(4) Данните в листовката по ал. 1, т. 4 - 15 се изписват на български език с ясни и разбираеми за потребителя термини.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(5) Допуска се листовката да бъде написана на няколко езика, единият от които задължително е български, при условие че данните на всички езици са еднакви. </w:t>
      </w:r>
    </w:p>
    <w:p w:rsidR="00720FC9" w:rsidRPr="00913541" w:rsidRDefault="00720FC9" w:rsidP="00913541">
      <w:pPr>
        <w:spacing w:line="360" w:lineRule="auto"/>
        <w:ind w:firstLine="709"/>
        <w:jc w:val="both"/>
        <w:rPr>
          <w:lang w:val="en-US"/>
        </w:rPr>
      </w:pPr>
      <w:r w:rsidRPr="00CB15D0">
        <w:t>(6) Информацията в листовката на ВМП задължително съответства на кратката характеристика на продукта и на данните от досието за лиценз за употреба на ВМП.”</w:t>
      </w:r>
    </w:p>
    <w:p w:rsidR="00720FC9" w:rsidRPr="00CB15D0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t>§ 6.</w:t>
      </w:r>
      <w:r w:rsidRPr="00CB15D0">
        <w:t xml:space="preserve"> Член 8 се изменя така: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„Чл. 8. (1) Върху големи опаковки, могат да бъдат изписани следните данни с цел получаване на комбиниран етикет и листовка:</w:t>
      </w:r>
    </w:p>
    <w:p w:rsidR="00720FC9" w:rsidRPr="00CB15D0" w:rsidRDefault="00720FC9" w:rsidP="00913541">
      <w:pPr>
        <w:spacing w:line="360" w:lineRule="auto"/>
        <w:ind w:firstLine="709"/>
        <w:jc w:val="both"/>
        <w:rPr>
          <w:bCs/>
          <w:lang w:eastAsia="sv-SE"/>
        </w:rPr>
      </w:pPr>
      <w:r w:rsidRPr="00CB15D0">
        <w:rPr>
          <w:bCs/>
          <w:lang w:eastAsia="sv-SE"/>
        </w:rPr>
        <w:t>1. име и адрес на притежателя на лиценз за употреба и на производителя, отговорен за освобождаване на партидата, ако те са различни;</w:t>
      </w:r>
    </w:p>
    <w:p w:rsidR="00720FC9" w:rsidRPr="00CB15D0" w:rsidRDefault="00720FC9" w:rsidP="00913541">
      <w:pPr>
        <w:spacing w:line="360" w:lineRule="auto"/>
        <w:ind w:firstLine="709"/>
        <w:jc w:val="both"/>
        <w:rPr>
          <w:bCs/>
          <w:lang w:eastAsia="sv-SE"/>
        </w:rPr>
      </w:pPr>
      <w:r w:rsidRPr="00CB15D0">
        <w:rPr>
          <w:bCs/>
          <w:lang w:eastAsia="sv-SE"/>
        </w:rPr>
        <w:t>2. наименование на ветеринарномедицинския продукт;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3. </w:t>
      </w:r>
      <w:r w:rsidRPr="00CB15D0">
        <w:t xml:space="preserve">съдържание на активните субстанции и </w:t>
      </w:r>
      <w:proofErr w:type="spellStart"/>
      <w:r w:rsidRPr="00CB15D0">
        <w:t>ексципиентите</w:t>
      </w:r>
      <w:proofErr w:type="spellEnd"/>
      <w:r w:rsidRPr="00CB15D0">
        <w:t>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4. партиден номер;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5. </w:t>
      </w:r>
      <w:r w:rsidRPr="00CB15D0">
        <w:t>фармацевтична форма;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6. </w:t>
      </w:r>
      <w:r w:rsidRPr="00CB15D0">
        <w:t>размер на опаковката;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7. </w:t>
      </w:r>
      <w:r w:rsidRPr="00CB15D0">
        <w:t>терапевтични показания;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8. </w:t>
      </w:r>
      <w:r w:rsidRPr="00CB15D0">
        <w:t>противопоказания;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color w:val="000000"/>
          <w:lang w:eastAsia="sv-SE"/>
        </w:rPr>
        <w:t xml:space="preserve">9. </w:t>
      </w:r>
      <w:r w:rsidRPr="00CB15D0">
        <w:t>неблагоприятни реакции;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10. </w:t>
      </w:r>
      <w:r w:rsidRPr="00CB15D0">
        <w:t>видове животни, за които е предназначен ВМП;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11. </w:t>
      </w:r>
      <w:r w:rsidRPr="00CB15D0">
        <w:t>дозировка за всеки вид животно, метод и начини на прилагане;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>12.</w:t>
      </w:r>
      <w:r w:rsidRPr="00CB15D0">
        <w:rPr>
          <w:bCs/>
          <w:lang w:val="sv-SE" w:eastAsia="sv-SE"/>
        </w:rPr>
        <w:t xml:space="preserve"> </w:t>
      </w:r>
      <w:r w:rsidRPr="00CB15D0">
        <w:t>съвет за правилно приложение;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13. </w:t>
      </w:r>
      <w:r w:rsidRPr="00CB15D0">
        <w:t>карентни срокове;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14. </w:t>
      </w:r>
      <w:r w:rsidRPr="00CB15D0">
        <w:t>специални условия за съхранение;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15. надписът “Само за ветеринарномедицинска употреба” и условия или ограничения относно разпространението и употребата, ако е приложимо (надписът “ Да се отпуска само по лекарско предписание” - когато се отнася за ВМП, които се отпускат по лекарско предписание, ВМП, предназначени за продуктивни животни, и ВМП, при прилагането на които трябва да се вземат специални мерки от ветеринарния лекар с цел избягване на риск, свързан с третираните животни, лицата, прилагащи ВМП, или околната среда);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16. надписът “Да се съхранява далеч от погледа и на недостъпни за деца места”;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17. </w:t>
      </w:r>
      <w:r w:rsidRPr="00CB15D0">
        <w:t>специални предупреждения;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18. </w:t>
      </w:r>
      <w:r w:rsidRPr="00CB15D0">
        <w:t>специални мерки за унищожаване на неизползван продукт или остатъци от него, ако има такива;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lastRenderedPageBreak/>
        <w:t xml:space="preserve">19. </w:t>
      </w:r>
      <w:r w:rsidRPr="00CB15D0">
        <w:t>датата на последната редакция на текста;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rPr>
          <w:bCs/>
          <w:lang w:eastAsia="sv-SE"/>
        </w:rPr>
        <w:t xml:space="preserve">20.  </w:t>
      </w:r>
      <w:r w:rsidRPr="00CB15D0">
        <w:t>допълнителна информация.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(2) Данните в листовката по ал. 1, т. 5 - 20 се изписват на български език с ясни и разбираеми за потребителя термини.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(3) Допуска се комбинирания етикет/листовка да бъде написан на няколко езика, единият от които задължително е български, при условие че данните на всички езици са еднакви. </w:t>
      </w:r>
    </w:p>
    <w:p w:rsidR="00720FC9" w:rsidRPr="00913541" w:rsidRDefault="00720FC9" w:rsidP="00913541">
      <w:pPr>
        <w:spacing w:line="360" w:lineRule="auto"/>
        <w:ind w:firstLine="709"/>
        <w:jc w:val="both"/>
        <w:rPr>
          <w:lang w:val="en-US"/>
        </w:rPr>
      </w:pPr>
      <w:r w:rsidRPr="00CB15D0">
        <w:t>(4) Информацията в комбинирания етикет/листовка на ВМП задължително съответства на кратката характеристика на продукта и на данните от досието за лиценз за употреба на ВМП.</w:t>
      </w:r>
      <w:r w:rsidR="001977F7">
        <w:t>“</w:t>
      </w:r>
      <w:r w:rsidRPr="00CB15D0">
        <w:t xml:space="preserve"> </w:t>
      </w:r>
    </w:p>
    <w:p w:rsidR="00720FC9" w:rsidRPr="00CB15D0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t>§ 7.</w:t>
      </w:r>
      <w:r w:rsidRPr="00CB15D0">
        <w:t xml:space="preserve"> В чл. 9 се правят следните изменения:</w:t>
      </w:r>
    </w:p>
    <w:p w:rsidR="00720FC9" w:rsidRPr="00CB15D0" w:rsidRDefault="00913541" w:rsidP="00913541">
      <w:pPr>
        <w:spacing w:line="360" w:lineRule="auto"/>
        <w:ind w:firstLine="709"/>
        <w:jc w:val="both"/>
      </w:pPr>
      <w:r>
        <w:rPr>
          <w:lang w:val="en-US"/>
        </w:rPr>
        <w:t xml:space="preserve">1. </w:t>
      </w:r>
      <w:r w:rsidR="00720FC9" w:rsidRPr="00CB15D0">
        <w:t>В ал. 1 думата „средства” се заменя с „продукти”;</w:t>
      </w:r>
    </w:p>
    <w:p w:rsidR="00913541" w:rsidRPr="00CB15D0" w:rsidRDefault="00913541" w:rsidP="00913541">
      <w:pPr>
        <w:spacing w:line="360" w:lineRule="auto"/>
        <w:ind w:left="705"/>
        <w:jc w:val="both"/>
      </w:pPr>
      <w:r>
        <w:rPr>
          <w:lang w:val="en-US"/>
        </w:rPr>
        <w:t xml:space="preserve">2. </w:t>
      </w:r>
      <w:r w:rsidR="00720FC9" w:rsidRPr="00CB15D0">
        <w:t>Алинея 2 се изменя така: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„(2) В допълнение към изискването за изрично включване на обозначението “Хомеопатични продукти за ветеринарномедицинска употреба без </w:t>
      </w:r>
      <w:r w:rsidRPr="00CB15D0">
        <w:rPr>
          <w:color w:val="000000"/>
          <w:shd w:val="clear" w:color="auto" w:fill="FEFEFE"/>
        </w:rPr>
        <w:t>специфична терапевтична индикация</w:t>
      </w:r>
      <w:r w:rsidRPr="00CB15D0">
        <w:t xml:space="preserve">” в етикетът и където е подходящо, листовката на хомеопатичните ВМП се съдържа следната информация: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1. научно наименование на хомеопатичен запас, последвано от степента на разреждане - изразена с </w:t>
      </w:r>
      <w:proofErr w:type="spellStart"/>
      <w:r w:rsidRPr="00CB15D0">
        <w:t>фармакопейни</w:t>
      </w:r>
      <w:proofErr w:type="spellEnd"/>
      <w:r w:rsidRPr="00CB15D0">
        <w:t xml:space="preserve"> символи; в случаите, когато хомеопатичният ВМП е съставен от повече от един запас, към научното наименование на хомеопатичния запас може да се прибави и търговско наименование на ВМП;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2. фармацевтична форма;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3. размер на опаковка;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4. видове животни, за които е предназначен;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5. метод и начин на приложение;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>6. специални предупреждения, ако е необходимо;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7. специални условия за съхранение, ако се изискват такива; </w:t>
      </w:r>
    </w:p>
    <w:p w:rsidR="00720FC9" w:rsidRPr="00CB15D0" w:rsidRDefault="00720FC9" w:rsidP="00913541">
      <w:pPr>
        <w:spacing w:line="360" w:lineRule="auto"/>
        <w:ind w:firstLine="709"/>
        <w:jc w:val="both"/>
        <w:rPr>
          <w:lang w:val="ru-RU"/>
        </w:rPr>
      </w:pPr>
      <w:r w:rsidRPr="00CB15D0">
        <w:t xml:space="preserve">8. партиден номер; </w:t>
      </w:r>
    </w:p>
    <w:p w:rsidR="00720FC9" w:rsidRPr="00CB15D0" w:rsidRDefault="00720FC9" w:rsidP="00913541">
      <w:pPr>
        <w:spacing w:line="360" w:lineRule="auto"/>
        <w:ind w:firstLine="709"/>
        <w:jc w:val="both"/>
        <w:rPr>
          <w:lang w:val="ru-RU"/>
        </w:rPr>
      </w:pPr>
      <w:r w:rsidRPr="00CB15D0">
        <w:t xml:space="preserve">9. срок на годност; </w:t>
      </w:r>
    </w:p>
    <w:p w:rsidR="00720FC9" w:rsidRPr="00CB15D0" w:rsidRDefault="00720FC9" w:rsidP="00913541">
      <w:pPr>
        <w:spacing w:line="360" w:lineRule="auto"/>
        <w:ind w:firstLine="709"/>
        <w:jc w:val="both"/>
      </w:pPr>
      <w:r w:rsidRPr="00CB15D0">
        <w:t xml:space="preserve">10. име и </w:t>
      </w:r>
      <w:proofErr w:type="spellStart"/>
      <w:r w:rsidRPr="00CB15D0">
        <w:t>постоянeн</w:t>
      </w:r>
      <w:proofErr w:type="spellEnd"/>
      <w:r w:rsidRPr="00CB15D0">
        <w:t xml:space="preserve"> адрес на притежателя на лиценза за употреба; </w:t>
      </w:r>
    </w:p>
    <w:p w:rsidR="00720FC9" w:rsidRPr="00913541" w:rsidRDefault="00720FC9" w:rsidP="00913541">
      <w:pPr>
        <w:spacing w:line="360" w:lineRule="auto"/>
        <w:ind w:firstLine="709"/>
        <w:jc w:val="both"/>
        <w:rPr>
          <w:lang w:val="en-US"/>
        </w:rPr>
      </w:pPr>
      <w:r w:rsidRPr="00CB15D0">
        <w:t>11. номер на лиценза за употреба.”.</w:t>
      </w:r>
    </w:p>
    <w:p w:rsidR="00720FC9" w:rsidRPr="00913541" w:rsidRDefault="00720FC9" w:rsidP="001977F7">
      <w:pPr>
        <w:spacing w:before="120" w:line="360" w:lineRule="auto"/>
        <w:ind w:firstLine="709"/>
        <w:jc w:val="both"/>
        <w:rPr>
          <w:lang w:val="en-US"/>
        </w:rPr>
      </w:pPr>
      <w:r w:rsidRPr="00CB15D0">
        <w:rPr>
          <w:b/>
        </w:rPr>
        <w:t>§ 8.</w:t>
      </w:r>
      <w:r w:rsidR="00F30656">
        <w:t xml:space="preserve"> В </w:t>
      </w:r>
      <w:r w:rsidR="004626B6" w:rsidRPr="00CB15D0">
        <w:t>допълнителните разпоредби</w:t>
      </w:r>
      <w:r w:rsidR="00F30656">
        <w:t xml:space="preserve"> в </w:t>
      </w:r>
      <w:r w:rsidR="00F30656" w:rsidRPr="00CB15D0">
        <w:t>§ 1</w:t>
      </w:r>
      <w:r w:rsidR="005D2F95">
        <w:t xml:space="preserve"> </w:t>
      </w:r>
      <w:r w:rsidRPr="00CB15D0">
        <w:t xml:space="preserve"> т. 4 се отменя.</w:t>
      </w:r>
    </w:p>
    <w:p w:rsidR="00720FC9" w:rsidRDefault="00720FC9" w:rsidP="001977F7">
      <w:pPr>
        <w:spacing w:before="120" w:line="360" w:lineRule="auto"/>
        <w:ind w:firstLine="709"/>
        <w:jc w:val="both"/>
      </w:pPr>
      <w:r w:rsidRPr="00CB15D0">
        <w:rPr>
          <w:b/>
        </w:rPr>
        <w:t>§ 9.</w:t>
      </w:r>
      <w:r w:rsidR="00F30656">
        <w:t xml:space="preserve"> В </w:t>
      </w:r>
      <w:r w:rsidR="004626B6">
        <w:t>заключителните разпоредби</w:t>
      </w:r>
      <w:r w:rsidR="00F30656">
        <w:t xml:space="preserve"> в </w:t>
      </w:r>
      <w:r w:rsidR="00F30656" w:rsidRPr="00CB15D0">
        <w:t xml:space="preserve">§ 5 </w:t>
      </w:r>
      <w:r w:rsidR="004626B6">
        <w:t xml:space="preserve"> </w:t>
      </w:r>
      <w:r w:rsidRPr="00CB15D0">
        <w:t xml:space="preserve">думите „генералния директор на НВМС” се заменят с „изпълнителния директор на Българската агенция по безопасност на храните”. </w:t>
      </w:r>
    </w:p>
    <w:p w:rsidR="00D86959" w:rsidRPr="00D86959" w:rsidRDefault="00F30656" w:rsidP="00913541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lastRenderedPageBreak/>
        <w:t>Преходни и заключителни разпоредби</w:t>
      </w:r>
    </w:p>
    <w:p w:rsidR="00015666" w:rsidRDefault="00015666" w:rsidP="001977F7">
      <w:pPr>
        <w:spacing w:before="120" w:line="360" w:lineRule="auto"/>
        <w:ind w:firstLine="709"/>
        <w:jc w:val="both"/>
      </w:pPr>
      <w:r w:rsidRPr="00D86959">
        <w:rPr>
          <w:b/>
        </w:rPr>
        <w:t>§ 10.</w:t>
      </w:r>
      <w:r w:rsidR="00D86959">
        <w:t xml:space="preserve"> </w:t>
      </w:r>
      <w:r>
        <w:t>Произведените ВМП с опаковки и листовки за употреба</w:t>
      </w:r>
      <w:r w:rsidR="00F30656">
        <w:t xml:space="preserve"> до влизането в сила на настоящата н</w:t>
      </w:r>
      <w:r>
        <w:t>аредба, могат да се търгуват до изчерпване на количествата.</w:t>
      </w:r>
    </w:p>
    <w:p w:rsidR="00F30656" w:rsidRPr="00F30656" w:rsidRDefault="00F30656" w:rsidP="00F30656">
      <w:pPr>
        <w:widowControl w:val="0"/>
        <w:tabs>
          <w:tab w:val="left" w:pos="3945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lang w:eastAsia="en-US"/>
        </w:rPr>
      </w:pPr>
      <w:r w:rsidRPr="00F30656">
        <w:rPr>
          <w:b/>
          <w:lang w:eastAsia="en-US"/>
        </w:rPr>
        <w:t xml:space="preserve">§ </w:t>
      </w:r>
      <w:r>
        <w:rPr>
          <w:b/>
          <w:lang w:eastAsia="en-US"/>
        </w:rPr>
        <w:t>11</w:t>
      </w:r>
      <w:r w:rsidRPr="00F30656">
        <w:rPr>
          <w:b/>
          <w:lang w:eastAsia="en-US"/>
        </w:rPr>
        <w:t>.</w:t>
      </w:r>
      <w:r w:rsidRPr="00F30656">
        <w:rPr>
          <w:lang w:eastAsia="en-US"/>
        </w:rPr>
        <w:t xml:space="preserve"> Наредбата влиза в сила от деня на обнародването ѝ в “Държавен вестник”.</w:t>
      </w:r>
    </w:p>
    <w:p w:rsidR="00F30656" w:rsidRPr="00015666" w:rsidRDefault="00F30656" w:rsidP="001977F7">
      <w:pPr>
        <w:spacing w:before="120" w:line="360" w:lineRule="auto"/>
        <w:ind w:firstLine="709"/>
        <w:jc w:val="both"/>
      </w:pPr>
    </w:p>
    <w:p w:rsidR="00720FC9" w:rsidRDefault="00720FC9" w:rsidP="000379DA">
      <w:pPr>
        <w:spacing w:line="360" w:lineRule="auto"/>
        <w:ind w:left="705"/>
        <w:jc w:val="both"/>
        <w:rPr>
          <w:lang w:val="en-US"/>
        </w:rPr>
      </w:pPr>
    </w:p>
    <w:p w:rsidR="00302CCA" w:rsidRDefault="00302CCA" w:rsidP="000379DA">
      <w:pPr>
        <w:spacing w:line="360" w:lineRule="auto"/>
        <w:ind w:left="705"/>
        <w:jc w:val="both"/>
        <w:rPr>
          <w:lang w:val="en-US"/>
        </w:rPr>
      </w:pPr>
    </w:p>
    <w:p w:rsidR="00302CCA" w:rsidRPr="00302CCA" w:rsidRDefault="00302CCA" w:rsidP="000379DA">
      <w:pPr>
        <w:spacing w:line="360" w:lineRule="auto"/>
        <w:ind w:left="705"/>
        <w:jc w:val="both"/>
        <w:rPr>
          <w:lang w:val="en-US"/>
        </w:rPr>
      </w:pPr>
    </w:p>
    <w:p w:rsidR="00720FC9" w:rsidRPr="00CB15D0" w:rsidRDefault="000768DD" w:rsidP="000379DA">
      <w:pPr>
        <w:spacing w:line="360" w:lineRule="auto"/>
        <w:jc w:val="both"/>
        <w:rPr>
          <w:i/>
          <w:iCs/>
        </w:rPr>
      </w:pPr>
      <w:r>
        <w:rPr>
          <w:b/>
          <w:bCs/>
        </w:rPr>
        <w:t>ДЕСИСЛАВА ТАНЕВА</w:t>
      </w:r>
    </w:p>
    <w:p w:rsidR="00720FC9" w:rsidRDefault="00720FC9" w:rsidP="000379DA">
      <w:pPr>
        <w:spacing w:line="360" w:lineRule="auto"/>
        <w:rPr>
          <w:rFonts w:eastAsia="Calibri"/>
          <w:i/>
          <w:iCs/>
          <w:lang w:val="en-US" w:eastAsia="en-US"/>
        </w:rPr>
      </w:pPr>
      <w:r w:rsidRPr="00CB15D0">
        <w:rPr>
          <w:rFonts w:eastAsia="Calibri"/>
          <w:i/>
          <w:iCs/>
          <w:lang w:eastAsia="en-US"/>
        </w:rPr>
        <w:t>Министър на земеделието, храните и горите</w:t>
      </w:r>
      <w:bookmarkStart w:id="0" w:name="_GoBack"/>
      <w:bookmarkEnd w:id="0"/>
    </w:p>
    <w:sectPr w:rsidR="00720FC9" w:rsidSect="001977F7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97" w:rsidRDefault="00914397" w:rsidP="001977F7">
      <w:r>
        <w:separator/>
      </w:r>
    </w:p>
  </w:endnote>
  <w:endnote w:type="continuationSeparator" w:id="0">
    <w:p w:rsidR="00914397" w:rsidRDefault="00914397" w:rsidP="001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766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7F7" w:rsidRPr="001977F7" w:rsidRDefault="001977F7" w:rsidP="001977F7">
        <w:pPr>
          <w:pStyle w:val="Footer"/>
          <w:jc w:val="right"/>
        </w:pPr>
        <w:r w:rsidRPr="001977F7">
          <w:rPr>
            <w:sz w:val="20"/>
            <w:szCs w:val="20"/>
          </w:rPr>
          <w:fldChar w:fldCharType="begin"/>
        </w:r>
        <w:r w:rsidRPr="001977F7">
          <w:rPr>
            <w:sz w:val="20"/>
            <w:szCs w:val="20"/>
          </w:rPr>
          <w:instrText xml:space="preserve"> PAGE   \* MERGEFORMAT </w:instrText>
        </w:r>
        <w:r w:rsidRPr="001977F7">
          <w:rPr>
            <w:sz w:val="20"/>
            <w:szCs w:val="20"/>
          </w:rPr>
          <w:fldChar w:fldCharType="separate"/>
        </w:r>
        <w:r w:rsidR="00F7382D">
          <w:rPr>
            <w:noProof/>
            <w:sz w:val="20"/>
            <w:szCs w:val="20"/>
          </w:rPr>
          <w:t>6</w:t>
        </w:r>
        <w:r w:rsidRPr="001977F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97" w:rsidRDefault="00914397" w:rsidP="001977F7">
      <w:r>
        <w:separator/>
      </w:r>
    </w:p>
  </w:footnote>
  <w:footnote w:type="continuationSeparator" w:id="0">
    <w:p w:rsidR="00914397" w:rsidRDefault="00914397" w:rsidP="0019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383"/>
    <w:multiLevelType w:val="hybridMultilevel"/>
    <w:tmpl w:val="7BD63D1C"/>
    <w:lvl w:ilvl="0" w:tplc="B13A80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4851140"/>
    <w:multiLevelType w:val="multilevel"/>
    <w:tmpl w:val="7BD63D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4BB2633"/>
    <w:multiLevelType w:val="hybridMultilevel"/>
    <w:tmpl w:val="A72E0198"/>
    <w:lvl w:ilvl="0" w:tplc="BE5440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C202622"/>
    <w:multiLevelType w:val="hybridMultilevel"/>
    <w:tmpl w:val="18DAA476"/>
    <w:lvl w:ilvl="0" w:tplc="DE1EA0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C9"/>
    <w:rsid w:val="00015666"/>
    <w:rsid w:val="000379DA"/>
    <w:rsid w:val="000768DD"/>
    <w:rsid w:val="001056E2"/>
    <w:rsid w:val="0015671E"/>
    <w:rsid w:val="001977F7"/>
    <w:rsid w:val="001A394A"/>
    <w:rsid w:val="001B192D"/>
    <w:rsid w:val="001E627F"/>
    <w:rsid w:val="002265CA"/>
    <w:rsid w:val="00253A84"/>
    <w:rsid w:val="00302CCA"/>
    <w:rsid w:val="00410F7A"/>
    <w:rsid w:val="00416E3E"/>
    <w:rsid w:val="004626B6"/>
    <w:rsid w:val="00471BB0"/>
    <w:rsid w:val="004C5A9E"/>
    <w:rsid w:val="004E6B21"/>
    <w:rsid w:val="00575C4E"/>
    <w:rsid w:val="0058453F"/>
    <w:rsid w:val="005D2F95"/>
    <w:rsid w:val="005F1BDB"/>
    <w:rsid w:val="00613B52"/>
    <w:rsid w:val="006A70D6"/>
    <w:rsid w:val="006C11D0"/>
    <w:rsid w:val="006D448C"/>
    <w:rsid w:val="00720FC9"/>
    <w:rsid w:val="007A1523"/>
    <w:rsid w:val="007E6C22"/>
    <w:rsid w:val="00821C97"/>
    <w:rsid w:val="008257E8"/>
    <w:rsid w:val="00834EE5"/>
    <w:rsid w:val="00835E0F"/>
    <w:rsid w:val="008C600C"/>
    <w:rsid w:val="008F7A99"/>
    <w:rsid w:val="00913541"/>
    <w:rsid w:val="00914397"/>
    <w:rsid w:val="009272F1"/>
    <w:rsid w:val="00934DD8"/>
    <w:rsid w:val="0093536C"/>
    <w:rsid w:val="009502FC"/>
    <w:rsid w:val="00953620"/>
    <w:rsid w:val="009A47C6"/>
    <w:rsid w:val="009F1D24"/>
    <w:rsid w:val="00A6490E"/>
    <w:rsid w:val="00B330A3"/>
    <w:rsid w:val="00B61D60"/>
    <w:rsid w:val="00BC21C4"/>
    <w:rsid w:val="00C15465"/>
    <w:rsid w:val="00D86959"/>
    <w:rsid w:val="00E00D5E"/>
    <w:rsid w:val="00E609B2"/>
    <w:rsid w:val="00EB6C4D"/>
    <w:rsid w:val="00EF4ED3"/>
    <w:rsid w:val="00F30656"/>
    <w:rsid w:val="00F32454"/>
    <w:rsid w:val="00F7382D"/>
    <w:rsid w:val="00FB50D3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FC9"/>
    <w:rPr>
      <w:sz w:val="24"/>
      <w:szCs w:val="24"/>
    </w:rPr>
  </w:style>
  <w:style w:type="paragraph" w:styleId="Heading3">
    <w:name w:val="heading 3"/>
    <w:basedOn w:val="Normal"/>
    <w:qFormat/>
    <w:rsid w:val="00720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77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77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77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FC9"/>
    <w:rPr>
      <w:sz w:val="24"/>
      <w:szCs w:val="24"/>
    </w:rPr>
  </w:style>
  <w:style w:type="paragraph" w:styleId="Heading3">
    <w:name w:val="heading 3"/>
    <w:basedOn w:val="Normal"/>
    <w:qFormat/>
    <w:rsid w:val="00720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77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77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77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ЗЕМЕДЕЛИЕТО, ХРАНИТЕ И ГОРИТЕ</vt:lpstr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 ХРАНИТЕ И ГОРИТЕ</dc:title>
  <dc:creator>kj</dc:creator>
  <cp:lastModifiedBy>Kristiana Pavlova</cp:lastModifiedBy>
  <cp:revision>7</cp:revision>
  <cp:lastPrinted>2019-04-08T11:19:00Z</cp:lastPrinted>
  <dcterms:created xsi:type="dcterms:W3CDTF">2019-06-20T10:51:00Z</dcterms:created>
  <dcterms:modified xsi:type="dcterms:W3CDTF">2019-07-02T11:39:00Z</dcterms:modified>
</cp:coreProperties>
</file>