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51" w:type="dxa"/>
        <w:tblInd w:w="-459"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15451"/>
      </w:tblGrid>
      <w:tr w:rsidR="00C975B4" w:rsidRPr="004F2DB6" w:rsidTr="00FD6685">
        <w:trPr>
          <w:trHeight w:val="958"/>
        </w:trPr>
        <w:tc>
          <w:tcPr>
            <w:tcW w:w="15451" w:type="dxa"/>
            <w:shd w:val="clear" w:color="auto" w:fill="BDD6EE"/>
          </w:tcPr>
          <w:p w:rsidR="00E220AD" w:rsidRPr="00745930" w:rsidRDefault="00AA5EA6" w:rsidP="00745930">
            <w:pPr>
              <w:tabs>
                <w:tab w:val="left" w:pos="2190"/>
              </w:tabs>
              <w:spacing w:before="120" w:line="360" w:lineRule="auto"/>
              <w:jc w:val="center"/>
              <w:rPr>
                <w:rFonts w:ascii="Verdana" w:hAnsi="Verdana"/>
                <w:b/>
                <w:bCs/>
                <w:iCs/>
                <w:sz w:val="20"/>
                <w:szCs w:val="20"/>
              </w:rPr>
            </w:pPr>
            <w:r w:rsidRPr="00AA5EA6">
              <w:rPr>
                <w:rFonts w:ascii="Verdana" w:hAnsi="Verdana"/>
                <w:b/>
                <w:sz w:val="20"/>
                <w:szCs w:val="20"/>
              </w:rPr>
              <w:t>СПРАВКА</w:t>
            </w:r>
            <w:r w:rsidR="00160809">
              <w:rPr>
                <w:rFonts w:ascii="Verdana" w:hAnsi="Verdana"/>
                <w:b/>
                <w:sz w:val="20"/>
                <w:szCs w:val="20"/>
              </w:rPr>
              <w:t xml:space="preserve"> </w:t>
            </w:r>
            <w:r w:rsidR="00042C1B">
              <w:rPr>
                <w:rFonts w:ascii="Verdana" w:hAnsi="Verdana"/>
                <w:b/>
                <w:sz w:val="20"/>
                <w:szCs w:val="20"/>
              </w:rPr>
              <w:t>ЗА ОТРАЗЯВАНЕ НА</w:t>
            </w:r>
            <w:r w:rsidR="00745930">
              <w:rPr>
                <w:rFonts w:ascii="Verdana" w:hAnsi="Verdana"/>
                <w:b/>
                <w:sz w:val="20"/>
                <w:szCs w:val="20"/>
              </w:rPr>
              <w:t xml:space="preserve"> ПРЕДЛОЖЕНИЯТА И СТАНОВИЩАТА ОТ</w:t>
            </w:r>
            <w:r w:rsidR="00BC73AA">
              <w:rPr>
                <w:rFonts w:ascii="Verdana" w:hAnsi="Verdana"/>
                <w:b/>
                <w:sz w:val="20"/>
                <w:szCs w:val="20"/>
              </w:rPr>
              <w:t xml:space="preserve"> ПРОВЕДЕНАТА ОБЩЕСТВЕНА КОНСУЛТАЦИЯ</w:t>
            </w:r>
            <w:r w:rsidR="009B6230" w:rsidRPr="00FE1310">
              <w:rPr>
                <w:rFonts w:ascii="Verdana" w:hAnsi="Verdana"/>
                <w:b/>
                <w:sz w:val="20"/>
                <w:szCs w:val="20"/>
              </w:rPr>
              <w:t xml:space="preserve"> НА </w:t>
            </w:r>
            <w:r w:rsidR="009B6230">
              <w:rPr>
                <w:rFonts w:ascii="Verdana" w:hAnsi="Verdana"/>
                <w:b/>
                <w:sz w:val="20"/>
                <w:szCs w:val="20"/>
              </w:rPr>
              <w:t>ПРОЕКТ</w:t>
            </w:r>
            <w:r w:rsidR="00745930">
              <w:rPr>
                <w:rFonts w:ascii="Verdana" w:hAnsi="Verdana"/>
                <w:b/>
                <w:sz w:val="20"/>
                <w:szCs w:val="20"/>
              </w:rPr>
              <w:t>А</w:t>
            </w:r>
            <w:r w:rsidR="009B6230">
              <w:rPr>
                <w:rFonts w:ascii="Verdana" w:hAnsi="Verdana"/>
                <w:b/>
                <w:sz w:val="20"/>
                <w:szCs w:val="20"/>
              </w:rPr>
              <w:t xml:space="preserve"> НА </w:t>
            </w:r>
            <w:r w:rsidR="009B6230" w:rsidRPr="009B6230">
              <w:rPr>
                <w:rFonts w:ascii="Verdana" w:hAnsi="Verdana"/>
                <w:b/>
                <w:bCs/>
                <w:iCs/>
                <w:sz w:val="20"/>
                <w:szCs w:val="20"/>
              </w:rPr>
              <w:t xml:space="preserve">РЕШЕНИЕ НА МИНИСТЕРСКИЯ СЪВЕТ ЗА ОДОБРЯВАНЕ ПРОЕКТ НА ЗАКОН ЗА </w:t>
            </w:r>
            <w:r w:rsidR="005804B2">
              <w:rPr>
                <w:rFonts w:ascii="Verdana" w:hAnsi="Verdana"/>
                <w:b/>
                <w:bCs/>
                <w:iCs/>
                <w:sz w:val="20"/>
                <w:szCs w:val="20"/>
              </w:rPr>
              <w:t xml:space="preserve">ИЗМЕНЕНИЕ И </w:t>
            </w:r>
            <w:r w:rsidR="009B6230" w:rsidRPr="009B6230">
              <w:rPr>
                <w:rFonts w:ascii="Verdana" w:hAnsi="Verdana"/>
                <w:b/>
                <w:bCs/>
                <w:iCs/>
                <w:sz w:val="20"/>
                <w:szCs w:val="20"/>
              </w:rPr>
              <w:t xml:space="preserve">ДОПЪЛНЕНИЕ НА ЗАКОНА ЗА </w:t>
            </w:r>
            <w:r w:rsidR="005804B2">
              <w:rPr>
                <w:rFonts w:ascii="Verdana" w:hAnsi="Verdana"/>
                <w:b/>
                <w:bCs/>
                <w:iCs/>
                <w:sz w:val="20"/>
                <w:szCs w:val="20"/>
              </w:rPr>
              <w:t>ПОСЕВНИЯ И ПОСАДЪЧНИЯ МАТЕРИА</w:t>
            </w:r>
            <w:r w:rsidR="009B6230" w:rsidRPr="009B6230">
              <w:rPr>
                <w:rFonts w:ascii="Verdana" w:hAnsi="Verdana"/>
                <w:b/>
                <w:bCs/>
                <w:iCs/>
                <w:sz w:val="20"/>
                <w:szCs w:val="20"/>
              </w:rPr>
              <w:t>Л</w:t>
            </w:r>
          </w:p>
        </w:tc>
      </w:tr>
    </w:tbl>
    <w:p w:rsidR="004333E4" w:rsidRPr="00FF7DC4" w:rsidRDefault="004333E4">
      <w:pPr>
        <w:rPr>
          <w:rFonts w:ascii="Verdana" w:hAnsi="Verdana"/>
          <w:sz w:val="10"/>
          <w:szCs w:val="10"/>
        </w:rPr>
      </w:pPr>
    </w:p>
    <w:tbl>
      <w:tblPr>
        <w:tblW w:w="15394"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696"/>
        <w:gridCol w:w="2835"/>
        <w:gridCol w:w="5765"/>
        <w:gridCol w:w="1620"/>
        <w:gridCol w:w="4478"/>
      </w:tblGrid>
      <w:tr w:rsidR="00271B4F" w:rsidRPr="00682FF4" w:rsidTr="002B35F8">
        <w:trPr>
          <w:tblHeader/>
          <w:jc w:val="center"/>
        </w:trPr>
        <w:tc>
          <w:tcPr>
            <w:tcW w:w="696" w:type="dxa"/>
            <w:tcBorders>
              <w:bottom w:val="single" w:sz="36" w:space="0" w:color="2E74B5"/>
            </w:tcBorders>
            <w:shd w:val="clear" w:color="auto" w:fill="DEEAF6"/>
            <w:vAlign w:val="center"/>
          </w:tcPr>
          <w:p w:rsidR="00271B4F" w:rsidRPr="00682FF4" w:rsidRDefault="00271B4F" w:rsidP="000A4F4D">
            <w:pPr>
              <w:tabs>
                <w:tab w:val="left" w:pos="192"/>
              </w:tabs>
              <w:jc w:val="center"/>
              <w:rPr>
                <w:rFonts w:ascii="Verdana" w:hAnsi="Verdana"/>
                <w:b/>
                <w:sz w:val="20"/>
                <w:szCs w:val="20"/>
              </w:rPr>
            </w:pPr>
            <w:r w:rsidRPr="00682FF4">
              <w:rPr>
                <w:rFonts w:ascii="Verdana" w:hAnsi="Verdana"/>
                <w:b/>
                <w:sz w:val="20"/>
                <w:szCs w:val="20"/>
              </w:rPr>
              <w:t>№</w:t>
            </w:r>
          </w:p>
        </w:tc>
        <w:tc>
          <w:tcPr>
            <w:tcW w:w="2835" w:type="dxa"/>
            <w:tcBorders>
              <w:bottom w:val="single" w:sz="36" w:space="0" w:color="2E74B5"/>
            </w:tcBorders>
            <w:shd w:val="clear" w:color="auto" w:fill="DEEAF6"/>
            <w:vAlign w:val="center"/>
          </w:tcPr>
          <w:p w:rsidR="00271B4F" w:rsidRPr="00682FF4" w:rsidRDefault="00271B4F" w:rsidP="000A4F4D">
            <w:pPr>
              <w:jc w:val="center"/>
              <w:rPr>
                <w:rFonts w:ascii="Verdana" w:hAnsi="Verdana"/>
                <w:b/>
                <w:sz w:val="20"/>
                <w:szCs w:val="20"/>
              </w:rPr>
            </w:pPr>
            <w:r w:rsidRPr="00682FF4">
              <w:rPr>
                <w:rFonts w:ascii="Verdana" w:hAnsi="Verdana"/>
                <w:b/>
                <w:sz w:val="20"/>
                <w:szCs w:val="20"/>
              </w:rPr>
              <w:t>Организация/потребител</w:t>
            </w:r>
          </w:p>
          <w:p w:rsidR="00271B4F" w:rsidRPr="002B35F8" w:rsidRDefault="004A5A84" w:rsidP="004A5A84">
            <w:pPr>
              <w:spacing w:after="60"/>
              <w:jc w:val="center"/>
              <w:rPr>
                <w:rFonts w:ascii="Verdana" w:hAnsi="Verdana"/>
                <w:b/>
                <w:sz w:val="14"/>
                <w:szCs w:val="14"/>
              </w:rPr>
            </w:pPr>
            <w:r w:rsidRPr="002B35F8">
              <w:rPr>
                <w:rFonts w:ascii="Verdana" w:hAnsi="Verdana"/>
                <w:b/>
                <w:sz w:val="14"/>
                <w:szCs w:val="14"/>
              </w:rPr>
              <w:t>(</w:t>
            </w:r>
            <w:r w:rsidR="00271B4F" w:rsidRPr="002B35F8">
              <w:rPr>
                <w:rFonts w:ascii="Verdana" w:hAnsi="Verdana"/>
                <w:b/>
                <w:sz w:val="14"/>
                <w:szCs w:val="14"/>
              </w:rPr>
              <w:t>вкл. начина на получаване на предложението</w:t>
            </w:r>
            <w:r w:rsidRPr="002B35F8">
              <w:rPr>
                <w:rFonts w:ascii="Verdana" w:hAnsi="Verdana"/>
                <w:b/>
                <w:sz w:val="14"/>
                <w:szCs w:val="14"/>
              </w:rPr>
              <w:t>)</w:t>
            </w:r>
          </w:p>
        </w:tc>
        <w:tc>
          <w:tcPr>
            <w:tcW w:w="5765" w:type="dxa"/>
            <w:tcBorders>
              <w:bottom w:val="single" w:sz="36" w:space="0" w:color="2E74B5"/>
            </w:tcBorders>
            <w:shd w:val="clear" w:color="auto" w:fill="DEEAF6"/>
            <w:vAlign w:val="center"/>
          </w:tcPr>
          <w:p w:rsidR="00271B4F" w:rsidRPr="00682FF4" w:rsidRDefault="00271B4F" w:rsidP="000A4F4D">
            <w:pPr>
              <w:jc w:val="center"/>
              <w:rPr>
                <w:rFonts w:ascii="Verdana" w:hAnsi="Verdana"/>
                <w:b/>
                <w:sz w:val="20"/>
                <w:szCs w:val="20"/>
              </w:rPr>
            </w:pPr>
            <w:r w:rsidRPr="00682FF4">
              <w:rPr>
                <w:rFonts w:ascii="Verdana" w:hAnsi="Verdana"/>
                <w:b/>
                <w:sz w:val="20"/>
                <w:szCs w:val="20"/>
              </w:rPr>
              <w:t>Бележки и предложения</w:t>
            </w:r>
          </w:p>
        </w:tc>
        <w:tc>
          <w:tcPr>
            <w:tcW w:w="1620" w:type="dxa"/>
            <w:tcBorders>
              <w:bottom w:val="single" w:sz="36" w:space="0" w:color="2E74B5"/>
            </w:tcBorders>
            <w:shd w:val="clear" w:color="auto" w:fill="DEEAF6"/>
            <w:vAlign w:val="center"/>
          </w:tcPr>
          <w:p w:rsidR="00271B4F" w:rsidRPr="00682FF4" w:rsidRDefault="00271B4F" w:rsidP="000A4F4D">
            <w:pPr>
              <w:jc w:val="center"/>
              <w:rPr>
                <w:rFonts w:ascii="Verdana" w:hAnsi="Verdana"/>
                <w:b/>
                <w:sz w:val="20"/>
                <w:szCs w:val="20"/>
              </w:rPr>
            </w:pPr>
            <w:r w:rsidRPr="00682FF4">
              <w:rPr>
                <w:rFonts w:ascii="Verdana" w:hAnsi="Verdana"/>
                <w:b/>
                <w:sz w:val="20"/>
                <w:szCs w:val="20"/>
              </w:rPr>
              <w:t>Приети/</w:t>
            </w:r>
          </w:p>
          <w:p w:rsidR="00271B4F" w:rsidRPr="00682FF4" w:rsidRDefault="00271B4F" w:rsidP="000A4F4D">
            <w:pPr>
              <w:jc w:val="center"/>
              <w:rPr>
                <w:rFonts w:ascii="Verdana" w:hAnsi="Verdana"/>
                <w:b/>
                <w:sz w:val="20"/>
                <w:szCs w:val="20"/>
              </w:rPr>
            </w:pPr>
            <w:r w:rsidRPr="00682FF4">
              <w:rPr>
                <w:rFonts w:ascii="Verdana" w:hAnsi="Verdana"/>
                <w:b/>
                <w:sz w:val="20"/>
                <w:szCs w:val="20"/>
              </w:rPr>
              <w:t>неприети</w:t>
            </w:r>
          </w:p>
        </w:tc>
        <w:tc>
          <w:tcPr>
            <w:tcW w:w="4478" w:type="dxa"/>
            <w:tcBorders>
              <w:bottom w:val="single" w:sz="36" w:space="0" w:color="2E74B5"/>
            </w:tcBorders>
            <w:shd w:val="clear" w:color="auto" w:fill="DEEAF6"/>
            <w:vAlign w:val="center"/>
          </w:tcPr>
          <w:p w:rsidR="00271B4F" w:rsidRPr="00682FF4" w:rsidRDefault="00271B4F" w:rsidP="000A4F4D">
            <w:pPr>
              <w:jc w:val="center"/>
              <w:rPr>
                <w:rFonts w:ascii="Verdana" w:hAnsi="Verdana"/>
                <w:sz w:val="20"/>
                <w:szCs w:val="20"/>
              </w:rPr>
            </w:pPr>
            <w:r w:rsidRPr="00682FF4">
              <w:rPr>
                <w:rFonts w:ascii="Verdana" w:hAnsi="Verdana"/>
                <w:b/>
                <w:sz w:val="20"/>
                <w:szCs w:val="20"/>
              </w:rPr>
              <w:t>Мотиви</w:t>
            </w:r>
          </w:p>
        </w:tc>
      </w:tr>
      <w:tr w:rsidR="00271B4F" w:rsidRPr="00682FF4" w:rsidTr="002B35F8">
        <w:trPr>
          <w:trHeight w:val="596"/>
          <w:jc w:val="center"/>
        </w:trPr>
        <w:tc>
          <w:tcPr>
            <w:tcW w:w="696" w:type="dxa"/>
            <w:tcBorders>
              <w:bottom w:val="nil"/>
            </w:tcBorders>
            <w:shd w:val="clear" w:color="auto" w:fill="auto"/>
          </w:tcPr>
          <w:p w:rsidR="00271B4F" w:rsidRPr="00682FF4" w:rsidRDefault="002B35F8" w:rsidP="002B35F8">
            <w:pPr>
              <w:tabs>
                <w:tab w:val="left" w:pos="192"/>
              </w:tabs>
              <w:spacing w:before="100"/>
              <w:ind w:right="57"/>
              <w:jc w:val="right"/>
              <w:rPr>
                <w:rFonts w:ascii="Verdana" w:hAnsi="Verdana"/>
                <w:b/>
                <w:sz w:val="20"/>
                <w:szCs w:val="20"/>
              </w:rPr>
            </w:pPr>
            <w:r>
              <w:rPr>
                <w:rFonts w:ascii="Verdana" w:hAnsi="Verdana"/>
                <w:b/>
                <w:sz w:val="20"/>
                <w:szCs w:val="20"/>
              </w:rPr>
              <w:t>1.</w:t>
            </w:r>
          </w:p>
        </w:tc>
        <w:tc>
          <w:tcPr>
            <w:tcW w:w="2835" w:type="dxa"/>
            <w:tcBorders>
              <w:bottom w:val="nil"/>
            </w:tcBorders>
            <w:shd w:val="clear" w:color="auto" w:fill="auto"/>
          </w:tcPr>
          <w:p w:rsidR="00271B4F" w:rsidRDefault="00271B4F" w:rsidP="004A5A84">
            <w:pPr>
              <w:spacing w:before="100" w:after="100"/>
              <w:rPr>
                <w:rFonts w:ascii="Verdana" w:hAnsi="Verdana"/>
                <w:b/>
                <w:sz w:val="20"/>
                <w:szCs w:val="20"/>
              </w:rPr>
            </w:pPr>
            <w:r w:rsidRPr="008A7320">
              <w:rPr>
                <w:rFonts w:ascii="Verdana" w:hAnsi="Verdana"/>
                <w:b/>
                <w:sz w:val="20"/>
                <w:szCs w:val="20"/>
              </w:rPr>
              <w:t>Българска асоциация на производителите на оранжерийна продукция</w:t>
            </w:r>
          </w:p>
          <w:p w:rsidR="00271B4F" w:rsidRPr="00271B4F" w:rsidRDefault="00271B4F" w:rsidP="004A5A84">
            <w:pPr>
              <w:rPr>
                <w:rFonts w:ascii="Verdana" w:hAnsi="Verdana"/>
                <w:sz w:val="20"/>
                <w:szCs w:val="20"/>
              </w:rPr>
            </w:pPr>
            <w:r w:rsidRPr="00271B4F">
              <w:rPr>
                <w:rFonts w:ascii="Verdana" w:hAnsi="Verdana"/>
                <w:sz w:val="20"/>
                <w:szCs w:val="20"/>
              </w:rPr>
              <w:t>(получен коментар по</w:t>
            </w:r>
            <w:bookmarkStart w:id="0" w:name="_GoBack"/>
            <w:bookmarkEnd w:id="0"/>
            <w:r w:rsidRPr="00271B4F">
              <w:rPr>
                <w:rFonts w:ascii="Verdana" w:hAnsi="Verdana"/>
                <w:sz w:val="20"/>
                <w:szCs w:val="20"/>
              </w:rPr>
              <w:t xml:space="preserve"> електронната поща)</w:t>
            </w:r>
          </w:p>
        </w:tc>
        <w:tc>
          <w:tcPr>
            <w:tcW w:w="5765" w:type="dxa"/>
            <w:tcBorders>
              <w:bottom w:val="nil"/>
            </w:tcBorders>
            <w:shd w:val="clear" w:color="auto" w:fill="auto"/>
          </w:tcPr>
          <w:p w:rsidR="00271B4F" w:rsidRPr="00B030BE" w:rsidRDefault="00B34917" w:rsidP="00B34917">
            <w:pPr>
              <w:spacing w:before="100" w:after="100"/>
              <w:jc w:val="both"/>
              <w:rPr>
                <w:rFonts w:ascii="Verdana" w:hAnsi="Verdana" w:cs="Tahoma"/>
                <w:color w:val="333333"/>
                <w:sz w:val="20"/>
                <w:szCs w:val="20"/>
              </w:rPr>
            </w:pPr>
            <w:r w:rsidRPr="00B030BE">
              <w:rPr>
                <w:rFonts w:ascii="Verdana" w:hAnsi="Verdana" w:cs="Tahoma"/>
                <w:color w:val="333333"/>
                <w:sz w:val="20"/>
                <w:szCs w:val="20"/>
              </w:rPr>
              <w:t xml:space="preserve">1. </w:t>
            </w:r>
            <w:r w:rsidR="00271B4F" w:rsidRPr="00B030BE">
              <w:rPr>
                <w:rFonts w:ascii="Verdana" w:hAnsi="Verdana" w:cs="Tahoma"/>
                <w:color w:val="333333"/>
                <w:sz w:val="20"/>
                <w:szCs w:val="20"/>
              </w:rPr>
              <w:t xml:space="preserve">Чл. 13. (3) 3. Включен в списък на търговец на семена и посадъчен материал от декоративни, </w:t>
            </w:r>
            <w:r w:rsidR="00271B4F" w:rsidRPr="00B030BE">
              <w:rPr>
                <w:rFonts w:ascii="Verdana" w:hAnsi="Verdana" w:cs="Tahoma"/>
                <w:sz w:val="20"/>
                <w:szCs w:val="20"/>
              </w:rPr>
              <w:t>медицински и ароматни растения</w:t>
            </w:r>
            <w:r w:rsidR="00271B4F" w:rsidRPr="00B030BE">
              <w:rPr>
                <w:rFonts w:ascii="Verdana" w:hAnsi="Verdana" w:cs="Tahoma"/>
                <w:color w:val="333333"/>
                <w:sz w:val="20"/>
                <w:szCs w:val="20"/>
              </w:rPr>
              <w:t>, който осъществява дейността си в страната и/или в страна-членка на Европейския съюз. Пояснение. Вероятно пропуснат текст.</w:t>
            </w:r>
          </w:p>
          <w:p w:rsidR="00271B4F" w:rsidRPr="004C01A8" w:rsidRDefault="00271B4F" w:rsidP="000A4F4D">
            <w:pPr>
              <w:jc w:val="both"/>
              <w:rPr>
                <w:rFonts w:ascii="Verdana" w:hAnsi="Verdana"/>
                <w:spacing w:val="-2"/>
                <w:sz w:val="20"/>
                <w:szCs w:val="20"/>
              </w:rPr>
            </w:pPr>
          </w:p>
        </w:tc>
        <w:tc>
          <w:tcPr>
            <w:tcW w:w="1620" w:type="dxa"/>
            <w:tcBorders>
              <w:bottom w:val="nil"/>
            </w:tcBorders>
            <w:shd w:val="clear" w:color="auto" w:fill="auto"/>
          </w:tcPr>
          <w:p w:rsidR="00271B4F" w:rsidRPr="00271B4F" w:rsidRDefault="00271B4F" w:rsidP="00B34917">
            <w:pPr>
              <w:spacing w:before="100" w:after="100"/>
              <w:rPr>
                <w:rFonts w:ascii="Verdana" w:hAnsi="Verdana"/>
                <w:color w:val="FF0000"/>
                <w:sz w:val="20"/>
                <w:szCs w:val="20"/>
              </w:rPr>
            </w:pPr>
            <w:r w:rsidRPr="00271B4F">
              <w:rPr>
                <w:rFonts w:ascii="Verdana" w:hAnsi="Verdana"/>
                <w:sz w:val="20"/>
                <w:szCs w:val="20"/>
              </w:rPr>
              <w:t>Не се приема</w:t>
            </w:r>
          </w:p>
          <w:p w:rsidR="00271B4F" w:rsidRPr="00D519E8" w:rsidRDefault="00271B4F" w:rsidP="000A4F4D">
            <w:pPr>
              <w:jc w:val="both"/>
              <w:rPr>
                <w:rFonts w:ascii="Verdana" w:hAnsi="Verdana"/>
                <w:color w:val="FF0000"/>
                <w:sz w:val="20"/>
                <w:szCs w:val="20"/>
              </w:rPr>
            </w:pPr>
          </w:p>
        </w:tc>
        <w:tc>
          <w:tcPr>
            <w:tcW w:w="4478" w:type="dxa"/>
            <w:tcBorders>
              <w:bottom w:val="nil"/>
            </w:tcBorders>
            <w:shd w:val="clear" w:color="auto" w:fill="auto"/>
          </w:tcPr>
          <w:p w:rsidR="00271B4F" w:rsidRPr="00682FF4" w:rsidRDefault="00023F36" w:rsidP="00023F36">
            <w:pPr>
              <w:tabs>
                <w:tab w:val="left" w:pos="162"/>
              </w:tabs>
              <w:spacing w:before="100" w:after="100"/>
              <w:jc w:val="both"/>
              <w:rPr>
                <w:rFonts w:ascii="Verdana" w:hAnsi="Verdana"/>
                <w:color w:val="FF0000"/>
                <w:sz w:val="20"/>
                <w:szCs w:val="20"/>
              </w:rPr>
            </w:pPr>
            <w:r>
              <w:rPr>
                <w:rFonts w:ascii="Verdana" w:hAnsi="Verdana"/>
                <w:sz w:val="20"/>
                <w:szCs w:val="20"/>
              </w:rPr>
              <w:t>1.</w:t>
            </w:r>
            <w:r w:rsidRPr="00023F36">
              <w:rPr>
                <w:rFonts w:ascii="Verdana" w:hAnsi="Verdana"/>
                <w:sz w:val="20"/>
                <w:szCs w:val="20"/>
                <w:lang w:val="ru-RU"/>
              </w:rPr>
              <w:t xml:space="preserve"> </w:t>
            </w:r>
            <w:r w:rsidR="00271B4F" w:rsidRPr="00FF51A5">
              <w:rPr>
                <w:rFonts w:ascii="Verdana" w:hAnsi="Verdana"/>
                <w:sz w:val="20"/>
                <w:szCs w:val="20"/>
              </w:rPr>
              <w:t xml:space="preserve">Предложението за включване на медицински и ароматни растения в </w:t>
            </w:r>
            <w:r w:rsidRPr="00023F36">
              <w:rPr>
                <w:rFonts w:ascii="Verdana" w:hAnsi="Verdana"/>
                <w:sz w:val="20"/>
                <w:szCs w:val="20"/>
                <w:lang w:val="ru-RU"/>
              </w:rPr>
              <w:t xml:space="preserve">   </w:t>
            </w:r>
            <w:r w:rsidR="00271B4F" w:rsidRPr="00FF51A5">
              <w:rPr>
                <w:rFonts w:ascii="Verdana" w:hAnsi="Verdana"/>
                <w:sz w:val="20"/>
                <w:szCs w:val="20"/>
              </w:rPr>
              <w:t>чл. 13, ал. 3, т. 3 се отхвърля, тъй като разпоредбата се отнася само за посадъчен материал от декоративни растения, съгласно чл. 9, т. 1 на Директива 98/56/ЕО на Съвета от 20 юли 1998 г. относно търговията с посадъчен материал на декоративни растения (ОВ L 226/16, 13.8.1998)</w:t>
            </w:r>
            <w:r w:rsidR="00271B4F">
              <w:rPr>
                <w:rFonts w:ascii="Verdana" w:hAnsi="Verdana"/>
                <w:sz w:val="20"/>
                <w:szCs w:val="20"/>
              </w:rPr>
              <w:t>.</w:t>
            </w:r>
          </w:p>
        </w:tc>
      </w:tr>
      <w:tr w:rsidR="00271B4F" w:rsidRPr="00682FF4" w:rsidTr="002B35F8">
        <w:trPr>
          <w:trHeight w:val="596"/>
          <w:jc w:val="center"/>
        </w:trPr>
        <w:tc>
          <w:tcPr>
            <w:tcW w:w="696" w:type="dxa"/>
            <w:tcBorders>
              <w:top w:val="nil"/>
              <w:bottom w:val="nil"/>
            </w:tcBorders>
            <w:shd w:val="clear" w:color="auto" w:fill="auto"/>
          </w:tcPr>
          <w:p w:rsidR="00271B4F" w:rsidRPr="00682FF4" w:rsidRDefault="00271B4F" w:rsidP="000A4F4D">
            <w:pPr>
              <w:tabs>
                <w:tab w:val="left" w:pos="192"/>
              </w:tabs>
              <w:ind w:left="340"/>
              <w:rPr>
                <w:rFonts w:ascii="Verdana" w:hAnsi="Verdana"/>
                <w:b/>
                <w:sz w:val="20"/>
                <w:szCs w:val="20"/>
              </w:rPr>
            </w:pPr>
          </w:p>
        </w:tc>
        <w:tc>
          <w:tcPr>
            <w:tcW w:w="2835" w:type="dxa"/>
            <w:tcBorders>
              <w:top w:val="nil"/>
              <w:bottom w:val="nil"/>
            </w:tcBorders>
            <w:shd w:val="clear" w:color="auto" w:fill="auto"/>
          </w:tcPr>
          <w:p w:rsidR="00271B4F" w:rsidRPr="00AA72D4" w:rsidRDefault="00271B4F" w:rsidP="000A4F4D">
            <w:pPr>
              <w:spacing w:before="40" w:after="20"/>
              <w:jc w:val="both"/>
              <w:rPr>
                <w:rFonts w:ascii="Verdana" w:hAnsi="Verdana"/>
                <w:b/>
                <w:sz w:val="20"/>
                <w:szCs w:val="20"/>
                <w:lang w:val="ru-RU"/>
              </w:rPr>
            </w:pPr>
          </w:p>
        </w:tc>
        <w:tc>
          <w:tcPr>
            <w:tcW w:w="5765" w:type="dxa"/>
            <w:tcBorders>
              <w:top w:val="nil"/>
              <w:bottom w:val="nil"/>
            </w:tcBorders>
            <w:shd w:val="clear" w:color="auto" w:fill="auto"/>
          </w:tcPr>
          <w:p w:rsidR="00271B4F" w:rsidRPr="00B030BE" w:rsidRDefault="00271B4F" w:rsidP="00B34917">
            <w:pPr>
              <w:spacing w:before="100" w:after="100"/>
              <w:jc w:val="both"/>
              <w:rPr>
                <w:rFonts w:ascii="Verdana" w:hAnsi="Verdana"/>
                <w:spacing w:val="-2"/>
                <w:sz w:val="20"/>
                <w:szCs w:val="20"/>
              </w:rPr>
            </w:pPr>
            <w:r w:rsidRPr="00B030BE">
              <w:rPr>
                <w:rFonts w:ascii="Verdana" w:hAnsi="Verdana"/>
                <w:spacing w:val="-2"/>
                <w:sz w:val="20"/>
                <w:szCs w:val="20"/>
                <w:lang w:val="ru-RU"/>
              </w:rPr>
              <w:t>2</w:t>
            </w:r>
            <w:r w:rsidRPr="00B030BE">
              <w:rPr>
                <w:rFonts w:ascii="Verdana" w:hAnsi="Verdana"/>
                <w:spacing w:val="-2"/>
                <w:sz w:val="20"/>
                <w:szCs w:val="20"/>
              </w:rPr>
              <w:t xml:space="preserve">. </w:t>
            </w:r>
            <w:r w:rsidR="00B34917" w:rsidRPr="00B030BE">
              <w:rPr>
                <w:rFonts w:ascii="Verdana" w:hAnsi="Verdana"/>
                <w:spacing w:val="-2"/>
                <w:sz w:val="20"/>
                <w:szCs w:val="20"/>
              </w:rPr>
              <w:t>Да отпадне: Чл. 62. (1) (Изм. – ДВ, бр. 17 от 2018 г., в сила от 23.02.2018 г.) Всеки търговец е длъжен да води книга за произхода и количеството на посевния и посадъчния материал, който произвежда, и/или с който извършва търговия. (2) Съдържанието и редът за водене на книгите по ал. 1 се определят с наредбата по чл. 28, ал. 5. Излишна административна тежест. Не е ясна причината за воденето на този дневник. Глава осма от закона вече определя правилата за контрол.</w:t>
            </w:r>
          </w:p>
        </w:tc>
        <w:tc>
          <w:tcPr>
            <w:tcW w:w="1620" w:type="dxa"/>
            <w:tcBorders>
              <w:top w:val="nil"/>
              <w:bottom w:val="nil"/>
            </w:tcBorders>
            <w:shd w:val="clear" w:color="auto" w:fill="auto"/>
          </w:tcPr>
          <w:p w:rsidR="00B34917" w:rsidRPr="00271B4F" w:rsidRDefault="00B34917" w:rsidP="00B34917">
            <w:pPr>
              <w:spacing w:before="100" w:after="100"/>
              <w:rPr>
                <w:rFonts w:ascii="Verdana" w:hAnsi="Verdana"/>
                <w:color w:val="FF0000"/>
                <w:sz w:val="20"/>
                <w:szCs w:val="20"/>
              </w:rPr>
            </w:pPr>
            <w:r w:rsidRPr="00271B4F">
              <w:rPr>
                <w:rFonts w:ascii="Verdana" w:hAnsi="Verdana"/>
                <w:sz w:val="20"/>
                <w:szCs w:val="20"/>
              </w:rPr>
              <w:t>Не се приема</w:t>
            </w:r>
          </w:p>
          <w:p w:rsidR="00271B4F" w:rsidRPr="00682FF4" w:rsidRDefault="00271B4F" w:rsidP="000A4F4D">
            <w:pPr>
              <w:spacing w:before="40" w:after="20"/>
              <w:rPr>
                <w:rFonts w:ascii="Verdana" w:hAnsi="Verdana"/>
                <w:color w:val="FF0000"/>
                <w:sz w:val="20"/>
                <w:szCs w:val="20"/>
              </w:rPr>
            </w:pPr>
          </w:p>
        </w:tc>
        <w:tc>
          <w:tcPr>
            <w:tcW w:w="4478" w:type="dxa"/>
            <w:tcBorders>
              <w:top w:val="nil"/>
              <w:bottom w:val="nil"/>
            </w:tcBorders>
            <w:shd w:val="clear" w:color="auto" w:fill="auto"/>
          </w:tcPr>
          <w:p w:rsidR="00271B4F" w:rsidRPr="00682FF4" w:rsidRDefault="00B34917" w:rsidP="00B34917">
            <w:pPr>
              <w:spacing w:before="100" w:after="100"/>
              <w:jc w:val="both"/>
              <w:rPr>
                <w:rFonts w:ascii="Verdana" w:hAnsi="Verdana"/>
                <w:color w:val="FF0000"/>
                <w:sz w:val="20"/>
                <w:szCs w:val="20"/>
              </w:rPr>
            </w:pPr>
            <w:r>
              <w:rPr>
                <w:rFonts w:ascii="Verdana" w:hAnsi="Verdana"/>
                <w:sz w:val="20"/>
                <w:szCs w:val="20"/>
              </w:rPr>
              <w:t xml:space="preserve">2. </w:t>
            </w:r>
            <w:r w:rsidRPr="00190956">
              <w:rPr>
                <w:rFonts w:ascii="Verdana" w:hAnsi="Verdana"/>
                <w:sz w:val="20"/>
                <w:szCs w:val="20"/>
              </w:rPr>
              <w:t>Предложени</w:t>
            </w:r>
            <w:r>
              <w:rPr>
                <w:rFonts w:ascii="Verdana" w:hAnsi="Verdana"/>
                <w:sz w:val="20"/>
                <w:szCs w:val="20"/>
              </w:rPr>
              <w:t>ето</w:t>
            </w:r>
            <w:r w:rsidRPr="00190956">
              <w:rPr>
                <w:rFonts w:ascii="Verdana" w:hAnsi="Verdana"/>
                <w:sz w:val="20"/>
                <w:szCs w:val="20"/>
              </w:rPr>
              <w:t xml:space="preserve"> за отмяна на чл. 62 от Закона за посевния и посадъчния материал за отпадане на изискването за водене на книга на </w:t>
            </w:r>
            <w:r>
              <w:rPr>
                <w:rFonts w:ascii="Verdana" w:hAnsi="Verdana"/>
                <w:sz w:val="20"/>
                <w:szCs w:val="20"/>
              </w:rPr>
              <w:t>т</w:t>
            </w:r>
            <w:r w:rsidRPr="00190956">
              <w:rPr>
                <w:rFonts w:ascii="Verdana" w:hAnsi="Verdana"/>
                <w:sz w:val="20"/>
                <w:szCs w:val="20"/>
              </w:rPr>
              <w:t xml:space="preserve">ърговците на посевен и посадъчен материал не се приема, поради необходимост от наличие на проследимост на свободното движение на посевния и посадъчния материал в рамките на Европейския съюз (ЕС), за да се гарантира по-качествен контрол след това. Компетентните власти на държавите-членки следва да гарантират посредством контрол и инспекции, че предлагания посевен и посадъчен материал на територията на ЕС е с добро качество и гарантирана идентичност. Освен това, за гарантиране на идентичността и </w:t>
            </w:r>
            <w:r w:rsidRPr="00190956">
              <w:rPr>
                <w:rFonts w:ascii="Verdana" w:hAnsi="Verdana"/>
                <w:sz w:val="20"/>
                <w:szCs w:val="20"/>
              </w:rPr>
              <w:lastRenderedPageBreak/>
              <w:t>редовната търговия с посадъчен материал е важно партидите да бъдат разграничени, чрез водене на регистри за продадения и закупения посадъчен материал.</w:t>
            </w:r>
          </w:p>
        </w:tc>
      </w:tr>
      <w:tr w:rsidR="00796D71" w:rsidRPr="00682FF4" w:rsidTr="002B35F8">
        <w:trPr>
          <w:trHeight w:val="2298"/>
          <w:jc w:val="center"/>
        </w:trPr>
        <w:tc>
          <w:tcPr>
            <w:tcW w:w="696" w:type="dxa"/>
            <w:tcBorders>
              <w:top w:val="nil"/>
              <w:bottom w:val="single" w:sz="4" w:space="0" w:color="auto"/>
            </w:tcBorders>
            <w:shd w:val="clear" w:color="auto" w:fill="auto"/>
          </w:tcPr>
          <w:p w:rsidR="00796D71" w:rsidRPr="00682FF4" w:rsidRDefault="00796D71" w:rsidP="000A4F4D">
            <w:pPr>
              <w:tabs>
                <w:tab w:val="left" w:pos="192"/>
              </w:tabs>
              <w:ind w:left="340"/>
              <w:rPr>
                <w:rFonts w:ascii="Verdana" w:hAnsi="Verdana"/>
                <w:b/>
                <w:sz w:val="20"/>
                <w:szCs w:val="20"/>
              </w:rPr>
            </w:pPr>
          </w:p>
        </w:tc>
        <w:tc>
          <w:tcPr>
            <w:tcW w:w="2835" w:type="dxa"/>
            <w:tcBorders>
              <w:top w:val="nil"/>
              <w:bottom w:val="single" w:sz="4" w:space="0" w:color="auto"/>
            </w:tcBorders>
            <w:shd w:val="clear" w:color="auto" w:fill="auto"/>
          </w:tcPr>
          <w:p w:rsidR="00796D71" w:rsidRPr="00AA72D4" w:rsidRDefault="00796D71" w:rsidP="000A4F4D">
            <w:pPr>
              <w:spacing w:before="40" w:after="20"/>
              <w:jc w:val="both"/>
              <w:rPr>
                <w:rFonts w:ascii="Verdana" w:hAnsi="Verdana"/>
                <w:b/>
                <w:sz w:val="20"/>
                <w:szCs w:val="20"/>
                <w:lang w:val="ru-RU"/>
              </w:rPr>
            </w:pPr>
          </w:p>
        </w:tc>
        <w:tc>
          <w:tcPr>
            <w:tcW w:w="5765" w:type="dxa"/>
            <w:tcBorders>
              <w:top w:val="nil"/>
              <w:bottom w:val="single" w:sz="4" w:space="0" w:color="auto"/>
            </w:tcBorders>
            <w:shd w:val="clear" w:color="auto" w:fill="auto"/>
          </w:tcPr>
          <w:p w:rsidR="00796D71" w:rsidRPr="00B030BE" w:rsidRDefault="00796D71" w:rsidP="00B34917">
            <w:pPr>
              <w:spacing w:before="100" w:after="100"/>
              <w:jc w:val="both"/>
              <w:rPr>
                <w:rFonts w:ascii="Verdana" w:hAnsi="Verdana"/>
                <w:spacing w:val="-2"/>
                <w:sz w:val="20"/>
                <w:szCs w:val="20"/>
              </w:rPr>
            </w:pPr>
            <w:r w:rsidRPr="00B030BE">
              <w:rPr>
                <w:rFonts w:ascii="Verdana" w:hAnsi="Verdana"/>
                <w:spacing w:val="-2"/>
                <w:sz w:val="20"/>
                <w:szCs w:val="20"/>
              </w:rPr>
              <w:t>3. Да отпадне: Чл. 90. (1) Който не води книга в нарушение на чл. 62, ал. 1, се наказва с глоба от 200 до 1000 лв. (2) Ако нарушението по ал. 1 е извършено от юридическо лице или едноличен търговец, се налага имуществена санкция в размер от 500 до 2000 лв. Отнася се към чл. 62. Излишна административна тежест. Не е ясна причината за воденето на този дневник. Глава осма вече определя правилата за контрол.</w:t>
            </w:r>
          </w:p>
        </w:tc>
        <w:tc>
          <w:tcPr>
            <w:tcW w:w="1620" w:type="dxa"/>
            <w:tcBorders>
              <w:top w:val="nil"/>
              <w:bottom w:val="single" w:sz="4" w:space="0" w:color="auto"/>
            </w:tcBorders>
            <w:shd w:val="clear" w:color="auto" w:fill="auto"/>
          </w:tcPr>
          <w:p w:rsidR="00796D71" w:rsidRPr="00B34917" w:rsidRDefault="00796D71" w:rsidP="00B34917">
            <w:pPr>
              <w:spacing w:before="100" w:after="100"/>
              <w:rPr>
                <w:rFonts w:ascii="Verdana" w:hAnsi="Verdana"/>
                <w:sz w:val="20"/>
                <w:szCs w:val="20"/>
              </w:rPr>
            </w:pPr>
            <w:r w:rsidRPr="00B34917">
              <w:rPr>
                <w:rFonts w:ascii="Verdana" w:hAnsi="Verdana"/>
                <w:sz w:val="20"/>
                <w:szCs w:val="20"/>
              </w:rPr>
              <w:t>Не се приема</w:t>
            </w:r>
          </w:p>
          <w:p w:rsidR="00796D71" w:rsidRPr="00682FF4" w:rsidRDefault="00796D71" w:rsidP="000A4F4D">
            <w:pPr>
              <w:spacing w:before="40" w:after="20"/>
              <w:rPr>
                <w:rFonts w:ascii="Verdana" w:hAnsi="Verdana"/>
                <w:color w:val="FF0000"/>
                <w:sz w:val="20"/>
                <w:szCs w:val="20"/>
              </w:rPr>
            </w:pPr>
          </w:p>
        </w:tc>
        <w:tc>
          <w:tcPr>
            <w:tcW w:w="4478" w:type="dxa"/>
            <w:tcBorders>
              <w:top w:val="nil"/>
              <w:bottom w:val="single" w:sz="4" w:space="0" w:color="auto"/>
            </w:tcBorders>
            <w:shd w:val="clear" w:color="auto" w:fill="auto"/>
          </w:tcPr>
          <w:p w:rsidR="00796D71" w:rsidRPr="00682FF4" w:rsidRDefault="00796D71" w:rsidP="00B34917">
            <w:pPr>
              <w:spacing w:before="100" w:after="100"/>
              <w:jc w:val="both"/>
              <w:rPr>
                <w:rFonts w:ascii="Verdana" w:hAnsi="Verdana"/>
                <w:color w:val="FF0000"/>
                <w:sz w:val="20"/>
                <w:szCs w:val="20"/>
              </w:rPr>
            </w:pPr>
            <w:r>
              <w:rPr>
                <w:rFonts w:ascii="Verdana" w:hAnsi="Verdana"/>
                <w:sz w:val="20"/>
                <w:szCs w:val="20"/>
              </w:rPr>
              <w:t>3. Отнася се към предишната точка, която  не се приема.</w:t>
            </w:r>
          </w:p>
        </w:tc>
      </w:tr>
      <w:tr w:rsidR="00A11ECD" w:rsidRPr="00682FF4" w:rsidTr="002B35F8">
        <w:trPr>
          <w:jc w:val="center"/>
        </w:trPr>
        <w:tc>
          <w:tcPr>
            <w:tcW w:w="696" w:type="dxa"/>
            <w:vMerge w:val="restart"/>
            <w:tcBorders>
              <w:top w:val="single" w:sz="4" w:space="0" w:color="auto"/>
            </w:tcBorders>
            <w:shd w:val="clear" w:color="auto" w:fill="auto"/>
          </w:tcPr>
          <w:p w:rsidR="00A11ECD" w:rsidRPr="00682FF4" w:rsidRDefault="00A11ECD" w:rsidP="002B35F8">
            <w:pPr>
              <w:tabs>
                <w:tab w:val="left" w:pos="192"/>
              </w:tabs>
              <w:spacing w:before="100"/>
              <w:ind w:right="57"/>
              <w:jc w:val="right"/>
              <w:rPr>
                <w:rFonts w:ascii="Verdana" w:hAnsi="Verdana"/>
                <w:b/>
                <w:sz w:val="20"/>
                <w:szCs w:val="20"/>
              </w:rPr>
            </w:pPr>
          </w:p>
        </w:tc>
        <w:tc>
          <w:tcPr>
            <w:tcW w:w="2835" w:type="dxa"/>
            <w:vMerge w:val="restart"/>
            <w:tcBorders>
              <w:top w:val="single" w:sz="4" w:space="0" w:color="auto"/>
            </w:tcBorders>
            <w:shd w:val="clear" w:color="auto" w:fill="auto"/>
          </w:tcPr>
          <w:p w:rsidR="00A11ECD" w:rsidRDefault="00A11ECD" w:rsidP="002B35F8">
            <w:pPr>
              <w:spacing w:before="100" w:after="100"/>
              <w:rPr>
                <w:rFonts w:ascii="Verdana" w:hAnsi="Verdana"/>
                <w:b/>
                <w:sz w:val="20"/>
                <w:szCs w:val="20"/>
              </w:rPr>
            </w:pPr>
            <w:r w:rsidRPr="008A7320">
              <w:rPr>
                <w:rFonts w:ascii="Verdana" w:hAnsi="Verdana"/>
                <w:b/>
                <w:sz w:val="20"/>
                <w:szCs w:val="20"/>
              </w:rPr>
              <w:t>Българска асоциация на производителите на оранжерийна продукция</w:t>
            </w:r>
          </w:p>
          <w:p w:rsidR="00A11ECD" w:rsidRPr="00AA72D4" w:rsidRDefault="00A11ECD" w:rsidP="002B35F8">
            <w:pPr>
              <w:spacing w:before="40" w:after="20"/>
              <w:rPr>
                <w:rFonts w:ascii="Verdana" w:hAnsi="Verdana"/>
                <w:b/>
                <w:sz w:val="20"/>
                <w:szCs w:val="20"/>
                <w:lang w:val="ru-RU"/>
              </w:rPr>
            </w:pPr>
            <w:r w:rsidRPr="00271B4F">
              <w:rPr>
                <w:rFonts w:ascii="Verdana" w:hAnsi="Verdana"/>
                <w:sz w:val="20"/>
                <w:szCs w:val="20"/>
              </w:rPr>
              <w:t>(</w:t>
            </w:r>
            <w:r>
              <w:rPr>
                <w:rFonts w:ascii="Verdana" w:hAnsi="Verdana"/>
                <w:sz w:val="20"/>
                <w:szCs w:val="20"/>
              </w:rPr>
              <w:t>повторно съгласуване –</w:t>
            </w:r>
            <w:r w:rsidRPr="00271B4F">
              <w:rPr>
                <w:rFonts w:ascii="Verdana" w:hAnsi="Verdana"/>
                <w:sz w:val="20"/>
                <w:szCs w:val="20"/>
              </w:rPr>
              <w:t>по електронната поща)</w:t>
            </w:r>
          </w:p>
        </w:tc>
        <w:tc>
          <w:tcPr>
            <w:tcW w:w="5765" w:type="dxa"/>
            <w:tcBorders>
              <w:top w:val="single" w:sz="4" w:space="0" w:color="auto"/>
              <w:bottom w:val="nil"/>
            </w:tcBorders>
            <w:shd w:val="clear" w:color="auto" w:fill="auto"/>
          </w:tcPr>
          <w:p w:rsidR="00A11ECD" w:rsidRPr="00B030BE" w:rsidRDefault="00A11ECD" w:rsidP="002B35F8">
            <w:pPr>
              <w:pStyle w:val="Standard"/>
              <w:spacing w:before="100" w:after="100" w:line="276" w:lineRule="auto"/>
              <w:jc w:val="both"/>
              <w:rPr>
                <w:rFonts w:ascii="Verdana" w:eastAsia="Times New Roman" w:hAnsi="Verdana"/>
                <w:spacing w:val="-2"/>
                <w:sz w:val="20"/>
                <w:szCs w:val="20"/>
                <w:lang w:eastAsia="bg-BG"/>
              </w:rPr>
            </w:pPr>
            <w:r w:rsidRPr="00B030BE">
              <w:rPr>
                <w:rFonts w:ascii="Verdana" w:eastAsia="Times New Roman" w:hAnsi="Verdana"/>
                <w:spacing w:val="-2"/>
                <w:sz w:val="20"/>
                <w:szCs w:val="20"/>
                <w:lang w:eastAsia="bg-BG"/>
              </w:rPr>
              <w:t>Благодаря за писмото, приемаме мотивите Ви, въпреки това Ви молим да се съобразите със следните аргументи/предложения за намаляване на административните тежести и спазване на конфиденциалността/неприкосновеността на данните за потребителите (търговска тайна).</w:t>
            </w:r>
          </w:p>
        </w:tc>
        <w:tc>
          <w:tcPr>
            <w:tcW w:w="1620" w:type="dxa"/>
            <w:tcBorders>
              <w:top w:val="single" w:sz="4" w:space="0" w:color="auto"/>
              <w:bottom w:val="nil"/>
            </w:tcBorders>
            <w:shd w:val="clear" w:color="auto" w:fill="auto"/>
          </w:tcPr>
          <w:p w:rsidR="00A11ECD" w:rsidRPr="00B030BE" w:rsidRDefault="00A11ECD" w:rsidP="002B35F8">
            <w:pPr>
              <w:spacing w:before="100" w:after="100"/>
              <w:rPr>
                <w:rFonts w:ascii="Verdana" w:hAnsi="Verdana"/>
                <w:color w:val="FF0000"/>
                <w:sz w:val="20"/>
                <w:szCs w:val="20"/>
              </w:rPr>
            </w:pPr>
          </w:p>
        </w:tc>
        <w:tc>
          <w:tcPr>
            <w:tcW w:w="4478" w:type="dxa"/>
            <w:tcBorders>
              <w:top w:val="single" w:sz="4" w:space="0" w:color="auto"/>
              <w:bottom w:val="nil"/>
            </w:tcBorders>
            <w:shd w:val="clear" w:color="auto" w:fill="auto"/>
          </w:tcPr>
          <w:p w:rsidR="00A11ECD" w:rsidRDefault="00A11ECD" w:rsidP="002B35F8">
            <w:pPr>
              <w:spacing w:before="100" w:after="100"/>
              <w:jc w:val="both"/>
              <w:rPr>
                <w:rFonts w:ascii="Verdana" w:hAnsi="Verdana"/>
                <w:sz w:val="20"/>
                <w:szCs w:val="20"/>
              </w:rPr>
            </w:pPr>
          </w:p>
        </w:tc>
      </w:tr>
      <w:tr w:rsidR="002B35F8" w:rsidRPr="00682FF4" w:rsidTr="002B35F8">
        <w:trPr>
          <w:jc w:val="center"/>
        </w:trPr>
        <w:tc>
          <w:tcPr>
            <w:tcW w:w="696" w:type="dxa"/>
            <w:vMerge/>
            <w:tcBorders>
              <w:bottom w:val="nil"/>
            </w:tcBorders>
            <w:shd w:val="clear" w:color="auto" w:fill="auto"/>
          </w:tcPr>
          <w:p w:rsidR="002B35F8" w:rsidRPr="00682FF4" w:rsidRDefault="002B35F8" w:rsidP="000A4F4D">
            <w:pPr>
              <w:tabs>
                <w:tab w:val="left" w:pos="192"/>
              </w:tabs>
              <w:ind w:left="340"/>
              <w:rPr>
                <w:rFonts w:ascii="Verdana" w:hAnsi="Verdana"/>
                <w:b/>
                <w:sz w:val="20"/>
                <w:szCs w:val="20"/>
              </w:rPr>
            </w:pPr>
          </w:p>
        </w:tc>
        <w:tc>
          <w:tcPr>
            <w:tcW w:w="2835" w:type="dxa"/>
            <w:vMerge/>
            <w:tcBorders>
              <w:bottom w:val="nil"/>
            </w:tcBorders>
            <w:shd w:val="clear" w:color="auto" w:fill="auto"/>
          </w:tcPr>
          <w:p w:rsidR="002B35F8" w:rsidRPr="00AA72D4" w:rsidRDefault="002B35F8" w:rsidP="000A4F4D">
            <w:pPr>
              <w:spacing w:before="40" w:after="20"/>
              <w:jc w:val="both"/>
              <w:rPr>
                <w:rFonts w:ascii="Verdana" w:hAnsi="Verdana"/>
                <w:b/>
                <w:sz w:val="20"/>
                <w:szCs w:val="20"/>
                <w:lang w:val="ru-RU"/>
              </w:rPr>
            </w:pPr>
          </w:p>
        </w:tc>
        <w:tc>
          <w:tcPr>
            <w:tcW w:w="5765" w:type="dxa"/>
            <w:tcBorders>
              <w:top w:val="nil"/>
              <w:bottom w:val="nil"/>
            </w:tcBorders>
            <w:shd w:val="clear" w:color="auto" w:fill="auto"/>
          </w:tcPr>
          <w:p w:rsidR="002B35F8" w:rsidRPr="00B030BE" w:rsidRDefault="002B35F8" w:rsidP="002B35F8">
            <w:pPr>
              <w:pStyle w:val="Standard"/>
              <w:spacing w:before="100" w:after="100" w:line="276" w:lineRule="auto"/>
              <w:jc w:val="both"/>
              <w:rPr>
                <w:rFonts w:ascii="Verdana" w:eastAsia="Times New Roman" w:hAnsi="Verdana"/>
                <w:spacing w:val="-2"/>
                <w:sz w:val="20"/>
                <w:szCs w:val="20"/>
                <w:lang w:eastAsia="bg-BG"/>
              </w:rPr>
            </w:pPr>
            <w:r w:rsidRPr="00B030BE">
              <w:rPr>
                <w:rFonts w:ascii="Verdana" w:eastAsia="Times New Roman" w:hAnsi="Verdana"/>
                <w:spacing w:val="-2"/>
                <w:sz w:val="20"/>
                <w:szCs w:val="20"/>
                <w:lang w:eastAsia="bg-BG"/>
              </w:rPr>
              <w:t>1. Възможност за водене на електронен дневник</w:t>
            </w:r>
            <w:r>
              <w:rPr>
                <w:rFonts w:ascii="Verdana" w:eastAsia="Times New Roman" w:hAnsi="Verdana"/>
                <w:spacing w:val="-2"/>
                <w:sz w:val="20"/>
                <w:szCs w:val="20"/>
                <w:lang w:eastAsia="bg-BG"/>
              </w:rPr>
              <w:t>;</w:t>
            </w:r>
          </w:p>
        </w:tc>
        <w:tc>
          <w:tcPr>
            <w:tcW w:w="1620" w:type="dxa"/>
            <w:tcBorders>
              <w:top w:val="nil"/>
              <w:bottom w:val="nil"/>
            </w:tcBorders>
            <w:shd w:val="clear" w:color="auto" w:fill="auto"/>
          </w:tcPr>
          <w:p w:rsidR="002B35F8" w:rsidRPr="009665F2" w:rsidRDefault="00F055BB" w:rsidP="00F055BB">
            <w:pPr>
              <w:spacing w:before="100" w:after="100"/>
              <w:rPr>
                <w:rFonts w:ascii="Verdana" w:hAnsi="Verdana"/>
                <w:color w:val="FF0000"/>
                <w:sz w:val="20"/>
                <w:szCs w:val="20"/>
              </w:rPr>
            </w:pPr>
            <w:r>
              <w:rPr>
                <w:rFonts w:ascii="Verdana" w:hAnsi="Verdana"/>
                <w:sz w:val="20"/>
                <w:szCs w:val="20"/>
              </w:rPr>
              <w:t xml:space="preserve">Не се приема </w:t>
            </w:r>
          </w:p>
        </w:tc>
        <w:tc>
          <w:tcPr>
            <w:tcW w:w="4478" w:type="dxa"/>
            <w:tcBorders>
              <w:top w:val="nil"/>
              <w:bottom w:val="nil"/>
            </w:tcBorders>
            <w:shd w:val="clear" w:color="auto" w:fill="auto"/>
          </w:tcPr>
          <w:p w:rsidR="002B35F8" w:rsidRPr="00467583" w:rsidRDefault="00467583" w:rsidP="001B5904">
            <w:pPr>
              <w:spacing w:before="100" w:after="100"/>
              <w:jc w:val="both"/>
              <w:rPr>
                <w:rFonts w:ascii="Verdana" w:hAnsi="Verdana"/>
                <w:sz w:val="20"/>
                <w:szCs w:val="20"/>
              </w:rPr>
            </w:pPr>
            <w:r w:rsidRPr="00467583">
              <w:rPr>
                <w:rFonts w:ascii="Verdana" w:hAnsi="Verdana"/>
                <w:sz w:val="20"/>
                <w:szCs w:val="20"/>
              </w:rPr>
              <w:t xml:space="preserve">Предложението </w:t>
            </w:r>
            <w:r w:rsidR="0033761B">
              <w:rPr>
                <w:rFonts w:ascii="Verdana" w:hAnsi="Verdana"/>
                <w:sz w:val="20"/>
                <w:szCs w:val="20"/>
              </w:rPr>
              <w:t xml:space="preserve">не </w:t>
            </w:r>
            <w:r w:rsidRPr="00467583">
              <w:rPr>
                <w:rFonts w:ascii="Verdana" w:hAnsi="Verdana"/>
                <w:sz w:val="20"/>
                <w:szCs w:val="20"/>
              </w:rPr>
              <w:t xml:space="preserve">се отнася </w:t>
            </w:r>
            <w:r w:rsidR="0033761B">
              <w:rPr>
                <w:rFonts w:ascii="Verdana" w:hAnsi="Verdana"/>
                <w:sz w:val="20"/>
                <w:szCs w:val="20"/>
              </w:rPr>
              <w:t xml:space="preserve">за проекта на Закон за изменение и допълнение на Закона за посевния и посадъчния материал, а </w:t>
            </w:r>
            <w:r w:rsidRPr="00467583">
              <w:rPr>
                <w:rFonts w:ascii="Verdana" w:hAnsi="Verdana"/>
                <w:sz w:val="20"/>
                <w:szCs w:val="20"/>
              </w:rPr>
              <w:t xml:space="preserve">за </w:t>
            </w:r>
            <w:r w:rsidR="00804960">
              <w:rPr>
                <w:rFonts w:ascii="Verdana" w:hAnsi="Verdana"/>
                <w:sz w:val="20"/>
                <w:szCs w:val="20"/>
              </w:rPr>
              <w:t xml:space="preserve">текст от </w:t>
            </w:r>
            <w:r w:rsidRPr="00467583">
              <w:rPr>
                <w:rFonts w:ascii="Verdana" w:hAnsi="Verdana"/>
                <w:sz w:val="20"/>
                <w:szCs w:val="20"/>
              </w:rPr>
              <w:t xml:space="preserve">наредбата по </w:t>
            </w:r>
            <w:r>
              <w:rPr>
                <w:rFonts w:ascii="Verdana" w:hAnsi="Verdana"/>
                <w:sz w:val="20"/>
                <w:szCs w:val="20"/>
              </w:rPr>
              <w:t>чл. 28, ал. 5 от ЗППМ.</w:t>
            </w:r>
          </w:p>
        </w:tc>
      </w:tr>
      <w:tr w:rsidR="00A11ECD" w:rsidRPr="00682FF4" w:rsidTr="002B35F8">
        <w:trPr>
          <w:jc w:val="center"/>
        </w:trPr>
        <w:tc>
          <w:tcPr>
            <w:tcW w:w="696" w:type="dxa"/>
            <w:vMerge/>
            <w:tcBorders>
              <w:bottom w:val="nil"/>
            </w:tcBorders>
            <w:shd w:val="clear" w:color="auto" w:fill="auto"/>
          </w:tcPr>
          <w:p w:rsidR="00A11ECD" w:rsidRPr="00682FF4" w:rsidRDefault="00A11ECD" w:rsidP="000A4F4D">
            <w:pPr>
              <w:tabs>
                <w:tab w:val="left" w:pos="192"/>
              </w:tabs>
              <w:ind w:left="340"/>
              <w:rPr>
                <w:rFonts w:ascii="Verdana" w:hAnsi="Verdana"/>
                <w:b/>
                <w:sz w:val="20"/>
                <w:szCs w:val="20"/>
              </w:rPr>
            </w:pPr>
          </w:p>
        </w:tc>
        <w:tc>
          <w:tcPr>
            <w:tcW w:w="2835" w:type="dxa"/>
            <w:vMerge/>
            <w:tcBorders>
              <w:bottom w:val="nil"/>
            </w:tcBorders>
            <w:shd w:val="clear" w:color="auto" w:fill="auto"/>
          </w:tcPr>
          <w:p w:rsidR="00A11ECD" w:rsidRPr="00AA72D4" w:rsidRDefault="00A11ECD" w:rsidP="000A4F4D">
            <w:pPr>
              <w:spacing w:before="40" w:after="20"/>
              <w:jc w:val="both"/>
              <w:rPr>
                <w:rFonts w:ascii="Verdana" w:hAnsi="Verdana"/>
                <w:b/>
                <w:sz w:val="20"/>
                <w:szCs w:val="20"/>
                <w:lang w:val="ru-RU"/>
              </w:rPr>
            </w:pPr>
          </w:p>
        </w:tc>
        <w:tc>
          <w:tcPr>
            <w:tcW w:w="5765" w:type="dxa"/>
            <w:tcBorders>
              <w:top w:val="nil"/>
              <w:bottom w:val="nil"/>
            </w:tcBorders>
            <w:shd w:val="clear" w:color="auto" w:fill="auto"/>
          </w:tcPr>
          <w:p w:rsidR="00A11ECD" w:rsidRPr="00B030BE" w:rsidRDefault="00A11ECD" w:rsidP="002B35F8">
            <w:pPr>
              <w:pStyle w:val="Standard"/>
              <w:spacing w:before="100" w:after="100" w:line="276" w:lineRule="auto"/>
              <w:jc w:val="both"/>
              <w:rPr>
                <w:rFonts w:ascii="Verdana" w:eastAsia="Times New Roman" w:hAnsi="Verdana"/>
                <w:spacing w:val="-2"/>
                <w:sz w:val="20"/>
                <w:szCs w:val="20"/>
                <w:lang w:eastAsia="bg-BG"/>
              </w:rPr>
            </w:pPr>
            <w:r w:rsidRPr="00B030BE">
              <w:rPr>
                <w:rFonts w:ascii="Verdana" w:eastAsia="Times New Roman" w:hAnsi="Verdana"/>
                <w:spacing w:val="-2"/>
                <w:sz w:val="20"/>
                <w:szCs w:val="20"/>
                <w:lang w:eastAsia="bg-BG"/>
              </w:rPr>
              <w:t>2. Опростяване на дневника за да се избегне дублирането на информация и отстраняване на излишнат</w:t>
            </w:r>
            <w:r>
              <w:rPr>
                <w:rFonts w:ascii="Verdana" w:eastAsia="Times New Roman" w:hAnsi="Verdana"/>
                <w:spacing w:val="-2"/>
                <w:sz w:val="20"/>
                <w:szCs w:val="20"/>
                <w:lang w:eastAsia="bg-BG"/>
              </w:rPr>
              <w:t>а.</w:t>
            </w:r>
          </w:p>
        </w:tc>
        <w:tc>
          <w:tcPr>
            <w:tcW w:w="1620" w:type="dxa"/>
            <w:tcBorders>
              <w:top w:val="nil"/>
              <w:bottom w:val="nil"/>
            </w:tcBorders>
            <w:shd w:val="clear" w:color="auto" w:fill="auto"/>
          </w:tcPr>
          <w:p w:rsidR="00A11ECD" w:rsidRPr="00AD0D28" w:rsidRDefault="00AA0EF5" w:rsidP="00AA0EF5">
            <w:pPr>
              <w:spacing w:before="100" w:after="100"/>
              <w:rPr>
                <w:rFonts w:ascii="Verdana" w:hAnsi="Verdana"/>
                <w:sz w:val="20"/>
                <w:szCs w:val="20"/>
              </w:rPr>
            </w:pPr>
            <w:r>
              <w:rPr>
                <w:rFonts w:ascii="Verdana" w:hAnsi="Verdana"/>
                <w:sz w:val="20"/>
                <w:szCs w:val="20"/>
              </w:rPr>
              <w:t>Не се приема</w:t>
            </w:r>
          </w:p>
        </w:tc>
        <w:tc>
          <w:tcPr>
            <w:tcW w:w="4478" w:type="dxa"/>
            <w:tcBorders>
              <w:top w:val="nil"/>
              <w:bottom w:val="nil"/>
            </w:tcBorders>
            <w:shd w:val="clear" w:color="auto" w:fill="auto"/>
          </w:tcPr>
          <w:p w:rsidR="00A11ECD" w:rsidRPr="009665F2" w:rsidRDefault="00804960" w:rsidP="005F596B">
            <w:pPr>
              <w:spacing w:before="100"/>
              <w:jc w:val="both"/>
              <w:rPr>
                <w:rFonts w:ascii="Verdana" w:hAnsi="Verdana"/>
                <w:sz w:val="20"/>
                <w:szCs w:val="20"/>
              </w:rPr>
            </w:pPr>
            <w:r w:rsidRPr="00804960">
              <w:rPr>
                <w:rFonts w:ascii="Verdana" w:hAnsi="Verdana"/>
                <w:sz w:val="20"/>
                <w:szCs w:val="20"/>
              </w:rPr>
              <w:t xml:space="preserve">Предложението не се отнася за проекта на Закон за изменение и допълнение на Закона за посевния и посадъчния материал, а за </w:t>
            </w:r>
            <w:r w:rsidR="001B5904">
              <w:rPr>
                <w:rFonts w:ascii="Verdana" w:hAnsi="Verdana"/>
                <w:sz w:val="20"/>
                <w:szCs w:val="20"/>
              </w:rPr>
              <w:t>текст</w:t>
            </w:r>
            <w:r w:rsidRPr="00804960">
              <w:rPr>
                <w:rFonts w:ascii="Verdana" w:hAnsi="Verdana"/>
                <w:sz w:val="20"/>
                <w:szCs w:val="20"/>
              </w:rPr>
              <w:t xml:space="preserve"> от наредбата по чл. 28, ал. 5 от ЗППМ.</w:t>
            </w:r>
          </w:p>
        </w:tc>
      </w:tr>
      <w:tr w:rsidR="00B030BE" w:rsidRPr="00682FF4" w:rsidTr="002B35F8">
        <w:trPr>
          <w:jc w:val="center"/>
        </w:trPr>
        <w:tc>
          <w:tcPr>
            <w:tcW w:w="696" w:type="dxa"/>
            <w:tcBorders>
              <w:top w:val="nil"/>
              <w:bottom w:val="single" w:sz="18" w:space="0" w:color="2E74B5"/>
            </w:tcBorders>
            <w:shd w:val="clear" w:color="auto" w:fill="auto"/>
          </w:tcPr>
          <w:p w:rsidR="00B030BE" w:rsidRPr="00682FF4" w:rsidRDefault="00B030BE" w:rsidP="000A4F4D">
            <w:pPr>
              <w:tabs>
                <w:tab w:val="left" w:pos="192"/>
              </w:tabs>
              <w:ind w:left="340"/>
              <w:rPr>
                <w:rFonts w:ascii="Verdana" w:hAnsi="Verdana"/>
                <w:b/>
                <w:sz w:val="20"/>
                <w:szCs w:val="20"/>
              </w:rPr>
            </w:pPr>
          </w:p>
        </w:tc>
        <w:tc>
          <w:tcPr>
            <w:tcW w:w="2835" w:type="dxa"/>
            <w:tcBorders>
              <w:top w:val="nil"/>
              <w:bottom w:val="single" w:sz="18" w:space="0" w:color="2E74B5"/>
            </w:tcBorders>
            <w:shd w:val="clear" w:color="auto" w:fill="auto"/>
          </w:tcPr>
          <w:p w:rsidR="00B030BE" w:rsidRPr="00AA72D4" w:rsidRDefault="00B030BE" w:rsidP="000A4F4D">
            <w:pPr>
              <w:spacing w:before="40" w:after="20"/>
              <w:jc w:val="both"/>
              <w:rPr>
                <w:rFonts w:ascii="Verdana" w:hAnsi="Verdana"/>
                <w:b/>
                <w:sz w:val="20"/>
                <w:szCs w:val="20"/>
                <w:lang w:val="ru-RU"/>
              </w:rPr>
            </w:pPr>
          </w:p>
        </w:tc>
        <w:tc>
          <w:tcPr>
            <w:tcW w:w="5765" w:type="dxa"/>
            <w:tcBorders>
              <w:top w:val="nil"/>
              <w:bottom w:val="single" w:sz="18" w:space="0" w:color="2E74B5"/>
            </w:tcBorders>
            <w:shd w:val="clear" w:color="auto" w:fill="auto"/>
          </w:tcPr>
          <w:p w:rsidR="00B030BE" w:rsidRPr="009665F2" w:rsidRDefault="00B030BE" w:rsidP="00A11ECD">
            <w:pPr>
              <w:pStyle w:val="Standard"/>
              <w:spacing w:before="100" w:after="100" w:line="276" w:lineRule="auto"/>
              <w:jc w:val="both"/>
              <w:rPr>
                <w:rFonts w:ascii="Verdana" w:eastAsia="Times New Roman" w:hAnsi="Verdana"/>
                <w:spacing w:val="-2"/>
                <w:sz w:val="20"/>
                <w:szCs w:val="20"/>
                <w:lang w:eastAsia="bg-BG"/>
              </w:rPr>
            </w:pPr>
            <w:r w:rsidRPr="009665F2">
              <w:rPr>
                <w:rFonts w:ascii="Verdana" w:eastAsia="Times New Roman" w:hAnsi="Verdana"/>
                <w:spacing w:val="-2"/>
                <w:sz w:val="20"/>
                <w:szCs w:val="20"/>
                <w:lang w:eastAsia="bg-BG"/>
              </w:rPr>
              <w:t xml:space="preserve">Чл. 29. (Изм. - ДВ, бр. 26 от 2005 г., изм. и доп. - ДВ, бр. 73 от 2008 г., в сила от 19.08.2008 г.) Производителят, </w:t>
            </w:r>
            <w:proofErr w:type="spellStart"/>
            <w:r w:rsidRPr="009665F2">
              <w:rPr>
                <w:rFonts w:ascii="Verdana" w:eastAsia="Times New Roman" w:hAnsi="Verdana"/>
                <w:spacing w:val="-2"/>
                <w:sz w:val="20"/>
                <w:szCs w:val="20"/>
                <w:lang w:eastAsia="bg-BG"/>
              </w:rPr>
              <w:t>заготвителят</w:t>
            </w:r>
            <w:proofErr w:type="spellEnd"/>
            <w:r w:rsidRPr="009665F2">
              <w:rPr>
                <w:rFonts w:ascii="Verdana" w:eastAsia="Times New Roman" w:hAnsi="Verdana"/>
                <w:spacing w:val="-2"/>
                <w:sz w:val="20"/>
                <w:szCs w:val="20"/>
                <w:lang w:eastAsia="bg-BG"/>
              </w:rPr>
              <w:t xml:space="preserve"> или търговецът е длъжен да предостави книгите при поискване от контролните органи на ИАСАС, както и да изпраща в ИАСАС ксерокопие от книгите за справки и необходима информация и да ги съхранява в срок до 5 години от приключване на дейността му.</w:t>
            </w:r>
          </w:p>
          <w:p w:rsidR="00B030BE" w:rsidRPr="009665F2" w:rsidRDefault="00B030BE" w:rsidP="009665F2">
            <w:pPr>
              <w:pStyle w:val="Standard"/>
              <w:spacing w:line="276" w:lineRule="auto"/>
              <w:jc w:val="both"/>
              <w:rPr>
                <w:rFonts w:ascii="Verdana" w:eastAsia="Times New Roman" w:hAnsi="Verdana"/>
                <w:spacing w:val="-2"/>
                <w:sz w:val="20"/>
                <w:szCs w:val="20"/>
                <w:lang w:eastAsia="bg-BG"/>
              </w:rPr>
            </w:pPr>
            <w:r w:rsidRPr="009665F2">
              <w:rPr>
                <w:rFonts w:ascii="Verdana" w:eastAsia="Times New Roman" w:hAnsi="Verdana"/>
                <w:spacing w:val="-2"/>
                <w:sz w:val="20"/>
                <w:szCs w:val="20"/>
                <w:lang w:eastAsia="bg-BG"/>
              </w:rPr>
              <w:t xml:space="preserve">Моля срокът де се съкрати на 2 години. Безпредметно е съхраняване, справки, проверки на </w:t>
            </w:r>
            <w:proofErr w:type="spellStart"/>
            <w:r w:rsidRPr="009665F2">
              <w:rPr>
                <w:rFonts w:ascii="Verdana" w:eastAsia="Times New Roman" w:hAnsi="Verdana"/>
                <w:spacing w:val="-2"/>
                <w:sz w:val="20"/>
                <w:szCs w:val="20"/>
                <w:lang w:eastAsia="bg-BG"/>
              </w:rPr>
              <w:t>засяти</w:t>
            </w:r>
            <w:proofErr w:type="spellEnd"/>
            <w:r w:rsidRPr="009665F2">
              <w:rPr>
                <w:rFonts w:ascii="Verdana" w:eastAsia="Times New Roman" w:hAnsi="Verdana"/>
                <w:spacing w:val="-2"/>
                <w:sz w:val="20"/>
                <w:szCs w:val="20"/>
                <w:lang w:eastAsia="bg-BG"/>
              </w:rPr>
              <w:t xml:space="preserve"> площи толкова време назад.</w:t>
            </w:r>
          </w:p>
        </w:tc>
        <w:tc>
          <w:tcPr>
            <w:tcW w:w="1620" w:type="dxa"/>
            <w:tcBorders>
              <w:top w:val="nil"/>
              <w:bottom w:val="single" w:sz="18" w:space="0" w:color="2E74B5"/>
            </w:tcBorders>
            <w:shd w:val="clear" w:color="auto" w:fill="auto"/>
          </w:tcPr>
          <w:p w:rsidR="00B030BE" w:rsidRPr="00AD0D28" w:rsidRDefault="000366A7" w:rsidP="000366A7">
            <w:pPr>
              <w:spacing w:before="100" w:after="100"/>
              <w:rPr>
                <w:rFonts w:ascii="Verdana" w:hAnsi="Verdana"/>
                <w:sz w:val="20"/>
                <w:szCs w:val="20"/>
              </w:rPr>
            </w:pPr>
            <w:r>
              <w:rPr>
                <w:rFonts w:ascii="Verdana" w:hAnsi="Verdana"/>
                <w:sz w:val="20"/>
                <w:szCs w:val="20"/>
              </w:rPr>
              <w:t>Не се приема</w:t>
            </w:r>
          </w:p>
        </w:tc>
        <w:tc>
          <w:tcPr>
            <w:tcW w:w="4478" w:type="dxa"/>
            <w:tcBorders>
              <w:top w:val="nil"/>
              <w:bottom w:val="single" w:sz="18" w:space="0" w:color="2E74B5"/>
            </w:tcBorders>
            <w:shd w:val="clear" w:color="auto" w:fill="auto"/>
          </w:tcPr>
          <w:p w:rsidR="00B030BE" w:rsidRDefault="008E34F5" w:rsidP="008E34F5">
            <w:pPr>
              <w:spacing w:before="100" w:after="100"/>
              <w:jc w:val="both"/>
              <w:rPr>
                <w:rFonts w:ascii="Verdana" w:hAnsi="Verdana"/>
                <w:sz w:val="20"/>
                <w:szCs w:val="20"/>
              </w:rPr>
            </w:pPr>
            <w:r>
              <w:rPr>
                <w:rFonts w:ascii="Verdana" w:hAnsi="Verdana"/>
                <w:sz w:val="20"/>
                <w:szCs w:val="20"/>
              </w:rPr>
              <w:t xml:space="preserve">Цитираният член не е разпоредба от Закона за посевния и посадъчния материал. Текстът цитира чл. 29 от </w:t>
            </w:r>
            <w:r w:rsidR="00467583">
              <w:rPr>
                <w:rFonts w:ascii="Verdana" w:hAnsi="Verdana"/>
                <w:sz w:val="20"/>
                <w:szCs w:val="20"/>
              </w:rPr>
              <w:t>Наредба № 13 от 2004 г. за реда за регистрация на търговци на посевен и посадъчен материал</w:t>
            </w:r>
            <w:r>
              <w:rPr>
                <w:rFonts w:ascii="Verdana" w:hAnsi="Verdana"/>
                <w:sz w:val="20"/>
                <w:szCs w:val="20"/>
              </w:rPr>
              <w:t xml:space="preserve"> и е във вариант преди да бъде изменен в ДВ, бр. 87 от 2018 г.</w:t>
            </w:r>
          </w:p>
        </w:tc>
      </w:tr>
    </w:tbl>
    <w:p w:rsidR="00271B4F" w:rsidRPr="00271B4F" w:rsidRDefault="00271B4F">
      <w:pPr>
        <w:rPr>
          <w:rFonts w:ascii="Verdana" w:hAnsi="Verdana"/>
          <w:sz w:val="20"/>
          <w:szCs w:val="20"/>
        </w:rPr>
      </w:pPr>
    </w:p>
    <w:p w:rsidR="00B34917" w:rsidRDefault="00B34917" w:rsidP="00E25478">
      <w:pPr>
        <w:tabs>
          <w:tab w:val="left" w:pos="0"/>
          <w:tab w:val="left" w:pos="142"/>
          <w:tab w:val="left" w:pos="284"/>
          <w:tab w:val="left" w:pos="1109"/>
        </w:tabs>
        <w:autoSpaceDE w:val="0"/>
        <w:autoSpaceDN w:val="0"/>
        <w:adjustRightInd w:val="0"/>
        <w:ind w:hanging="284"/>
        <w:rPr>
          <w:rFonts w:ascii="Verdana" w:hAnsi="Verdana" w:cs="Verdana"/>
          <w:b/>
          <w:smallCaps/>
          <w:sz w:val="20"/>
          <w:szCs w:val="20"/>
        </w:rPr>
      </w:pPr>
    </w:p>
    <w:p w:rsidR="00B573E0" w:rsidRDefault="00B573E0" w:rsidP="00B573E0">
      <w:pPr>
        <w:tabs>
          <w:tab w:val="left" w:pos="142"/>
          <w:tab w:val="left" w:pos="284"/>
          <w:tab w:val="left" w:pos="1109"/>
        </w:tabs>
        <w:autoSpaceDE w:val="0"/>
        <w:autoSpaceDN w:val="0"/>
        <w:adjustRightInd w:val="0"/>
        <w:rPr>
          <w:rFonts w:ascii="Verdana" w:hAnsi="Verdana" w:cs="Verdana"/>
          <w:b/>
          <w:smallCaps/>
          <w:sz w:val="20"/>
          <w:szCs w:val="20"/>
        </w:rPr>
      </w:pPr>
    </w:p>
    <w:p w:rsidR="00745930" w:rsidRDefault="00745930" w:rsidP="00B573E0">
      <w:pPr>
        <w:tabs>
          <w:tab w:val="left" w:pos="142"/>
          <w:tab w:val="left" w:pos="284"/>
          <w:tab w:val="left" w:pos="1109"/>
        </w:tabs>
        <w:autoSpaceDE w:val="0"/>
        <w:autoSpaceDN w:val="0"/>
        <w:adjustRightInd w:val="0"/>
        <w:rPr>
          <w:rFonts w:ascii="Verdana" w:hAnsi="Verdana" w:cs="Verdana"/>
          <w:b/>
          <w:smallCaps/>
          <w:sz w:val="20"/>
          <w:szCs w:val="20"/>
        </w:rPr>
      </w:pPr>
    </w:p>
    <w:p w:rsidR="00FF7DC4" w:rsidRPr="00AD0D28" w:rsidRDefault="00FF7DC4" w:rsidP="00B573E0">
      <w:pPr>
        <w:tabs>
          <w:tab w:val="left" w:pos="142"/>
          <w:tab w:val="left" w:pos="284"/>
          <w:tab w:val="left" w:pos="1109"/>
        </w:tabs>
        <w:autoSpaceDE w:val="0"/>
        <w:autoSpaceDN w:val="0"/>
        <w:adjustRightInd w:val="0"/>
        <w:rPr>
          <w:rFonts w:ascii="Verdana" w:hAnsi="Verdana" w:cs="Verdana"/>
          <w:b/>
          <w:smallCaps/>
          <w:sz w:val="20"/>
          <w:szCs w:val="20"/>
        </w:rPr>
      </w:pPr>
    </w:p>
    <w:sectPr w:rsidR="00FF7DC4" w:rsidRPr="00AD0D28" w:rsidSect="00745930">
      <w:footerReference w:type="even" r:id="rId9"/>
      <w:footerReference w:type="default" r:id="rId10"/>
      <w:pgSz w:w="16838" w:h="11906" w:orient="landscape" w:code="9"/>
      <w:pgMar w:top="1418" w:right="1418" w:bottom="360" w:left="1134" w:header="709"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02E" w:rsidRDefault="002E402E">
      <w:r>
        <w:separator/>
      </w:r>
    </w:p>
  </w:endnote>
  <w:endnote w:type="continuationSeparator" w:id="0">
    <w:p w:rsidR="002E402E" w:rsidRDefault="002E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6685">
      <w:rPr>
        <w:rStyle w:val="PageNumber"/>
        <w:noProof/>
      </w:rPr>
      <w:t>1</w: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02E" w:rsidRDefault="002E402E">
      <w:r>
        <w:separator/>
      </w:r>
    </w:p>
  </w:footnote>
  <w:footnote w:type="continuationSeparator" w:id="0">
    <w:p w:rsidR="002E402E" w:rsidRDefault="002E4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7F3"/>
    <w:multiLevelType w:val="hybridMultilevel"/>
    <w:tmpl w:val="826834E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207263"/>
    <w:multiLevelType w:val="multilevel"/>
    <w:tmpl w:val="929E2D40"/>
    <w:lvl w:ilvl="0">
      <w:start w:val="1"/>
      <w:numFmt w:val="decimal"/>
      <w:suff w:val="space"/>
      <w:lvlText w:val="%1."/>
      <w:lvlJc w:val="right"/>
      <w:pPr>
        <w:ind w:left="34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71732292"/>
    <w:multiLevelType w:val="multilevel"/>
    <w:tmpl w:val="0AA0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7"/>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5688"/>
    <w:rsid w:val="000101A6"/>
    <w:rsid w:val="000115D5"/>
    <w:rsid w:val="00016086"/>
    <w:rsid w:val="000200AF"/>
    <w:rsid w:val="0002058E"/>
    <w:rsid w:val="00023F36"/>
    <w:rsid w:val="00024421"/>
    <w:rsid w:val="0002544E"/>
    <w:rsid w:val="00025DD3"/>
    <w:rsid w:val="000279C9"/>
    <w:rsid w:val="00033183"/>
    <w:rsid w:val="00033713"/>
    <w:rsid w:val="000353D1"/>
    <w:rsid w:val="000357B4"/>
    <w:rsid w:val="00036244"/>
    <w:rsid w:val="000366A7"/>
    <w:rsid w:val="00042C1B"/>
    <w:rsid w:val="00044E65"/>
    <w:rsid w:val="0004610E"/>
    <w:rsid w:val="0005435E"/>
    <w:rsid w:val="0005470C"/>
    <w:rsid w:val="000572CA"/>
    <w:rsid w:val="0006020F"/>
    <w:rsid w:val="0006091E"/>
    <w:rsid w:val="00062907"/>
    <w:rsid w:val="00062ADE"/>
    <w:rsid w:val="00062F02"/>
    <w:rsid w:val="00063E4B"/>
    <w:rsid w:val="00064D8D"/>
    <w:rsid w:val="000673CE"/>
    <w:rsid w:val="000718C7"/>
    <w:rsid w:val="00073D84"/>
    <w:rsid w:val="00075594"/>
    <w:rsid w:val="0008079F"/>
    <w:rsid w:val="00082171"/>
    <w:rsid w:val="00084700"/>
    <w:rsid w:val="000902D1"/>
    <w:rsid w:val="00090401"/>
    <w:rsid w:val="00090962"/>
    <w:rsid w:val="000937D4"/>
    <w:rsid w:val="000953A8"/>
    <w:rsid w:val="00097783"/>
    <w:rsid w:val="000A1017"/>
    <w:rsid w:val="000A228F"/>
    <w:rsid w:val="000A4F4D"/>
    <w:rsid w:val="000B298E"/>
    <w:rsid w:val="000B2EB1"/>
    <w:rsid w:val="000B3D5F"/>
    <w:rsid w:val="000B6D57"/>
    <w:rsid w:val="000C46A7"/>
    <w:rsid w:val="000C5E61"/>
    <w:rsid w:val="000D4198"/>
    <w:rsid w:val="000E3570"/>
    <w:rsid w:val="000E79AB"/>
    <w:rsid w:val="000F02C5"/>
    <w:rsid w:val="000F31C8"/>
    <w:rsid w:val="000F3490"/>
    <w:rsid w:val="000F78EE"/>
    <w:rsid w:val="00105F06"/>
    <w:rsid w:val="0010687D"/>
    <w:rsid w:val="001143E4"/>
    <w:rsid w:val="0011484F"/>
    <w:rsid w:val="00115EDD"/>
    <w:rsid w:val="00120ABA"/>
    <w:rsid w:val="00133A14"/>
    <w:rsid w:val="00134E1D"/>
    <w:rsid w:val="0013629D"/>
    <w:rsid w:val="00141BFB"/>
    <w:rsid w:val="00144034"/>
    <w:rsid w:val="001440FE"/>
    <w:rsid w:val="0014437A"/>
    <w:rsid w:val="00155CAF"/>
    <w:rsid w:val="00160809"/>
    <w:rsid w:val="001668E1"/>
    <w:rsid w:val="001747D0"/>
    <w:rsid w:val="00175004"/>
    <w:rsid w:val="00177AA6"/>
    <w:rsid w:val="001808B4"/>
    <w:rsid w:val="0018471F"/>
    <w:rsid w:val="0018509E"/>
    <w:rsid w:val="00190956"/>
    <w:rsid w:val="001948B0"/>
    <w:rsid w:val="001A0680"/>
    <w:rsid w:val="001B4CD8"/>
    <w:rsid w:val="001B5904"/>
    <w:rsid w:val="001D03E5"/>
    <w:rsid w:val="001D2B26"/>
    <w:rsid w:val="001D362A"/>
    <w:rsid w:val="001E4FE9"/>
    <w:rsid w:val="001E64F2"/>
    <w:rsid w:val="001F0567"/>
    <w:rsid w:val="001F1F60"/>
    <w:rsid w:val="001F314D"/>
    <w:rsid w:val="0020103A"/>
    <w:rsid w:val="00201455"/>
    <w:rsid w:val="00202186"/>
    <w:rsid w:val="00206678"/>
    <w:rsid w:val="0021035B"/>
    <w:rsid w:val="00214B75"/>
    <w:rsid w:val="00215178"/>
    <w:rsid w:val="00221143"/>
    <w:rsid w:val="002217C0"/>
    <w:rsid w:val="00221B68"/>
    <w:rsid w:val="00230E0E"/>
    <w:rsid w:val="00233C04"/>
    <w:rsid w:val="002348DC"/>
    <w:rsid w:val="002359CA"/>
    <w:rsid w:val="002369C8"/>
    <w:rsid w:val="002375B3"/>
    <w:rsid w:val="00237A17"/>
    <w:rsid w:val="002412E0"/>
    <w:rsid w:val="00241F4C"/>
    <w:rsid w:val="0024444A"/>
    <w:rsid w:val="00247C41"/>
    <w:rsid w:val="002536A8"/>
    <w:rsid w:val="00253F46"/>
    <w:rsid w:val="00257983"/>
    <w:rsid w:val="00260F55"/>
    <w:rsid w:val="002632C1"/>
    <w:rsid w:val="00263E76"/>
    <w:rsid w:val="002640E1"/>
    <w:rsid w:val="00271B4F"/>
    <w:rsid w:val="0027210E"/>
    <w:rsid w:val="00272EE3"/>
    <w:rsid w:val="00273219"/>
    <w:rsid w:val="00276CD9"/>
    <w:rsid w:val="002804CF"/>
    <w:rsid w:val="00282A08"/>
    <w:rsid w:val="002900C5"/>
    <w:rsid w:val="00290707"/>
    <w:rsid w:val="00293CA6"/>
    <w:rsid w:val="0029482B"/>
    <w:rsid w:val="00295B2B"/>
    <w:rsid w:val="002964C1"/>
    <w:rsid w:val="002A0706"/>
    <w:rsid w:val="002A0C5D"/>
    <w:rsid w:val="002A3B76"/>
    <w:rsid w:val="002A4F2E"/>
    <w:rsid w:val="002A59D9"/>
    <w:rsid w:val="002A5A11"/>
    <w:rsid w:val="002A67D5"/>
    <w:rsid w:val="002B35F8"/>
    <w:rsid w:val="002C03AF"/>
    <w:rsid w:val="002C5843"/>
    <w:rsid w:val="002C7F10"/>
    <w:rsid w:val="002D083C"/>
    <w:rsid w:val="002D2176"/>
    <w:rsid w:val="002D2CD5"/>
    <w:rsid w:val="002D59B4"/>
    <w:rsid w:val="002E402E"/>
    <w:rsid w:val="002E4C25"/>
    <w:rsid w:val="002E537C"/>
    <w:rsid w:val="002E57D4"/>
    <w:rsid w:val="002E5E3F"/>
    <w:rsid w:val="002E6ADF"/>
    <w:rsid w:val="002F0752"/>
    <w:rsid w:val="002F73AF"/>
    <w:rsid w:val="002F7B2A"/>
    <w:rsid w:val="00300387"/>
    <w:rsid w:val="00300B99"/>
    <w:rsid w:val="00300D63"/>
    <w:rsid w:val="003039A5"/>
    <w:rsid w:val="00306298"/>
    <w:rsid w:val="00312FB3"/>
    <w:rsid w:val="00314F63"/>
    <w:rsid w:val="003154C2"/>
    <w:rsid w:val="00316618"/>
    <w:rsid w:val="00321BD0"/>
    <w:rsid w:val="00326B58"/>
    <w:rsid w:val="003336CE"/>
    <w:rsid w:val="00333BD7"/>
    <w:rsid w:val="0033761B"/>
    <w:rsid w:val="00346856"/>
    <w:rsid w:val="00351063"/>
    <w:rsid w:val="00353807"/>
    <w:rsid w:val="003640F0"/>
    <w:rsid w:val="0037191E"/>
    <w:rsid w:val="00377A96"/>
    <w:rsid w:val="00377FE2"/>
    <w:rsid w:val="00384B8B"/>
    <w:rsid w:val="00387130"/>
    <w:rsid w:val="00387162"/>
    <w:rsid w:val="00395655"/>
    <w:rsid w:val="003A060F"/>
    <w:rsid w:val="003A2AA3"/>
    <w:rsid w:val="003C1F1E"/>
    <w:rsid w:val="003C563D"/>
    <w:rsid w:val="003C5C7B"/>
    <w:rsid w:val="003D22FA"/>
    <w:rsid w:val="003D6231"/>
    <w:rsid w:val="003E361D"/>
    <w:rsid w:val="003F2026"/>
    <w:rsid w:val="003F3728"/>
    <w:rsid w:val="003F7612"/>
    <w:rsid w:val="003F7CD4"/>
    <w:rsid w:val="00401C90"/>
    <w:rsid w:val="00407815"/>
    <w:rsid w:val="00414F26"/>
    <w:rsid w:val="00415D7B"/>
    <w:rsid w:val="00417315"/>
    <w:rsid w:val="00420A7D"/>
    <w:rsid w:val="00420F8B"/>
    <w:rsid w:val="0042418B"/>
    <w:rsid w:val="0042440B"/>
    <w:rsid w:val="00430245"/>
    <w:rsid w:val="00430323"/>
    <w:rsid w:val="004333E4"/>
    <w:rsid w:val="004361F2"/>
    <w:rsid w:val="004376C2"/>
    <w:rsid w:val="004427B2"/>
    <w:rsid w:val="00442824"/>
    <w:rsid w:val="004444E8"/>
    <w:rsid w:val="00446EC1"/>
    <w:rsid w:val="0045180F"/>
    <w:rsid w:val="00452217"/>
    <w:rsid w:val="00453389"/>
    <w:rsid w:val="00453C28"/>
    <w:rsid w:val="00453E85"/>
    <w:rsid w:val="00455D0B"/>
    <w:rsid w:val="004615DD"/>
    <w:rsid w:val="00467583"/>
    <w:rsid w:val="0046759A"/>
    <w:rsid w:val="00467C52"/>
    <w:rsid w:val="00471C7F"/>
    <w:rsid w:val="0047261C"/>
    <w:rsid w:val="00477359"/>
    <w:rsid w:val="00487E51"/>
    <w:rsid w:val="00496618"/>
    <w:rsid w:val="004A0A82"/>
    <w:rsid w:val="004A207E"/>
    <w:rsid w:val="004A27CC"/>
    <w:rsid w:val="004A285F"/>
    <w:rsid w:val="004A55AC"/>
    <w:rsid w:val="004A5A84"/>
    <w:rsid w:val="004A5B8D"/>
    <w:rsid w:val="004A5E2A"/>
    <w:rsid w:val="004A6AE4"/>
    <w:rsid w:val="004A70C4"/>
    <w:rsid w:val="004B2E13"/>
    <w:rsid w:val="004B4FC8"/>
    <w:rsid w:val="004B5B51"/>
    <w:rsid w:val="004B735F"/>
    <w:rsid w:val="004C1080"/>
    <w:rsid w:val="004C420B"/>
    <w:rsid w:val="004D24E9"/>
    <w:rsid w:val="004D3191"/>
    <w:rsid w:val="004E0260"/>
    <w:rsid w:val="004E4897"/>
    <w:rsid w:val="004E6D10"/>
    <w:rsid w:val="004F17EA"/>
    <w:rsid w:val="004F2B1B"/>
    <w:rsid w:val="004F2DB6"/>
    <w:rsid w:val="004F4B94"/>
    <w:rsid w:val="004F70FF"/>
    <w:rsid w:val="004F7953"/>
    <w:rsid w:val="0050084D"/>
    <w:rsid w:val="00501E0F"/>
    <w:rsid w:val="00501E65"/>
    <w:rsid w:val="0050754B"/>
    <w:rsid w:val="00507B53"/>
    <w:rsid w:val="0051179B"/>
    <w:rsid w:val="005121ED"/>
    <w:rsid w:val="005130D6"/>
    <w:rsid w:val="00514AC6"/>
    <w:rsid w:val="00517A62"/>
    <w:rsid w:val="00520109"/>
    <w:rsid w:val="00520903"/>
    <w:rsid w:val="00521BF8"/>
    <w:rsid w:val="00522F73"/>
    <w:rsid w:val="0052467D"/>
    <w:rsid w:val="005260B9"/>
    <w:rsid w:val="00534E66"/>
    <w:rsid w:val="005372C2"/>
    <w:rsid w:val="00540C53"/>
    <w:rsid w:val="005424B9"/>
    <w:rsid w:val="00543E05"/>
    <w:rsid w:val="00544EA2"/>
    <w:rsid w:val="005462B1"/>
    <w:rsid w:val="005531AA"/>
    <w:rsid w:val="00554B28"/>
    <w:rsid w:val="00554CC1"/>
    <w:rsid w:val="00563FA3"/>
    <w:rsid w:val="005644C8"/>
    <w:rsid w:val="00564E98"/>
    <w:rsid w:val="00571AC2"/>
    <w:rsid w:val="005804B2"/>
    <w:rsid w:val="00583A7E"/>
    <w:rsid w:val="00586EC5"/>
    <w:rsid w:val="005913D0"/>
    <w:rsid w:val="00597D5D"/>
    <w:rsid w:val="005A338B"/>
    <w:rsid w:val="005A6C42"/>
    <w:rsid w:val="005C2DFD"/>
    <w:rsid w:val="005C43C6"/>
    <w:rsid w:val="005D06F0"/>
    <w:rsid w:val="005D094A"/>
    <w:rsid w:val="005D276C"/>
    <w:rsid w:val="005D3B47"/>
    <w:rsid w:val="005D5B4B"/>
    <w:rsid w:val="005D72C5"/>
    <w:rsid w:val="005D733F"/>
    <w:rsid w:val="005E08BD"/>
    <w:rsid w:val="005E0F94"/>
    <w:rsid w:val="005E36D5"/>
    <w:rsid w:val="005E4874"/>
    <w:rsid w:val="005E4CF0"/>
    <w:rsid w:val="005F0C39"/>
    <w:rsid w:val="005F421E"/>
    <w:rsid w:val="005F596B"/>
    <w:rsid w:val="0060094C"/>
    <w:rsid w:val="00600B63"/>
    <w:rsid w:val="006040E1"/>
    <w:rsid w:val="00604A61"/>
    <w:rsid w:val="00610231"/>
    <w:rsid w:val="006121B2"/>
    <w:rsid w:val="00617D55"/>
    <w:rsid w:val="006240D8"/>
    <w:rsid w:val="00626132"/>
    <w:rsid w:val="00634DDD"/>
    <w:rsid w:val="006361E3"/>
    <w:rsid w:val="0063730A"/>
    <w:rsid w:val="00642470"/>
    <w:rsid w:val="00642D90"/>
    <w:rsid w:val="00645DFC"/>
    <w:rsid w:val="00656314"/>
    <w:rsid w:val="00656642"/>
    <w:rsid w:val="006712A6"/>
    <w:rsid w:val="00671E4E"/>
    <w:rsid w:val="0067456E"/>
    <w:rsid w:val="00675133"/>
    <w:rsid w:val="006802C1"/>
    <w:rsid w:val="006822C0"/>
    <w:rsid w:val="00690FE6"/>
    <w:rsid w:val="00691BD4"/>
    <w:rsid w:val="00694141"/>
    <w:rsid w:val="00696563"/>
    <w:rsid w:val="00696EB9"/>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458B2"/>
    <w:rsid w:val="00745930"/>
    <w:rsid w:val="007502EE"/>
    <w:rsid w:val="007516D1"/>
    <w:rsid w:val="00755C29"/>
    <w:rsid w:val="00756290"/>
    <w:rsid w:val="00756A19"/>
    <w:rsid w:val="0076108C"/>
    <w:rsid w:val="00761B5E"/>
    <w:rsid w:val="0076408A"/>
    <w:rsid w:val="0077471A"/>
    <w:rsid w:val="00774BE7"/>
    <w:rsid w:val="00777754"/>
    <w:rsid w:val="00781306"/>
    <w:rsid w:val="007836C8"/>
    <w:rsid w:val="007934F1"/>
    <w:rsid w:val="00794229"/>
    <w:rsid w:val="00796D71"/>
    <w:rsid w:val="007A6EE6"/>
    <w:rsid w:val="007B1141"/>
    <w:rsid w:val="007B24F7"/>
    <w:rsid w:val="007B4C4B"/>
    <w:rsid w:val="007C6990"/>
    <w:rsid w:val="007C6C8E"/>
    <w:rsid w:val="007D035B"/>
    <w:rsid w:val="007D6B06"/>
    <w:rsid w:val="007E249E"/>
    <w:rsid w:val="007E633B"/>
    <w:rsid w:val="007E6AD6"/>
    <w:rsid w:val="007F135A"/>
    <w:rsid w:val="0080232E"/>
    <w:rsid w:val="00804960"/>
    <w:rsid w:val="00812781"/>
    <w:rsid w:val="00812789"/>
    <w:rsid w:val="00826F86"/>
    <w:rsid w:val="00831124"/>
    <w:rsid w:val="00831D3C"/>
    <w:rsid w:val="00831E9A"/>
    <w:rsid w:val="00833124"/>
    <w:rsid w:val="00842C8D"/>
    <w:rsid w:val="008430D8"/>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830D4"/>
    <w:rsid w:val="0089123B"/>
    <w:rsid w:val="00891BE7"/>
    <w:rsid w:val="00894946"/>
    <w:rsid w:val="008A00BC"/>
    <w:rsid w:val="008A1687"/>
    <w:rsid w:val="008A2DF5"/>
    <w:rsid w:val="008A52D8"/>
    <w:rsid w:val="008A5E27"/>
    <w:rsid w:val="008A721D"/>
    <w:rsid w:val="008A7320"/>
    <w:rsid w:val="008B016E"/>
    <w:rsid w:val="008C0503"/>
    <w:rsid w:val="008C21DE"/>
    <w:rsid w:val="008C4A55"/>
    <w:rsid w:val="008C5E5E"/>
    <w:rsid w:val="008D08F5"/>
    <w:rsid w:val="008D2350"/>
    <w:rsid w:val="008D56D6"/>
    <w:rsid w:val="008D579B"/>
    <w:rsid w:val="008D583E"/>
    <w:rsid w:val="008D7657"/>
    <w:rsid w:val="008E1CC8"/>
    <w:rsid w:val="008E24D8"/>
    <w:rsid w:val="008E34F5"/>
    <w:rsid w:val="008E3AC0"/>
    <w:rsid w:val="008E4B33"/>
    <w:rsid w:val="008E7705"/>
    <w:rsid w:val="008E77F4"/>
    <w:rsid w:val="008E7E4D"/>
    <w:rsid w:val="008F35DB"/>
    <w:rsid w:val="008F4969"/>
    <w:rsid w:val="008F6393"/>
    <w:rsid w:val="00905EB8"/>
    <w:rsid w:val="00905F3A"/>
    <w:rsid w:val="0090782D"/>
    <w:rsid w:val="00914298"/>
    <w:rsid w:val="0091523F"/>
    <w:rsid w:val="0091558A"/>
    <w:rsid w:val="00917058"/>
    <w:rsid w:val="00924F7D"/>
    <w:rsid w:val="009312BE"/>
    <w:rsid w:val="0094334A"/>
    <w:rsid w:val="00943E2F"/>
    <w:rsid w:val="00952D0A"/>
    <w:rsid w:val="00953FD7"/>
    <w:rsid w:val="009551F9"/>
    <w:rsid w:val="0095608B"/>
    <w:rsid w:val="00963AE2"/>
    <w:rsid w:val="009665F2"/>
    <w:rsid w:val="00972BB7"/>
    <w:rsid w:val="00972F4C"/>
    <w:rsid w:val="00974F6F"/>
    <w:rsid w:val="00975F5E"/>
    <w:rsid w:val="00977612"/>
    <w:rsid w:val="009827FE"/>
    <w:rsid w:val="00983B09"/>
    <w:rsid w:val="00990860"/>
    <w:rsid w:val="00990FC4"/>
    <w:rsid w:val="009910B4"/>
    <w:rsid w:val="0099513B"/>
    <w:rsid w:val="00996B48"/>
    <w:rsid w:val="009A19C4"/>
    <w:rsid w:val="009B1744"/>
    <w:rsid w:val="009B1EE9"/>
    <w:rsid w:val="009B568A"/>
    <w:rsid w:val="009B6230"/>
    <w:rsid w:val="009D0944"/>
    <w:rsid w:val="009D6D2E"/>
    <w:rsid w:val="009D753B"/>
    <w:rsid w:val="009E008F"/>
    <w:rsid w:val="009E0CEB"/>
    <w:rsid w:val="009E6C5E"/>
    <w:rsid w:val="009E7717"/>
    <w:rsid w:val="009E7FF1"/>
    <w:rsid w:val="009F1F52"/>
    <w:rsid w:val="009F4B36"/>
    <w:rsid w:val="00A02072"/>
    <w:rsid w:val="00A11D46"/>
    <w:rsid w:val="00A11ECD"/>
    <w:rsid w:val="00A12145"/>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58E0"/>
    <w:rsid w:val="00A6623B"/>
    <w:rsid w:val="00A7058C"/>
    <w:rsid w:val="00A70B39"/>
    <w:rsid w:val="00A71310"/>
    <w:rsid w:val="00A75382"/>
    <w:rsid w:val="00A85598"/>
    <w:rsid w:val="00A856B0"/>
    <w:rsid w:val="00A8607A"/>
    <w:rsid w:val="00A90530"/>
    <w:rsid w:val="00A917A9"/>
    <w:rsid w:val="00A94B87"/>
    <w:rsid w:val="00A9750F"/>
    <w:rsid w:val="00AA0EF5"/>
    <w:rsid w:val="00AA169E"/>
    <w:rsid w:val="00AA599A"/>
    <w:rsid w:val="00AA5EA6"/>
    <w:rsid w:val="00AB30BF"/>
    <w:rsid w:val="00AB5812"/>
    <w:rsid w:val="00AB7845"/>
    <w:rsid w:val="00AC135D"/>
    <w:rsid w:val="00AC2072"/>
    <w:rsid w:val="00AC4A1B"/>
    <w:rsid w:val="00AD0D28"/>
    <w:rsid w:val="00AD3F9D"/>
    <w:rsid w:val="00AD4746"/>
    <w:rsid w:val="00AD5010"/>
    <w:rsid w:val="00AE20C4"/>
    <w:rsid w:val="00AE2731"/>
    <w:rsid w:val="00AE4C05"/>
    <w:rsid w:val="00AE6BE8"/>
    <w:rsid w:val="00AE6FA9"/>
    <w:rsid w:val="00AF2498"/>
    <w:rsid w:val="00B030BE"/>
    <w:rsid w:val="00B0691A"/>
    <w:rsid w:val="00B17C41"/>
    <w:rsid w:val="00B17FDB"/>
    <w:rsid w:val="00B24B51"/>
    <w:rsid w:val="00B26520"/>
    <w:rsid w:val="00B31B92"/>
    <w:rsid w:val="00B320D9"/>
    <w:rsid w:val="00B321D4"/>
    <w:rsid w:val="00B330B9"/>
    <w:rsid w:val="00B34917"/>
    <w:rsid w:val="00B3495F"/>
    <w:rsid w:val="00B34AF6"/>
    <w:rsid w:val="00B34CBF"/>
    <w:rsid w:val="00B40DAD"/>
    <w:rsid w:val="00B42361"/>
    <w:rsid w:val="00B429D4"/>
    <w:rsid w:val="00B42F1E"/>
    <w:rsid w:val="00B43543"/>
    <w:rsid w:val="00B458D2"/>
    <w:rsid w:val="00B5191C"/>
    <w:rsid w:val="00B573E0"/>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C73AA"/>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AA7"/>
    <w:rsid w:val="00C66A02"/>
    <w:rsid w:val="00C713E7"/>
    <w:rsid w:val="00C718DA"/>
    <w:rsid w:val="00C73873"/>
    <w:rsid w:val="00C75FCC"/>
    <w:rsid w:val="00C853E8"/>
    <w:rsid w:val="00C86431"/>
    <w:rsid w:val="00C9316D"/>
    <w:rsid w:val="00C96B5F"/>
    <w:rsid w:val="00C975B4"/>
    <w:rsid w:val="00C97FB9"/>
    <w:rsid w:val="00CA155E"/>
    <w:rsid w:val="00CA2E10"/>
    <w:rsid w:val="00CA7999"/>
    <w:rsid w:val="00CB4E0C"/>
    <w:rsid w:val="00CB6814"/>
    <w:rsid w:val="00CD1405"/>
    <w:rsid w:val="00CE1E38"/>
    <w:rsid w:val="00CE3610"/>
    <w:rsid w:val="00CF1C3E"/>
    <w:rsid w:val="00CF24CD"/>
    <w:rsid w:val="00CF5221"/>
    <w:rsid w:val="00CF5822"/>
    <w:rsid w:val="00CF5A9B"/>
    <w:rsid w:val="00CF61A2"/>
    <w:rsid w:val="00CF6672"/>
    <w:rsid w:val="00D03A5F"/>
    <w:rsid w:val="00D11E74"/>
    <w:rsid w:val="00D11FEB"/>
    <w:rsid w:val="00D144A4"/>
    <w:rsid w:val="00D14F1F"/>
    <w:rsid w:val="00D15A5E"/>
    <w:rsid w:val="00D22435"/>
    <w:rsid w:val="00D23711"/>
    <w:rsid w:val="00D25823"/>
    <w:rsid w:val="00D2649F"/>
    <w:rsid w:val="00D36CA4"/>
    <w:rsid w:val="00D37896"/>
    <w:rsid w:val="00D41A30"/>
    <w:rsid w:val="00D43FCF"/>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1EBF"/>
    <w:rsid w:val="00DE370C"/>
    <w:rsid w:val="00DE48BE"/>
    <w:rsid w:val="00DE5489"/>
    <w:rsid w:val="00DF4AC7"/>
    <w:rsid w:val="00DF568A"/>
    <w:rsid w:val="00DF5EF4"/>
    <w:rsid w:val="00E00230"/>
    <w:rsid w:val="00E00442"/>
    <w:rsid w:val="00E015B8"/>
    <w:rsid w:val="00E02445"/>
    <w:rsid w:val="00E0521D"/>
    <w:rsid w:val="00E074E3"/>
    <w:rsid w:val="00E13B7B"/>
    <w:rsid w:val="00E178A1"/>
    <w:rsid w:val="00E2203D"/>
    <w:rsid w:val="00E220AD"/>
    <w:rsid w:val="00E222BB"/>
    <w:rsid w:val="00E25478"/>
    <w:rsid w:val="00E26258"/>
    <w:rsid w:val="00E27FFC"/>
    <w:rsid w:val="00E352D8"/>
    <w:rsid w:val="00E36D56"/>
    <w:rsid w:val="00E377AA"/>
    <w:rsid w:val="00E37ED8"/>
    <w:rsid w:val="00E41006"/>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4F3F"/>
    <w:rsid w:val="00E87046"/>
    <w:rsid w:val="00E9569E"/>
    <w:rsid w:val="00E96851"/>
    <w:rsid w:val="00EA151B"/>
    <w:rsid w:val="00EA3777"/>
    <w:rsid w:val="00EA5DF2"/>
    <w:rsid w:val="00EA7352"/>
    <w:rsid w:val="00EA759A"/>
    <w:rsid w:val="00EA7FE4"/>
    <w:rsid w:val="00EB06DD"/>
    <w:rsid w:val="00EB648A"/>
    <w:rsid w:val="00EB6C95"/>
    <w:rsid w:val="00EB6E90"/>
    <w:rsid w:val="00EB71B3"/>
    <w:rsid w:val="00EC103F"/>
    <w:rsid w:val="00EC2608"/>
    <w:rsid w:val="00EC5DBC"/>
    <w:rsid w:val="00ED364A"/>
    <w:rsid w:val="00ED7690"/>
    <w:rsid w:val="00EE07A4"/>
    <w:rsid w:val="00EE0923"/>
    <w:rsid w:val="00EE137A"/>
    <w:rsid w:val="00EE22E1"/>
    <w:rsid w:val="00EF21BC"/>
    <w:rsid w:val="00EF3B04"/>
    <w:rsid w:val="00EF72B0"/>
    <w:rsid w:val="00F00C40"/>
    <w:rsid w:val="00F00CD5"/>
    <w:rsid w:val="00F03EE5"/>
    <w:rsid w:val="00F04A79"/>
    <w:rsid w:val="00F055BB"/>
    <w:rsid w:val="00F06310"/>
    <w:rsid w:val="00F12F9E"/>
    <w:rsid w:val="00F15297"/>
    <w:rsid w:val="00F214DF"/>
    <w:rsid w:val="00F23427"/>
    <w:rsid w:val="00F37E2C"/>
    <w:rsid w:val="00F43176"/>
    <w:rsid w:val="00F44CFD"/>
    <w:rsid w:val="00F456C2"/>
    <w:rsid w:val="00F51B36"/>
    <w:rsid w:val="00F521F4"/>
    <w:rsid w:val="00F54AC6"/>
    <w:rsid w:val="00F61E91"/>
    <w:rsid w:val="00F647BF"/>
    <w:rsid w:val="00F66460"/>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3E68"/>
    <w:rsid w:val="00FB4BB4"/>
    <w:rsid w:val="00FB55BD"/>
    <w:rsid w:val="00FC3975"/>
    <w:rsid w:val="00FC68EF"/>
    <w:rsid w:val="00FD0C75"/>
    <w:rsid w:val="00FD2E83"/>
    <w:rsid w:val="00FD6185"/>
    <w:rsid w:val="00FD6685"/>
    <w:rsid w:val="00FE05A8"/>
    <w:rsid w:val="00FE074C"/>
    <w:rsid w:val="00FE1310"/>
    <w:rsid w:val="00FE49AA"/>
    <w:rsid w:val="00FF2D34"/>
    <w:rsid w:val="00FF4113"/>
    <w:rsid w:val="00FF51A5"/>
    <w:rsid w:val="00FF6EB2"/>
    <w:rsid w:val="00FF74E3"/>
    <w:rsid w:val="00FF7DC4"/>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0BE"/>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customStyle="1" w:styleId="Standard">
    <w:name w:val="Standard"/>
    <w:basedOn w:val="Normal"/>
    <w:rsid w:val="00B030BE"/>
    <w:pPr>
      <w:autoSpaceDN w:val="0"/>
    </w:pPr>
    <w:rPr>
      <w:rFonts w:eastAsia="Calibri"/>
      <w:lang w:eastAsia="zh-CN"/>
    </w:rPr>
  </w:style>
  <w:style w:type="paragraph" w:customStyle="1" w:styleId="Textbody">
    <w:name w:val="Text body"/>
    <w:basedOn w:val="Normal"/>
    <w:rsid w:val="00B030BE"/>
    <w:pPr>
      <w:autoSpaceDN w:val="0"/>
      <w:spacing w:after="120"/>
    </w:pPr>
    <w:rPr>
      <w:rFonts w:eastAsia="Calibri"/>
      <w:lang w:eastAsia="zh-CN"/>
    </w:rPr>
  </w:style>
  <w:style w:type="paragraph" w:styleId="ListParagraph">
    <w:name w:val="List Paragraph"/>
    <w:basedOn w:val="Normal"/>
    <w:uiPriority w:val="34"/>
    <w:qFormat/>
    <w:rsid w:val="00023F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0BE"/>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customStyle="1" w:styleId="Standard">
    <w:name w:val="Standard"/>
    <w:basedOn w:val="Normal"/>
    <w:rsid w:val="00B030BE"/>
    <w:pPr>
      <w:autoSpaceDN w:val="0"/>
    </w:pPr>
    <w:rPr>
      <w:rFonts w:eastAsia="Calibri"/>
      <w:lang w:eastAsia="zh-CN"/>
    </w:rPr>
  </w:style>
  <w:style w:type="paragraph" w:customStyle="1" w:styleId="Textbody">
    <w:name w:val="Text body"/>
    <w:basedOn w:val="Normal"/>
    <w:rsid w:val="00B030BE"/>
    <w:pPr>
      <w:autoSpaceDN w:val="0"/>
      <w:spacing w:after="120"/>
    </w:pPr>
    <w:rPr>
      <w:rFonts w:eastAsia="Calibri"/>
      <w:lang w:eastAsia="zh-CN"/>
    </w:rPr>
  </w:style>
  <w:style w:type="paragraph" w:styleId="ListParagraph">
    <w:name w:val="List Paragraph"/>
    <w:basedOn w:val="Normal"/>
    <w:uiPriority w:val="34"/>
    <w:qFormat/>
    <w:rsid w:val="00023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59">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55464488">
      <w:bodyDiv w:val="1"/>
      <w:marLeft w:val="0"/>
      <w:marRight w:val="0"/>
      <w:marTop w:val="0"/>
      <w:marBottom w:val="0"/>
      <w:divBdr>
        <w:top w:val="none" w:sz="0" w:space="0" w:color="auto"/>
        <w:left w:val="none" w:sz="0" w:space="0" w:color="auto"/>
        <w:bottom w:val="none" w:sz="0" w:space="0" w:color="auto"/>
        <w:right w:val="none" w:sz="0" w:space="0" w:color="auto"/>
      </w:divBdr>
    </w:div>
    <w:div w:id="219873629">
      <w:bodyDiv w:val="1"/>
      <w:marLeft w:val="0"/>
      <w:marRight w:val="0"/>
      <w:marTop w:val="0"/>
      <w:marBottom w:val="0"/>
      <w:divBdr>
        <w:top w:val="none" w:sz="0" w:space="0" w:color="auto"/>
        <w:left w:val="none" w:sz="0" w:space="0" w:color="auto"/>
        <w:bottom w:val="none" w:sz="0" w:space="0" w:color="auto"/>
        <w:right w:val="none" w:sz="0" w:space="0" w:color="auto"/>
      </w:divBdr>
    </w:div>
    <w:div w:id="263659483">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13611731">
      <w:bodyDiv w:val="1"/>
      <w:marLeft w:val="0"/>
      <w:marRight w:val="0"/>
      <w:marTop w:val="0"/>
      <w:marBottom w:val="0"/>
      <w:divBdr>
        <w:top w:val="none" w:sz="0" w:space="0" w:color="auto"/>
        <w:left w:val="none" w:sz="0" w:space="0" w:color="auto"/>
        <w:bottom w:val="none" w:sz="0" w:space="0" w:color="auto"/>
        <w:right w:val="none" w:sz="0" w:space="0" w:color="auto"/>
      </w:divBdr>
    </w:div>
    <w:div w:id="535511075">
      <w:bodyDiv w:val="1"/>
      <w:marLeft w:val="0"/>
      <w:marRight w:val="0"/>
      <w:marTop w:val="0"/>
      <w:marBottom w:val="0"/>
      <w:divBdr>
        <w:top w:val="none" w:sz="0" w:space="0" w:color="auto"/>
        <w:left w:val="none" w:sz="0" w:space="0" w:color="auto"/>
        <w:bottom w:val="none" w:sz="0" w:space="0" w:color="auto"/>
        <w:right w:val="none" w:sz="0" w:space="0" w:color="auto"/>
      </w:divBdr>
    </w:div>
    <w:div w:id="623461830">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20249749">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43864896">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336879433">
      <w:bodyDiv w:val="1"/>
      <w:marLeft w:val="0"/>
      <w:marRight w:val="0"/>
      <w:marTop w:val="0"/>
      <w:marBottom w:val="0"/>
      <w:divBdr>
        <w:top w:val="none" w:sz="0" w:space="0" w:color="auto"/>
        <w:left w:val="none" w:sz="0" w:space="0" w:color="auto"/>
        <w:bottom w:val="none" w:sz="0" w:space="0" w:color="auto"/>
        <w:right w:val="none" w:sz="0" w:space="0" w:color="auto"/>
      </w:divBdr>
      <w:divsChild>
        <w:div w:id="1704595015">
          <w:marLeft w:val="0"/>
          <w:marRight w:val="0"/>
          <w:marTop w:val="0"/>
          <w:marBottom w:val="0"/>
          <w:divBdr>
            <w:top w:val="none" w:sz="0" w:space="0" w:color="auto"/>
            <w:left w:val="none" w:sz="0" w:space="0" w:color="auto"/>
            <w:bottom w:val="none" w:sz="0" w:space="0" w:color="auto"/>
            <w:right w:val="none" w:sz="0" w:space="0" w:color="auto"/>
          </w:divBdr>
          <w:divsChild>
            <w:div w:id="1974865513">
              <w:marLeft w:val="300"/>
              <w:marRight w:val="300"/>
              <w:marTop w:val="0"/>
              <w:marBottom w:val="0"/>
              <w:divBdr>
                <w:top w:val="none" w:sz="0" w:space="0" w:color="auto"/>
                <w:left w:val="none" w:sz="0" w:space="0" w:color="auto"/>
                <w:bottom w:val="none" w:sz="0" w:space="0" w:color="auto"/>
                <w:right w:val="none" w:sz="0" w:space="0" w:color="auto"/>
              </w:divBdr>
              <w:divsChild>
                <w:div w:id="831020528">
                  <w:marLeft w:val="0"/>
                  <w:marRight w:val="0"/>
                  <w:marTop w:val="0"/>
                  <w:marBottom w:val="0"/>
                  <w:divBdr>
                    <w:top w:val="none" w:sz="0" w:space="0" w:color="auto"/>
                    <w:left w:val="none" w:sz="0" w:space="0" w:color="auto"/>
                    <w:bottom w:val="none" w:sz="0" w:space="0" w:color="auto"/>
                    <w:right w:val="none" w:sz="0" w:space="0" w:color="auto"/>
                  </w:divBdr>
                  <w:divsChild>
                    <w:div w:id="2057969791">
                      <w:marLeft w:val="0"/>
                      <w:marRight w:val="0"/>
                      <w:marTop w:val="0"/>
                      <w:marBottom w:val="0"/>
                      <w:divBdr>
                        <w:top w:val="none" w:sz="0" w:space="0" w:color="auto"/>
                        <w:left w:val="none" w:sz="0" w:space="0" w:color="auto"/>
                        <w:bottom w:val="none" w:sz="0" w:space="0" w:color="auto"/>
                        <w:right w:val="none" w:sz="0" w:space="0" w:color="auto"/>
                      </w:divBdr>
                      <w:divsChild>
                        <w:div w:id="248543273">
                          <w:marLeft w:val="0"/>
                          <w:marRight w:val="0"/>
                          <w:marTop w:val="0"/>
                          <w:marBottom w:val="0"/>
                          <w:divBdr>
                            <w:top w:val="none" w:sz="0" w:space="0" w:color="auto"/>
                            <w:left w:val="none" w:sz="0" w:space="0" w:color="auto"/>
                            <w:bottom w:val="none" w:sz="0" w:space="0" w:color="auto"/>
                            <w:right w:val="none" w:sz="0" w:space="0" w:color="auto"/>
                          </w:divBdr>
                        </w:div>
                        <w:div w:id="2061514732">
                          <w:marLeft w:val="0"/>
                          <w:marRight w:val="0"/>
                          <w:marTop w:val="0"/>
                          <w:marBottom w:val="0"/>
                          <w:divBdr>
                            <w:top w:val="single" w:sz="6" w:space="5" w:color="FFFFFF"/>
                            <w:left w:val="none" w:sz="0" w:space="0" w:color="auto"/>
                            <w:bottom w:val="none" w:sz="0" w:space="0" w:color="auto"/>
                            <w:right w:val="none" w:sz="0" w:space="0" w:color="auto"/>
                          </w:divBdr>
                          <w:divsChild>
                            <w:div w:id="1119647989">
                              <w:marLeft w:val="0"/>
                              <w:marRight w:val="0"/>
                              <w:marTop w:val="0"/>
                              <w:marBottom w:val="0"/>
                              <w:divBdr>
                                <w:top w:val="none" w:sz="0" w:space="0" w:color="auto"/>
                                <w:left w:val="none" w:sz="0" w:space="0" w:color="auto"/>
                                <w:bottom w:val="none" w:sz="0" w:space="0" w:color="auto"/>
                                <w:right w:val="none" w:sz="0" w:space="0" w:color="auto"/>
                              </w:divBdr>
                            </w:div>
                            <w:div w:id="2044867953">
                              <w:marLeft w:val="0"/>
                              <w:marRight w:val="105"/>
                              <w:marTop w:val="0"/>
                              <w:marBottom w:val="90"/>
                              <w:divBdr>
                                <w:top w:val="single" w:sz="6" w:space="1" w:color="D8D8D8"/>
                                <w:left w:val="single" w:sz="6" w:space="6" w:color="D8D8D8"/>
                                <w:bottom w:val="single" w:sz="6" w:space="1" w:color="D8D8D8"/>
                                <w:right w:val="single" w:sz="6" w:space="6" w:color="D8D8D8"/>
                              </w:divBdr>
                            </w:div>
                          </w:divsChild>
                        </w:div>
                      </w:divsChild>
                    </w:div>
                  </w:divsChild>
                </w:div>
              </w:divsChild>
            </w:div>
          </w:divsChild>
        </w:div>
      </w:divsChild>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43825061">
      <w:bodyDiv w:val="1"/>
      <w:marLeft w:val="0"/>
      <w:marRight w:val="0"/>
      <w:marTop w:val="0"/>
      <w:marBottom w:val="0"/>
      <w:divBdr>
        <w:top w:val="none" w:sz="0" w:space="0" w:color="auto"/>
        <w:left w:val="none" w:sz="0" w:space="0" w:color="auto"/>
        <w:bottom w:val="none" w:sz="0" w:space="0" w:color="auto"/>
        <w:right w:val="none" w:sz="0" w:space="0" w:color="auto"/>
      </w:divBdr>
    </w:div>
    <w:div w:id="2055420862">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279F4-E860-4D18-B33C-B2DC5D60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2019-04-10T06:56:00Z</dcterms:created>
  <dcterms:modified xsi:type="dcterms:W3CDTF">2019-05-31T07:28:00Z</dcterms:modified>
</cp:coreProperties>
</file>