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AB0ACA" w:rsidRDefault="001A7BC4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FF5B9A">
        <w:rPr>
          <w:b/>
          <w:i/>
        </w:rPr>
        <w:t>ор на въпрос от</w:t>
      </w:r>
      <w:r w:rsidR="00022F85">
        <w:rPr>
          <w:b/>
          <w:i/>
        </w:rPr>
        <w:t xml:space="preserve"> Александър Мацурев – народен</w:t>
      </w:r>
      <w:r w:rsidR="007B3CDA">
        <w:rPr>
          <w:b/>
          <w:i/>
        </w:rPr>
        <w:t xml:space="preserve"> представител</w:t>
      </w:r>
      <w:r w:rsidR="00022F85">
        <w:rPr>
          <w:b/>
          <w:i/>
        </w:rPr>
        <w:t xml:space="preserve"> от ПГ на ПП ГЕРБ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022F85">
        <w:rPr>
          <w:b/>
          <w:i/>
        </w:rPr>
        <w:t>о прием по подмярка 7.2</w:t>
      </w:r>
    </w:p>
    <w:p w:rsidR="006023A2" w:rsidRDefault="006023A2" w:rsidP="0008312A">
      <w:pPr>
        <w:jc w:val="both"/>
        <w:rPr>
          <w:b/>
          <w:sz w:val="32"/>
          <w:szCs w:val="32"/>
        </w:rPr>
      </w:pPr>
    </w:p>
    <w:p w:rsidR="00DD72BC" w:rsidRPr="003B70C9" w:rsidRDefault="00DD72BC" w:rsidP="0008312A">
      <w:pPr>
        <w:jc w:val="both"/>
        <w:rPr>
          <w:b/>
          <w:sz w:val="32"/>
          <w:szCs w:val="32"/>
        </w:rPr>
      </w:pPr>
    </w:p>
    <w:p w:rsidR="00EC27B2" w:rsidRDefault="004B07F5" w:rsidP="00F638CD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F638CD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022F85" w:rsidRDefault="007B3CDA" w:rsidP="00022F85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УВАЖАЕМИ ГОСПОДИН </w:t>
      </w:r>
      <w:r w:rsidR="00022F85">
        <w:rPr>
          <w:b/>
          <w:sz w:val="32"/>
          <w:szCs w:val="32"/>
        </w:rPr>
        <w:t>МАЦУРЕВ</w:t>
      </w:r>
      <w:r w:rsidR="001A7BC4" w:rsidRPr="004B07F5">
        <w:rPr>
          <w:b/>
          <w:sz w:val="32"/>
          <w:szCs w:val="32"/>
        </w:rPr>
        <w:t>,</w:t>
      </w:r>
    </w:p>
    <w:p w:rsidR="00022F85" w:rsidRDefault="00022F85" w:rsidP="00022F85">
      <w:pPr>
        <w:ind w:left="-851" w:hanging="1"/>
        <w:jc w:val="both"/>
        <w:rPr>
          <w:b/>
          <w:sz w:val="32"/>
          <w:szCs w:val="32"/>
        </w:rPr>
      </w:pPr>
    </w:p>
    <w:p w:rsidR="00DD72BC" w:rsidRDefault="00DD72BC" w:rsidP="00022F85">
      <w:pPr>
        <w:ind w:left="-851" w:hanging="1"/>
        <w:jc w:val="both"/>
        <w:rPr>
          <w:b/>
          <w:sz w:val="32"/>
          <w:szCs w:val="32"/>
        </w:rPr>
      </w:pPr>
    </w:p>
    <w:p w:rsidR="00893D77" w:rsidRPr="00893D77" w:rsidRDefault="00893D77" w:rsidP="00893D77">
      <w:pPr>
        <w:spacing w:line="360" w:lineRule="auto"/>
        <w:ind w:left="-850" w:firstLine="709"/>
        <w:jc w:val="both"/>
        <w:rPr>
          <w:b/>
          <w:sz w:val="28"/>
          <w:szCs w:val="28"/>
        </w:rPr>
      </w:pPr>
      <w:r w:rsidRPr="00893D77">
        <w:rPr>
          <w:rFonts w:eastAsiaTheme="minorHAnsi"/>
          <w:sz w:val="28"/>
          <w:szCs w:val="28"/>
        </w:rPr>
        <w:t>От стартирането на Програмата за развитие на селските райони 2014-2020 г. до настоящия момент по</w:t>
      </w:r>
      <w:r w:rsidRPr="00893D77">
        <w:rPr>
          <w:b/>
          <w:sz w:val="28"/>
          <w:szCs w:val="28"/>
        </w:rPr>
        <w:t xml:space="preserve"> </w:t>
      </w:r>
      <w:proofErr w:type="spellStart"/>
      <w:r w:rsidRPr="00893D77">
        <w:rPr>
          <w:rFonts w:eastAsiaTheme="minorHAnsi"/>
          <w:sz w:val="28"/>
          <w:szCs w:val="28"/>
        </w:rPr>
        <w:t>подмярка</w:t>
      </w:r>
      <w:proofErr w:type="spellEnd"/>
      <w:r w:rsidRPr="00893D77">
        <w:rPr>
          <w:rFonts w:eastAsiaTheme="minorHAnsi"/>
          <w:sz w:val="28"/>
          <w:szCs w:val="28"/>
        </w:rPr>
        <w:t xml:space="preserve"> 7.2 „Инвестиции в създаването, подобряването или</w:t>
      </w:r>
      <w:r w:rsidRPr="00893D77">
        <w:rPr>
          <w:b/>
          <w:sz w:val="28"/>
          <w:szCs w:val="28"/>
        </w:rPr>
        <w:t xml:space="preserve"> </w:t>
      </w:r>
      <w:r w:rsidRPr="00893D77">
        <w:rPr>
          <w:rFonts w:eastAsiaTheme="minorHAnsi"/>
          <w:sz w:val="28"/>
          <w:szCs w:val="28"/>
        </w:rPr>
        <w:t>разширяването на всички видове малка по мащаби инфраструктура“ са</w:t>
      </w:r>
      <w:r w:rsidRPr="00893D77">
        <w:rPr>
          <w:sz w:val="28"/>
          <w:szCs w:val="28"/>
        </w:rPr>
        <w:t xml:space="preserve"> </w:t>
      </w:r>
      <w:r w:rsidRPr="00893D77">
        <w:rPr>
          <w:rFonts w:eastAsiaTheme="minorHAnsi"/>
          <w:sz w:val="28"/>
          <w:szCs w:val="28"/>
        </w:rPr>
        <w:t xml:space="preserve">проведени </w:t>
      </w:r>
      <w:r w:rsidRPr="00893D77">
        <w:rPr>
          <w:rFonts w:eastAsiaTheme="minorHAnsi"/>
          <w:b/>
          <w:sz w:val="28"/>
          <w:szCs w:val="28"/>
        </w:rPr>
        <w:t>3 приема</w:t>
      </w:r>
      <w:r w:rsidRPr="00893D77">
        <w:rPr>
          <w:rFonts w:eastAsiaTheme="minorHAnsi"/>
          <w:sz w:val="28"/>
          <w:szCs w:val="28"/>
        </w:rPr>
        <w:t>.</w:t>
      </w:r>
    </w:p>
    <w:p w:rsidR="00893D77" w:rsidRPr="00893D77" w:rsidRDefault="00893D77" w:rsidP="00893D77">
      <w:pPr>
        <w:spacing w:line="360" w:lineRule="auto"/>
        <w:ind w:left="-850" w:firstLine="709"/>
        <w:jc w:val="both"/>
        <w:rPr>
          <w:rFonts w:eastAsiaTheme="minorHAnsi"/>
          <w:b/>
          <w:sz w:val="28"/>
          <w:szCs w:val="28"/>
        </w:rPr>
      </w:pPr>
      <w:r w:rsidRPr="00893D77">
        <w:rPr>
          <w:rFonts w:eastAsiaTheme="minorHAnsi"/>
          <w:sz w:val="28"/>
          <w:szCs w:val="28"/>
        </w:rPr>
        <w:t xml:space="preserve">През </w:t>
      </w:r>
      <w:r w:rsidRPr="00893D77">
        <w:rPr>
          <w:rFonts w:eastAsiaTheme="minorHAnsi"/>
          <w:b/>
          <w:sz w:val="28"/>
          <w:szCs w:val="28"/>
          <w:u w:val="single"/>
        </w:rPr>
        <w:t>2016 г.</w:t>
      </w:r>
      <w:r w:rsidRPr="00893D77">
        <w:rPr>
          <w:rFonts w:eastAsiaTheme="minorHAnsi"/>
          <w:b/>
          <w:sz w:val="28"/>
          <w:szCs w:val="28"/>
        </w:rPr>
        <w:t xml:space="preserve"> беше обявен първи прием</w:t>
      </w:r>
      <w:r w:rsidRPr="00893D77">
        <w:rPr>
          <w:rFonts w:eastAsiaTheme="minorHAnsi"/>
          <w:sz w:val="28"/>
          <w:szCs w:val="28"/>
        </w:rPr>
        <w:t xml:space="preserve"> за кандидати с бюджет след увеличението му от </w:t>
      </w:r>
      <w:r w:rsidRPr="00893D77">
        <w:rPr>
          <w:rFonts w:eastAsiaTheme="minorHAnsi"/>
          <w:b/>
          <w:sz w:val="28"/>
          <w:szCs w:val="28"/>
        </w:rPr>
        <w:t>439</w:t>
      </w:r>
      <w:r w:rsidRPr="00893D77">
        <w:rPr>
          <w:rFonts w:eastAsiaTheme="minorHAnsi"/>
          <w:sz w:val="28"/>
          <w:szCs w:val="28"/>
        </w:rPr>
        <w:t xml:space="preserve"> </w:t>
      </w:r>
      <w:r w:rsidRPr="00893D77">
        <w:rPr>
          <w:rFonts w:eastAsiaTheme="minorHAnsi"/>
          <w:b/>
          <w:sz w:val="28"/>
          <w:szCs w:val="28"/>
        </w:rPr>
        <w:t>млн. евро.</w:t>
      </w:r>
    </w:p>
    <w:p w:rsidR="00893D77" w:rsidRPr="00893D77" w:rsidRDefault="00893D77" w:rsidP="00893D77">
      <w:pPr>
        <w:spacing w:line="360" w:lineRule="auto"/>
        <w:ind w:left="-850" w:firstLine="709"/>
        <w:jc w:val="both"/>
        <w:rPr>
          <w:rFonts w:eastAsiaTheme="minorHAnsi"/>
          <w:b/>
          <w:sz w:val="28"/>
          <w:szCs w:val="28"/>
        </w:rPr>
      </w:pPr>
      <w:r w:rsidRPr="00893D77">
        <w:rPr>
          <w:rFonts w:eastAsiaTheme="minorHAnsi"/>
          <w:sz w:val="28"/>
          <w:szCs w:val="28"/>
        </w:rPr>
        <w:t xml:space="preserve">Вследствие на инцидента в село Хитрино и нанесените материални щети на техническата инфраструктура на неговата територия, в края на 2016 г. беше обявен целеви прием за тази община, с цел подпомагане възстановяването на засегнатата инфраструктура с бюджет на приема в размер на </w:t>
      </w:r>
      <w:r w:rsidRPr="00893D77">
        <w:rPr>
          <w:rFonts w:eastAsiaTheme="minorHAnsi"/>
          <w:b/>
          <w:sz w:val="28"/>
          <w:szCs w:val="28"/>
        </w:rPr>
        <w:t>10</w:t>
      </w:r>
      <w:r w:rsidRPr="00893D77">
        <w:rPr>
          <w:rFonts w:eastAsiaTheme="minorHAnsi"/>
          <w:sz w:val="28"/>
          <w:szCs w:val="28"/>
        </w:rPr>
        <w:t xml:space="preserve"> </w:t>
      </w:r>
      <w:r w:rsidRPr="00893D77">
        <w:rPr>
          <w:rFonts w:eastAsiaTheme="minorHAnsi"/>
          <w:b/>
          <w:sz w:val="28"/>
          <w:szCs w:val="28"/>
        </w:rPr>
        <w:t>млн. евро.</w:t>
      </w:r>
    </w:p>
    <w:p w:rsidR="00893D77" w:rsidRPr="00893D77" w:rsidRDefault="00893D77" w:rsidP="00893D77">
      <w:pPr>
        <w:spacing w:line="360" w:lineRule="auto"/>
        <w:ind w:left="-850" w:firstLine="709"/>
        <w:jc w:val="both"/>
        <w:rPr>
          <w:rFonts w:eastAsiaTheme="minorHAnsi"/>
          <w:sz w:val="28"/>
          <w:szCs w:val="28"/>
        </w:rPr>
      </w:pPr>
      <w:r w:rsidRPr="00893D77">
        <w:rPr>
          <w:rFonts w:eastAsiaTheme="minorHAnsi"/>
          <w:b/>
          <w:sz w:val="28"/>
          <w:szCs w:val="28"/>
        </w:rPr>
        <w:t xml:space="preserve">През </w:t>
      </w:r>
      <w:r w:rsidRPr="00893D77">
        <w:rPr>
          <w:rFonts w:eastAsiaTheme="minorHAnsi"/>
          <w:b/>
          <w:sz w:val="28"/>
          <w:szCs w:val="28"/>
          <w:u w:val="single"/>
        </w:rPr>
        <w:t>2018 г.</w:t>
      </w:r>
      <w:r w:rsidRPr="00893D77">
        <w:rPr>
          <w:rFonts w:eastAsiaTheme="minorHAnsi"/>
          <w:b/>
          <w:sz w:val="28"/>
          <w:szCs w:val="28"/>
        </w:rPr>
        <w:t xml:space="preserve"> </w:t>
      </w:r>
      <w:r w:rsidR="00E4434D">
        <w:rPr>
          <w:rFonts w:eastAsiaTheme="minorHAnsi"/>
          <w:b/>
          <w:sz w:val="28"/>
          <w:szCs w:val="28"/>
        </w:rPr>
        <w:t>се реализира</w:t>
      </w:r>
      <w:r w:rsidRPr="00893D77">
        <w:rPr>
          <w:rFonts w:eastAsiaTheme="minorHAnsi"/>
          <w:b/>
          <w:sz w:val="28"/>
          <w:szCs w:val="28"/>
        </w:rPr>
        <w:t xml:space="preserve"> още един прием</w:t>
      </w:r>
      <w:r w:rsidRPr="00893D77">
        <w:rPr>
          <w:rFonts w:eastAsiaTheme="minorHAnsi"/>
          <w:sz w:val="28"/>
          <w:szCs w:val="28"/>
        </w:rPr>
        <w:t xml:space="preserve"> по седем процедури за кандидати с остатъчния бюджет по </w:t>
      </w:r>
      <w:proofErr w:type="spellStart"/>
      <w:r w:rsidRPr="00893D77">
        <w:rPr>
          <w:rFonts w:eastAsiaTheme="minorHAnsi"/>
          <w:sz w:val="28"/>
          <w:szCs w:val="28"/>
        </w:rPr>
        <w:t>подмярка</w:t>
      </w:r>
      <w:proofErr w:type="spellEnd"/>
      <w:r w:rsidRPr="00893D77">
        <w:rPr>
          <w:rFonts w:eastAsiaTheme="minorHAnsi"/>
          <w:sz w:val="28"/>
          <w:szCs w:val="28"/>
        </w:rPr>
        <w:t xml:space="preserve"> 7.2 в размер на </w:t>
      </w:r>
      <w:r w:rsidRPr="00893D77">
        <w:rPr>
          <w:rFonts w:eastAsiaTheme="minorHAnsi"/>
          <w:b/>
          <w:sz w:val="28"/>
          <w:szCs w:val="28"/>
        </w:rPr>
        <w:t>100 млн. евро.</w:t>
      </w:r>
      <w:r w:rsidRPr="00893D77">
        <w:rPr>
          <w:rFonts w:eastAsiaTheme="minorHAnsi"/>
          <w:sz w:val="28"/>
          <w:szCs w:val="28"/>
        </w:rPr>
        <w:t xml:space="preserve"> Вследствие на текущите резултати от разглеждането на постъпилите проектни предложения по тези</w:t>
      </w:r>
      <w:r w:rsidR="000849A5">
        <w:rPr>
          <w:rFonts w:eastAsiaTheme="minorHAnsi"/>
          <w:sz w:val="28"/>
          <w:szCs w:val="28"/>
        </w:rPr>
        <w:t xml:space="preserve"> процедури, респективно излишъкът</w:t>
      </w:r>
      <w:r w:rsidRPr="00893D77">
        <w:rPr>
          <w:rFonts w:eastAsiaTheme="minorHAnsi"/>
          <w:sz w:val="28"/>
          <w:szCs w:val="28"/>
        </w:rPr>
        <w:t xml:space="preserve"> и недостиг</w:t>
      </w:r>
      <w:r w:rsidR="000849A5">
        <w:rPr>
          <w:rFonts w:eastAsiaTheme="minorHAnsi"/>
          <w:sz w:val="28"/>
          <w:szCs w:val="28"/>
        </w:rPr>
        <w:t>ът</w:t>
      </w:r>
      <w:r w:rsidRPr="00893D77">
        <w:rPr>
          <w:rFonts w:eastAsiaTheme="minorHAnsi"/>
          <w:sz w:val="28"/>
          <w:szCs w:val="28"/>
        </w:rPr>
        <w:t xml:space="preserve"> на средства по всяка една от тях, Управителният орган предприе действия за увеличение на средствата, с цел финансиране на всички проектни предложения, за които е наличен частичен разполагаем бюджет. Предвиденото увеличение е в размер на допълнителни средства от над </w:t>
      </w:r>
      <w:r w:rsidRPr="00893D77">
        <w:rPr>
          <w:rFonts w:eastAsiaTheme="minorHAnsi"/>
          <w:b/>
          <w:sz w:val="28"/>
          <w:szCs w:val="28"/>
        </w:rPr>
        <w:t>11,3</w:t>
      </w:r>
      <w:r w:rsidRPr="00893D77">
        <w:rPr>
          <w:rFonts w:eastAsiaTheme="minorHAnsi"/>
          <w:sz w:val="28"/>
          <w:szCs w:val="28"/>
        </w:rPr>
        <w:t xml:space="preserve"> </w:t>
      </w:r>
      <w:r w:rsidRPr="00893D77">
        <w:rPr>
          <w:rFonts w:eastAsiaTheme="minorHAnsi"/>
          <w:b/>
          <w:sz w:val="28"/>
          <w:szCs w:val="28"/>
        </w:rPr>
        <w:t>млн. евро,</w:t>
      </w:r>
      <w:r w:rsidRPr="00893D77">
        <w:rPr>
          <w:rFonts w:eastAsiaTheme="minorHAnsi"/>
          <w:sz w:val="28"/>
          <w:szCs w:val="28"/>
        </w:rPr>
        <w:t xml:space="preserve"> с цел финансиране на инвестиции в секторите: улици; детски градини; общински училища и площи за широко обществено ползване.</w:t>
      </w:r>
    </w:p>
    <w:p w:rsidR="00893D77" w:rsidRPr="00893D77" w:rsidRDefault="00893D77" w:rsidP="00893D77">
      <w:pPr>
        <w:spacing w:line="360" w:lineRule="auto"/>
        <w:ind w:left="-850" w:firstLine="709"/>
        <w:jc w:val="both"/>
        <w:rPr>
          <w:rFonts w:eastAsiaTheme="minorHAnsi"/>
          <w:sz w:val="28"/>
          <w:szCs w:val="28"/>
        </w:rPr>
      </w:pPr>
      <w:r w:rsidRPr="00893D77">
        <w:rPr>
          <w:rFonts w:eastAsiaTheme="minorHAnsi"/>
          <w:sz w:val="28"/>
          <w:szCs w:val="28"/>
        </w:rPr>
        <w:t>Вследствие на състоялите се приеми към настоящия момент Държавен фонд „Земеделие“ има сключени договори с кандидати, както следва:</w:t>
      </w:r>
    </w:p>
    <w:p w:rsidR="00893D77" w:rsidRPr="006E11BB" w:rsidRDefault="00893D77" w:rsidP="006E11BB">
      <w:pPr>
        <w:pStyle w:val="ListParagraph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893D77">
        <w:rPr>
          <w:b/>
          <w:sz w:val="28"/>
          <w:szCs w:val="28"/>
        </w:rPr>
        <w:t>По първи прием, вкл. и целевия</w:t>
      </w:r>
      <w:r w:rsidR="000849A5">
        <w:rPr>
          <w:b/>
          <w:sz w:val="28"/>
          <w:szCs w:val="28"/>
        </w:rPr>
        <w:t>т</w:t>
      </w:r>
      <w:r w:rsidRPr="00893D77">
        <w:rPr>
          <w:b/>
          <w:sz w:val="28"/>
          <w:szCs w:val="28"/>
        </w:rPr>
        <w:t xml:space="preserve"> прием</w:t>
      </w:r>
      <w:r w:rsidRPr="00893D77">
        <w:rPr>
          <w:sz w:val="28"/>
          <w:szCs w:val="28"/>
        </w:rPr>
        <w:t xml:space="preserve"> за общ. Хитрино по </w:t>
      </w:r>
      <w:proofErr w:type="spellStart"/>
      <w:r w:rsidRPr="00893D77">
        <w:rPr>
          <w:sz w:val="28"/>
          <w:szCs w:val="28"/>
        </w:rPr>
        <w:t>подмярка</w:t>
      </w:r>
      <w:proofErr w:type="spellEnd"/>
      <w:r w:rsidRPr="00893D77">
        <w:rPr>
          <w:sz w:val="28"/>
          <w:szCs w:val="28"/>
        </w:rPr>
        <w:t xml:space="preserve"> 7.2, са сключени </w:t>
      </w:r>
      <w:r w:rsidRPr="00893D77">
        <w:rPr>
          <w:b/>
          <w:sz w:val="28"/>
          <w:szCs w:val="28"/>
        </w:rPr>
        <w:t>3</w:t>
      </w:r>
      <w:r w:rsidRPr="00893D77">
        <w:rPr>
          <w:b/>
          <w:sz w:val="28"/>
          <w:szCs w:val="28"/>
          <w:lang w:val="en-GB"/>
        </w:rPr>
        <w:t>30</w:t>
      </w:r>
      <w:r w:rsidRPr="00893D77">
        <w:rPr>
          <w:sz w:val="28"/>
          <w:szCs w:val="28"/>
        </w:rPr>
        <w:t xml:space="preserve"> </w:t>
      </w:r>
      <w:r w:rsidRPr="00893D77">
        <w:rPr>
          <w:b/>
          <w:sz w:val="28"/>
          <w:szCs w:val="28"/>
        </w:rPr>
        <w:t>договора</w:t>
      </w:r>
      <w:r w:rsidRPr="00893D77">
        <w:rPr>
          <w:sz w:val="28"/>
          <w:szCs w:val="28"/>
        </w:rPr>
        <w:t xml:space="preserve"> със стойност на субсидията </w:t>
      </w:r>
      <w:r w:rsidR="000849A5">
        <w:rPr>
          <w:sz w:val="28"/>
          <w:szCs w:val="28"/>
        </w:rPr>
        <w:t>общо от</w:t>
      </w:r>
      <w:r w:rsidRPr="00893D77">
        <w:rPr>
          <w:sz w:val="28"/>
          <w:szCs w:val="28"/>
        </w:rPr>
        <w:t xml:space="preserve"> </w:t>
      </w:r>
      <w:r w:rsidR="006E11BB">
        <w:rPr>
          <w:sz w:val="28"/>
          <w:szCs w:val="28"/>
        </w:rPr>
        <w:t xml:space="preserve">                                     </w:t>
      </w:r>
      <w:r w:rsidRPr="006E11BB">
        <w:rPr>
          <w:b/>
          <w:sz w:val="28"/>
          <w:szCs w:val="28"/>
        </w:rPr>
        <w:t>429</w:t>
      </w:r>
      <w:r w:rsidRPr="006E11BB">
        <w:rPr>
          <w:sz w:val="28"/>
          <w:szCs w:val="28"/>
        </w:rPr>
        <w:t xml:space="preserve"> </w:t>
      </w:r>
      <w:r w:rsidRPr="006E11BB">
        <w:rPr>
          <w:b/>
          <w:sz w:val="28"/>
          <w:szCs w:val="28"/>
        </w:rPr>
        <w:t>млн. евро</w:t>
      </w:r>
      <w:r w:rsidRPr="006E11BB">
        <w:rPr>
          <w:sz w:val="28"/>
          <w:szCs w:val="28"/>
        </w:rPr>
        <w:t>;</w:t>
      </w:r>
    </w:p>
    <w:p w:rsidR="00893D77" w:rsidRPr="00BC4BB6" w:rsidRDefault="00893D77" w:rsidP="006E11BB">
      <w:pPr>
        <w:pStyle w:val="ListParagraph"/>
        <w:numPr>
          <w:ilvl w:val="0"/>
          <w:numId w:val="10"/>
        </w:numPr>
        <w:spacing w:line="360" w:lineRule="auto"/>
        <w:jc w:val="both"/>
        <w:rPr>
          <w:b/>
          <w:sz w:val="28"/>
          <w:szCs w:val="28"/>
        </w:rPr>
      </w:pPr>
      <w:r w:rsidRPr="00893D77">
        <w:rPr>
          <w:sz w:val="28"/>
          <w:szCs w:val="28"/>
        </w:rPr>
        <w:lastRenderedPageBreak/>
        <w:t>През</w:t>
      </w:r>
      <w:r w:rsidRPr="00893D77">
        <w:rPr>
          <w:b/>
          <w:sz w:val="28"/>
          <w:szCs w:val="28"/>
        </w:rPr>
        <w:t xml:space="preserve"> 2018 г</w:t>
      </w:r>
      <w:r w:rsidRPr="00893D77">
        <w:rPr>
          <w:sz w:val="28"/>
          <w:szCs w:val="28"/>
        </w:rPr>
        <w:t xml:space="preserve">. беше отворен прием по </w:t>
      </w:r>
      <w:r w:rsidRPr="00893D77">
        <w:rPr>
          <w:b/>
          <w:sz w:val="28"/>
          <w:szCs w:val="28"/>
        </w:rPr>
        <w:t xml:space="preserve">7 </w:t>
      </w:r>
      <w:r w:rsidRPr="00893D77">
        <w:rPr>
          <w:sz w:val="28"/>
          <w:szCs w:val="28"/>
        </w:rPr>
        <w:t xml:space="preserve">процедури по </w:t>
      </w:r>
      <w:proofErr w:type="spellStart"/>
      <w:r w:rsidRPr="00893D77">
        <w:rPr>
          <w:sz w:val="28"/>
          <w:szCs w:val="28"/>
        </w:rPr>
        <w:t>подмярка</w:t>
      </w:r>
      <w:proofErr w:type="spellEnd"/>
      <w:r w:rsidRPr="00893D77">
        <w:rPr>
          <w:sz w:val="28"/>
          <w:szCs w:val="28"/>
        </w:rPr>
        <w:t xml:space="preserve"> 7.2, като към момента е приключила обработката на проектни предложения по </w:t>
      </w:r>
      <w:r w:rsidR="006E11BB">
        <w:rPr>
          <w:sz w:val="28"/>
          <w:szCs w:val="28"/>
        </w:rPr>
        <w:t xml:space="preserve">                              </w:t>
      </w:r>
      <w:r w:rsidRPr="006E11BB">
        <w:rPr>
          <w:b/>
          <w:sz w:val="28"/>
          <w:szCs w:val="28"/>
        </w:rPr>
        <w:t>6</w:t>
      </w:r>
      <w:r w:rsidRPr="006E11BB">
        <w:rPr>
          <w:sz w:val="28"/>
          <w:szCs w:val="28"/>
        </w:rPr>
        <w:t xml:space="preserve"> от процедурите и са сключени </w:t>
      </w:r>
      <w:r w:rsidRPr="006E11BB">
        <w:rPr>
          <w:b/>
          <w:sz w:val="28"/>
          <w:szCs w:val="28"/>
        </w:rPr>
        <w:t>234</w:t>
      </w:r>
      <w:r w:rsidRPr="006E11BB">
        <w:rPr>
          <w:sz w:val="28"/>
          <w:szCs w:val="28"/>
        </w:rPr>
        <w:t xml:space="preserve"> договора с ДФЗ със стойност на субсидията в размер на над </w:t>
      </w:r>
      <w:r w:rsidRPr="006E11BB">
        <w:rPr>
          <w:b/>
          <w:sz w:val="28"/>
          <w:szCs w:val="28"/>
        </w:rPr>
        <w:t>70 млн. евро.</w:t>
      </w:r>
      <w:r w:rsidRPr="006E11BB">
        <w:rPr>
          <w:sz w:val="28"/>
          <w:szCs w:val="28"/>
        </w:rPr>
        <w:t xml:space="preserve"> В очакване сме всеки момент да бъдат сключени и договори с останалите </w:t>
      </w:r>
      <w:r w:rsidRPr="006E11BB">
        <w:rPr>
          <w:b/>
          <w:sz w:val="28"/>
          <w:szCs w:val="28"/>
        </w:rPr>
        <w:t>42</w:t>
      </w:r>
      <w:r w:rsidRPr="006E11BB">
        <w:rPr>
          <w:sz w:val="28"/>
          <w:szCs w:val="28"/>
        </w:rPr>
        <w:t xml:space="preserve"> одобрени за финансиране проектни предложения със стойност на субсидията в размер на</w:t>
      </w:r>
      <w:r w:rsidR="006E11BB">
        <w:rPr>
          <w:sz w:val="28"/>
          <w:szCs w:val="28"/>
        </w:rPr>
        <w:t xml:space="preserve">                                         </w:t>
      </w:r>
      <w:r w:rsidRPr="00BC4BB6">
        <w:rPr>
          <w:b/>
          <w:sz w:val="28"/>
          <w:szCs w:val="28"/>
        </w:rPr>
        <w:t>21,2 млн. евро.</w:t>
      </w:r>
    </w:p>
    <w:p w:rsidR="00893D77" w:rsidRPr="00893D77" w:rsidRDefault="00893D77" w:rsidP="00893D77">
      <w:pPr>
        <w:spacing w:line="360" w:lineRule="auto"/>
        <w:ind w:left="-850" w:firstLine="709"/>
        <w:jc w:val="both"/>
        <w:rPr>
          <w:rFonts w:eastAsiaTheme="minorHAnsi"/>
          <w:sz w:val="28"/>
          <w:szCs w:val="28"/>
        </w:rPr>
      </w:pPr>
      <w:r w:rsidRPr="00893D77">
        <w:rPr>
          <w:rFonts w:eastAsiaTheme="minorHAnsi"/>
          <w:sz w:val="28"/>
          <w:szCs w:val="28"/>
        </w:rPr>
        <w:t xml:space="preserve">По състоялите се приеми до момента са одобрени за подпомагане дейности за изграждане, реконструкция и/или рехабилитация на: </w:t>
      </w:r>
    </w:p>
    <w:p w:rsidR="00893D77" w:rsidRPr="00893D77" w:rsidRDefault="00893D77" w:rsidP="00893D77">
      <w:pPr>
        <w:pStyle w:val="ListParagraph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893D77">
        <w:rPr>
          <w:sz w:val="28"/>
          <w:szCs w:val="28"/>
        </w:rPr>
        <w:t xml:space="preserve">улици и тротоари; </w:t>
      </w:r>
    </w:p>
    <w:p w:rsidR="00893D77" w:rsidRPr="00893D77" w:rsidRDefault="00893D77" w:rsidP="00893D77">
      <w:pPr>
        <w:pStyle w:val="ListParagraph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893D77">
        <w:rPr>
          <w:sz w:val="28"/>
          <w:szCs w:val="28"/>
        </w:rPr>
        <w:t>общински пътища;</w:t>
      </w:r>
    </w:p>
    <w:p w:rsidR="00893D77" w:rsidRPr="00893D77" w:rsidRDefault="00893D77" w:rsidP="00893D77">
      <w:pPr>
        <w:pStyle w:val="ListParagraph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893D77">
        <w:rPr>
          <w:sz w:val="28"/>
          <w:szCs w:val="28"/>
        </w:rPr>
        <w:t xml:space="preserve">водоснабдителни системи; </w:t>
      </w:r>
    </w:p>
    <w:p w:rsidR="00893D77" w:rsidRPr="00893D77" w:rsidRDefault="00893D77" w:rsidP="00893D77">
      <w:pPr>
        <w:pStyle w:val="ListParagraph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893D77">
        <w:rPr>
          <w:sz w:val="28"/>
          <w:szCs w:val="28"/>
        </w:rPr>
        <w:t xml:space="preserve">социална инфраструктура; </w:t>
      </w:r>
    </w:p>
    <w:p w:rsidR="00893D77" w:rsidRPr="00893D77" w:rsidRDefault="00893D77" w:rsidP="00893D77">
      <w:pPr>
        <w:pStyle w:val="ListParagraph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893D77">
        <w:rPr>
          <w:sz w:val="28"/>
          <w:szCs w:val="28"/>
        </w:rPr>
        <w:t xml:space="preserve">обекти, свързани с културния живот </w:t>
      </w:r>
      <w:r w:rsidRPr="00893D77">
        <w:rPr>
          <w:i/>
          <w:sz w:val="28"/>
          <w:szCs w:val="28"/>
        </w:rPr>
        <w:t>(музеи, читалища)</w:t>
      </w:r>
      <w:r w:rsidRPr="00893D77">
        <w:rPr>
          <w:sz w:val="28"/>
          <w:szCs w:val="28"/>
        </w:rPr>
        <w:t>;</w:t>
      </w:r>
    </w:p>
    <w:p w:rsidR="00893D77" w:rsidRPr="00893D77" w:rsidRDefault="00893D77" w:rsidP="00893D77">
      <w:pPr>
        <w:pStyle w:val="ListParagraph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893D77">
        <w:rPr>
          <w:sz w:val="28"/>
          <w:szCs w:val="28"/>
        </w:rPr>
        <w:t xml:space="preserve">образователна инфраструктура </w:t>
      </w:r>
      <w:r w:rsidRPr="00893D77">
        <w:rPr>
          <w:i/>
          <w:sz w:val="28"/>
          <w:szCs w:val="28"/>
        </w:rPr>
        <w:t>(училища и детски градини)</w:t>
      </w:r>
      <w:r w:rsidRPr="00893D77">
        <w:rPr>
          <w:sz w:val="28"/>
          <w:szCs w:val="28"/>
        </w:rPr>
        <w:t>;</w:t>
      </w:r>
    </w:p>
    <w:p w:rsidR="00893D77" w:rsidRPr="00893D77" w:rsidRDefault="00893D77" w:rsidP="00893D77">
      <w:pPr>
        <w:pStyle w:val="ListParagraph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893D77">
        <w:rPr>
          <w:sz w:val="28"/>
          <w:szCs w:val="28"/>
        </w:rPr>
        <w:t>спортна инфраструктура, изграждане/обновяване</w:t>
      </w:r>
      <w:r w:rsidRPr="00893D77">
        <w:rPr>
          <w:sz w:val="28"/>
          <w:szCs w:val="28"/>
          <w:lang w:val="en-GB"/>
        </w:rPr>
        <w:t xml:space="preserve"> </w:t>
      </w:r>
      <w:r w:rsidRPr="00893D77">
        <w:rPr>
          <w:sz w:val="28"/>
          <w:szCs w:val="28"/>
        </w:rPr>
        <w:t xml:space="preserve">на площи за широко обществено ползване; </w:t>
      </w:r>
    </w:p>
    <w:p w:rsidR="00893D77" w:rsidRPr="00893D77" w:rsidRDefault="00893D77" w:rsidP="00893D77">
      <w:pPr>
        <w:pStyle w:val="ListParagraph"/>
        <w:numPr>
          <w:ilvl w:val="0"/>
          <w:numId w:val="11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893D77">
        <w:rPr>
          <w:sz w:val="28"/>
          <w:szCs w:val="28"/>
        </w:rPr>
        <w:t xml:space="preserve">енергийна ефективност на общински сгради; </w:t>
      </w:r>
    </w:p>
    <w:p w:rsidR="00893D77" w:rsidRPr="00893D77" w:rsidRDefault="00893D77" w:rsidP="00893D77">
      <w:pPr>
        <w:pStyle w:val="ListParagraph"/>
        <w:numPr>
          <w:ilvl w:val="0"/>
          <w:numId w:val="11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893D77">
        <w:rPr>
          <w:sz w:val="28"/>
          <w:szCs w:val="28"/>
        </w:rPr>
        <w:t xml:space="preserve">изграждане на закрита спортна инфраструктура в общинските училища </w:t>
      </w:r>
      <w:r w:rsidRPr="00893D77">
        <w:rPr>
          <w:i/>
          <w:sz w:val="28"/>
          <w:szCs w:val="28"/>
        </w:rPr>
        <w:t>/физкултурни салони/</w:t>
      </w:r>
      <w:r w:rsidRPr="00893D77">
        <w:rPr>
          <w:sz w:val="28"/>
          <w:szCs w:val="28"/>
        </w:rPr>
        <w:t>.</w:t>
      </w:r>
    </w:p>
    <w:p w:rsidR="000849A5" w:rsidRPr="00234B9C" w:rsidRDefault="000849A5" w:rsidP="00893D77">
      <w:pPr>
        <w:spacing w:line="360" w:lineRule="auto"/>
        <w:ind w:left="-851" w:firstLine="851"/>
        <w:jc w:val="both"/>
        <w:rPr>
          <w:sz w:val="28"/>
          <w:szCs w:val="28"/>
          <w:lang w:val="en-US"/>
        </w:rPr>
      </w:pPr>
      <w:r w:rsidRPr="00654CF1">
        <w:rPr>
          <w:sz w:val="28"/>
          <w:szCs w:val="28"/>
        </w:rPr>
        <w:t>По отношение на секторите и дейностите, които се подпомагат по мярка 7.2 и разпределението на бюджета между тях, обобщената справка за одобрени проектни предложения</w:t>
      </w:r>
      <w:r w:rsidR="00234B9C">
        <w:rPr>
          <w:sz w:val="28"/>
          <w:szCs w:val="28"/>
          <w:lang w:val="en-US"/>
        </w:rPr>
        <w:t xml:space="preserve"> e: </w:t>
      </w:r>
    </w:p>
    <w:p w:rsidR="000849A5" w:rsidRPr="00BC4BB6" w:rsidRDefault="000849A5" w:rsidP="00BC4BB6">
      <w:pPr>
        <w:pStyle w:val="ListParagraph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BC4BB6">
        <w:rPr>
          <w:sz w:val="28"/>
          <w:szCs w:val="28"/>
        </w:rPr>
        <w:t>За пътища има 70 бр. сключени договора за общо одобрени разходи 350 045 431 лева. Това на практи</w:t>
      </w:r>
      <w:r w:rsidR="00BC4BB6">
        <w:rPr>
          <w:sz w:val="28"/>
          <w:szCs w:val="28"/>
        </w:rPr>
        <w:t>ка е мярката с най-голям бюджет</w:t>
      </w:r>
      <w:r w:rsidR="00BC4BB6">
        <w:rPr>
          <w:sz w:val="28"/>
          <w:szCs w:val="28"/>
          <w:lang w:val="en-US"/>
        </w:rPr>
        <w:t>;</w:t>
      </w:r>
    </w:p>
    <w:p w:rsidR="00BC4BB6" w:rsidRPr="00BC4BB6" w:rsidRDefault="00BC4BB6" w:rsidP="00BC4BB6">
      <w:pPr>
        <w:pStyle w:val="ListParagraph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BC4BB6">
        <w:rPr>
          <w:sz w:val="28"/>
          <w:szCs w:val="28"/>
        </w:rPr>
        <w:t>За водопроводи с 50 сключени договора на общо од</w:t>
      </w:r>
      <w:r>
        <w:rPr>
          <w:sz w:val="28"/>
          <w:szCs w:val="28"/>
        </w:rPr>
        <w:t>обрени разходи 249 088 388 лева</w:t>
      </w:r>
      <w:r>
        <w:rPr>
          <w:sz w:val="28"/>
          <w:szCs w:val="28"/>
          <w:lang w:val="en-US"/>
        </w:rPr>
        <w:t xml:space="preserve">; </w:t>
      </w:r>
    </w:p>
    <w:p w:rsidR="00CE021C" w:rsidRPr="00BC4BB6" w:rsidRDefault="00CE021C" w:rsidP="00BC4BB6">
      <w:pPr>
        <w:pStyle w:val="ListParagraph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BC4BB6">
        <w:rPr>
          <w:sz w:val="28"/>
          <w:szCs w:val="28"/>
        </w:rPr>
        <w:t xml:space="preserve">За улици 168 </w:t>
      </w:r>
      <w:r w:rsidR="00AA793D" w:rsidRPr="00BC4BB6">
        <w:rPr>
          <w:sz w:val="28"/>
          <w:szCs w:val="28"/>
        </w:rPr>
        <w:t xml:space="preserve">броя </w:t>
      </w:r>
      <w:r w:rsidRPr="00BC4BB6">
        <w:rPr>
          <w:sz w:val="28"/>
          <w:szCs w:val="28"/>
        </w:rPr>
        <w:t xml:space="preserve">договори на </w:t>
      </w:r>
      <w:r w:rsidR="00BC4BB6">
        <w:rPr>
          <w:sz w:val="28"/>
          <w:szCs w:val="28"/>
        </w:rPr>
        <w:t>224 135 614 лева</w:t>
      </w:r>
      <w:r w:rsidR="00BC4BB6">
        <w:rPr>
          <w:sz w:val="28"/>
          <w:szCs w:val="28"/>
          <w:lang w:val="en-US"/>
        </w:rPr>
        <w:t>;</w:t>
      </w:r>
    </w:p>
    <w:p w:rsidR="00CE021C" w:rsidRPr="00BC4BB6" w:rsidRDefault="00CE021C" w:rsidP="00BC4BB6">
      <w:pPr>
        <w:pStyle w:val="ListParagraph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BC4BB6">
        <w:rPr>
          <w:sz w:val="28"/>
          <w:szCs w:val="28"/>
        </w:rPr>
        <w:t>За училища 53</w:t>
      </w:r>
      <w:r w:rsidR="00AA793D" w:rsidRPr="00BC4BB6">
        <w:rPr>
          <w:sz w:val="28"/>
          <w:szCs w:val="28"/>
        </w:rPr>
        <w:t xml:space="preserve"> броя с</w:t>
      </w:r>
      <w:r w:rsidRPr="00BC4BB6">
        <w:rPr>
          <w:sz w:val="28"/>
          <w:szCs w:val="28"/>
        </w:rPr>
        <w:t xml:space="preserve"> </w:t>
      </w:r>
      <w:r w:rsidR="00AA793D" w:rsidRPr="00BC4BB6">
        <w:rPr>
          <w:sz w:val="28"/>
          <w:szCs w:val="28"/>
        </w:rPr>
        <w:t>договорена</w:t>
      </w:r>
      <w:r w:rsidRPr="00BC4BB6">
        <w:rPr>
          <w:sz w:val="28"/>
          <w:szCs w:val="28"/>
        </w:rPr>
        <w:t xml:space="preserve"> обща стойност  63 890 326 лева.</w:t>
      </w:r>
    </w:p>
    <w:p w:rsidR="00CE021C" w:rsidRPr="00654CF1" w:rsidRDefault="00CE021C" w:rsidP="000849A5">
      <w:pPr>
        <w:spacing w:line="360" w:lineRule="auto"/>
        <w:ind w:left="-851" w:firstLine="851"/>
        <w:jc w:val="both"/>
        <w:rPr>
          <w:sz w:val="28"/>
          <w:szCs w:val="28"/>
        </w:rPr>
      </w:pPr>
      <w:r w:rsidRPr="00654CF1">
        <w:rPr>
          <w:sz w:val="28"/>
          <w:szCs w:val="28"/>
        </w:rPr>
        <w:t xml:space="preserve">Детски градини с 40 </w:t>
      </w:r>
      <w:r w:rsidR="00AA793D">
        <w:rPr>
          <w:sz w:val="28"/>
          <w:szCs w:val="28"/>
        </w:rPr>
        <w:t>броя</w:t>
      </w:r>
      <w:r w:rsidRPr="00654CF1">
        <w:rPr>
          <w:sz w:val="28"/>
          <w:szCs w:val="28"/>
        </w:rPr>
        <w:t xml:space="preserve"> договор</w:t>
      </w:r>
      <w:r w:rsidR="00AA793D">
        <w:rPr>
          <w:sz w:val="28"/>
          <w:szCs w:val="28"/>
        </w:rPr>
        <w:t>и</w:t>
      </w:r>
      <w:r w:rsidRPr="00654CF1">
        <w:rPr>
          <w:sz w:val="28"/>
          <w:szCs w:val="28"/>
        </w:rPr>
        <w:t xml:space="preserve"> за 39 297 520 л</w:t>
      </w:r>
      <w:r w:rsidR="00AA793D">
        <w:rPr>
          <w:sz w:val="28"/>
          <w:szCs w:val="28"/>
        </w:rPr>
        <w:t>ева</w:t>
      </w:r>
      <w:r w:rsidRPr="00654CF1">
        <w:rPr>
          <w:sz w:val="28"/>
          <w:szCs w:val="28"/>
        </w:rPr>
        <w:t>.</w:t>
      </w:r>
    </w:p>
    <w:p w:rsidR="00CE021C" w:rsidRPr="00654CF1" w:rsidRDefault="00CE021C" w:rsidP="000849A5">
      <w:pPr>
        <w:spacing w:line="360" w:lineRule="auto"/>
        <w:ind w:left="-851" w:firstLine="851"/>
        <w:jc w:val="both"/>
        <w:rPr>
          <w:sz w:val="28"/>
          <w:szCs w:val="28"/>
        </w:rPr>
      </w:pPr>
      <w:r w:rsidRPr="00654CF1">
        <w:rPr>
          <w:sz w:val="28"/>
          <w:szCs w:val="28"/>
        </w:rPr>
        <w:lastRenderedPageBreak/>
        <w:t>Следват инвестициите в културна инфраструктура с 65 сключени договор</w:t>
      </w:r>
      <w:r w:rsidR="00AA793D">
        <w:rPr>
          <w:sz w:val="28"/>
          <w:szCs w:val="28"/>
        </w:rPr>
        <w:t>и</w:t>
      </w:r>
      <w:r w:rsidRPr="00654CF1">
        <w:rPr>
          <w:sz w:val="28"/>
          <w:szCs w:val="28"/>
        </w:rPr>
        <w:t xml:space="preserve"> на обща стойност 20 762</w:t>
      </w:r>
      <w:r w:rsidR="00AA793D">
        <w:rPr>
          <w:sz w:val="28"/>
          <w:szCs w:val="28"/>
        </w:rPr>
        <w:t> </w:t>
      </w:r>
      <w:r w:rsidRPr="00654CF1">
        <w:rPr>
          <w:sz w:val="28"/>
          <w:szCs w:val="28"/>
        </w:rPr>
        <w:t>966</w:t>
      </w:r>
      <w:r w:rsidR="00AA793D">
        <w:rPr>
          <w:sz w:val="28"/>
          <w:szCs w:val="28"/>
        </w:rPr>
        <w:t xml:space="preserve"> лева</w:t>
      </w:r>
      <w:r w:rsidRPr="00654CF1">
        <w:rPr>
          <w:sz w:val="28"/>
          <w:szCs w:val="28"/>
        </w:rPr>
        <w:t>.Специалният прием за община Хитрино с 13 броя договор</w:t>
      </w:r>
      <w:r w:rsidR="00AA793D">
        <w:rPr>
          <w:sz w:val="28"/>
          <w:szCs w:val="28"/>
        </w:rPr>
        <w:t>и</w:t>
      </w:r>
      <w:r w:rsidRPr="00654CF1">
        <w:rPr>
          <w:sz w:val="28"/>
          <w:szCs w:val="28"/>
        </w:rPr>
        <w:t xml:space="preserve"> с 17 056 737 лева.Соц</w:t>
      </w:r>
      <w:r w:rsidR="00654CF1">
        <w:rPr>
          <w:sz w:val="28"/>
          <w:szCs w:val="28"/>
        </w:rPr>
        <w:t>иалните дейности 7 броя договори</w:t>
      </w:r>
      <w:r w:rsidRPr="00654CF1">
        <w:rPr>
          <w:sz w:val="28"/>
          <w:szCs w:val="28"/>
        </w:rPr>
        <w:t xml:space="preserve"> за 19 029</w:t>
      </w:r>
      <w:r w:rsidR="00654CF1">
        <w:rPr>
          <w:sz w:val="28"/>
          <w:szCs w:val="28"/>
        </w:rPr>
        <w:t> </w:t>
      </w:r>
      <w:r w:rsidRPr="00654CF1">
        <w:rPr>
          <w:sz w:val="28"/>
          <w:szCs w:val="28"/>
        </w:rPr>
        <w:t>942</w:t>
      </w:r>
      <w:r w:rsidR="00654CF1">
        <w:rPr>
          <w:sz w:val="28"/>
          <w:szCs w:val="28"/>
        </w:rPr>
        <w:t xml:space="preserve"> лева.</w:t>
      </w:r>
    </w:p>
    <w:p w:rsidR="00CE021C" w:rsidRPr="00654CF1" w:rsidRDefault="00654CF1" w:rsidP="00BC4BB6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Спортни площадки </w:t>
      </w:r>
      <w:r w:rsidR="00CE021C" w:rsidRPr="00654CF1">
        <w:rPr>
          <w:sz w:val="28"/>
          <w:szCs w:val="28"/>
        </w:rPr>
        <w:t xml:space="preserve">100 </w:t>
      </w:r>
      <w:r>
        <w:rPr>
          <w:sz w:val="28"/>
          <w:szCs w:val="28"/>
        </w:rPr>
        <w:t xml:space="preserve">броя договори на обща стойност </w:t>
      </w:r>
      <w:r w:rsidR="00CE021C" w:rsidRPr="00654CF1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="00CE021C" w:rsidRPr="00654CF1">
        <w:rPr>
          <w:sz w:val="28"/>
          <w:szCs w:val="28"/>
        </w:rPr>
        <w:t>328</w:t>
      </w:r>
      <w:r>
        <w:rPr>
          <w:sz w:val="28"/>
          <w:szCs w:val="28"/>
        </w:rPr>
        <w:t> </w:t>
      </w:r>
      <w:r w:rsidR="00CE021C" w:rsidRPr="00654CF1">
        <w:rPr>
          <w:sz w:val="28"/>
          <w:szCs w:val="28"/>
        </w:rPr>
        <w:t>625</w:t>
      </w:r>
      <w:r>
        <w:rPr>
          <w:sz w:val="28"/>
          <w:szCs w:val="28"/>
        </w:rPr>
        <w:t xml:space="preserve"> </w:t>
      </w:r>
      <w:r w:rsidR="00AA793D">
        <w:rPr>
          <w:sz w:val="28"/>
          <w:szCs w:val="28"/>
        </w:rPr>
        <w:t>лева.</w:t>
      </w:r>
      <w:r>
        <w:rPr>
          <w:sz w:val="28"/>
          <w:szCs w:val="28"/>
        </w:rPr>
        <w:t xml:space="preserve"> </w:t>
      </w:r>
    </w:p>
    <w:p w:rsidR="00CE021C" w:rsidRPr="00654CF1" w:rsidRDefault="00654CF1" w:rsidP="000849A5">
      <w:pPr>
        <w:spacing w:line="360" w:lineRule="auto"/>
        <w:ind w:left="-851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Физкултурните салони и училища с</w:t>
      </w:r>
      <w:r w:rsidRPr="00654CF1">
        <w:rPr>
          <w:sz w:val="28"/>
          <w:szCs w:val="28"/>
        </w:rPr>
        <w:t xml:space="preserve"> </w:t>
      </w:r>
      <w:r w:rsidR="00CE021C" w:rsidRPr="00654CF1">
        <w:rPr>
          <w:sz w:val="28"/>
          <w:szCs w:val="28"/>
        </w:rPr>
        <w:t xml:space="preserve">11 </w:t>
      </w:r>
      <w:r>
        <w:rPr>
          <w:sz w:val="28"/>
          <w:szCs w:val="28"/>
        </w:rPr>
        <w:t xml:space="preserve"> броя договори </w:t>
      </w:r>
      <w:r w:rsidR="00CE021C" w:rsidRPr="00654CF1">
        <w:rPr>
          <w:sz w:val="28"/>
          <w:szCs w:val="28"/>
        </w:rPr>
        <w:t>5 173</w:t>
      </w:r>
      <w:r w:rsidR="00AA793D">
        <w:rPr>
          <w:sz w:val="28"/>
          <w:szCs w:val="28"/>
        </w:rPr>
        <w:t> </w:t>
      </w:r>
      <w:r w:rsidR="00CE021C" w:rsidRPr="00654CF1">
        <w:rPr>
          <w:sz w:val="28"/>
          <w:szCs w:val="28"/>
        </w:rPr>
        <w:t>982</w:t>
      </w:r>
      <w:r w:rsidR="00AA793D">
        <w:rPr>
          <w:sz w:val="28"/>
          <w:szCs w:val="28"/>
        </w:rPr>
        <w:t xml:space="preserve"> лева.</w:t>
      </w:r>
    </w:p>
    <w:p w:rsidR="00CE021C" w:rsidRPr="00654CF1" w:rsidRDefault="00654CF1" w:rsidP="000849A5">
      <w:pPr>
        <w:spacing w:line="360" w:lineRule="auto"/>
        <w:ind w:left="-85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Площи с обществено значение с </w:t>
      </w:r>
      <w:r w:rsidR="00CE021C" w:rsidRPr="00654CF1">
        <w:rPr>
          <w:sz w:val="28"/>
          <w:szCs w:val="28"/>
        </w:rPr>
        <w:t xml:space="preserve">29 </w:t>
      </w:r>
      <w:r>
        <w:rPr>
          <w:sz w:val="28"/>
          <w:szCs w:val="28"/>
        </w:rPr>
        <w:t xml:space="preserve">броя договори </w:t>
      </w:r>
      <w:r w:rsidR="00CE021C" w:rsidRPr="00654CF1">
        <w:rPr>
          <w:sz w:val="28"/>
          <w:szCs w:val="28"/>
        </w:rPr>
        <w:t>19</w:t>
      </w:r>
      <w:r>
        <w:rPr>
          <w:sz w:val="28"/>
          <w:szCs w:val="28"/>
        </w:rPr>
        <w:t> </w:t>
      </w:r>
      <w:r w:rsidR="00CE021C" w:rsidRPr="00654CF1">
        <w:rPr>
          <w:sz w:val="28"/>
          <w:szCs w:val="28"/>
        </w:rPr>
        <w:t>757</w:t>
      </w:r>
      <w:r>
        <w:rPr>
          <w:sz w:val="28"/>
          <w:szCs w:val="28"/>
        </w:rPr>
        <w:t xml:space="preserve"> </w:t>
      </w:r>
      <w:r w:rsidR="00CE021C" w:rsidRPr="00654CF1">
        <w:rPr>
          <w:sz w:val="28"/>
          <w:szCs w:val="28"/>
        </w:rPr>
        <w:t>073</w:t>
      </w:r>
      <w:r w:rsidR="00AA793D" w:rsidRPr="00AA793D">
        <w:rPr>
          <w:sz w:val="28"/>
          <w:szCs w:val="28"/>
        </w:rPr>
        <w:t xml:space="preserve"> </w:t>
      </w:r>
      <w:r w:rsidR="00AA793D">
        <w:rPr>
          <w:sz w:val="28"/>
          <w:szCs w:val="28"/>
        </w:rPr>
        <w:t>лева.</w:t>
      </w:r>
    </w:p>
    <w:p w:rsidR="00CE021C" w:rsidRDefault="00654CF1" w:rsidP="000849A5">
      <w:pPr>
        <w:spacing w:line="360" w:lineRule="auto"/>
        <w:ind w:left="-85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Общият брой сключени договори са </w:t>
      </w:r>
      <w:r w:rsidR="00CE021C" w:rsidRPr="00654CF1">
        <w:rPr>
          <w:sz w:val="28"/>
          <w:szCs w:val="28"/>
        </w:rPr>
        <w:t>606</w:t>
      </w:r>
      <w:r>
        <w:rPr>
          <w:sz w:val="28"/>
          <w:szCs w:val="28"/>
        </w:rPr>
        <w:t>. Само по една процедура остават за сключване 42 договора за енергийната ефективност. Съгласно анализа на прилагането на мярката към края на май по тази мярка 7.2 ще разполагаме вероятно с остатъчен бюджет малко над 12 млн. евро. Ще бъде направен анализ за това къде да бъде прехвърлен този бюджет, в коя от процедурите, така че да бъдат удовлетворени възможно най-много бенефициенти и най-много граждани да могат да се възползват от тези интервенции.</w:t>
      </w:r>
    </w:p>
    <w:p w:rsidR="004151EF" w:rsidRDefault="004151EF" w:rsidP="000849A5">
      <w:pPr>
        <w:spacing w:line="360" w:lineRule="auto"/>
        <w:ind w:left="-851" w:firstLine="851"/>
        <w:jc w:val="both"/>
        <w:rPr>
          <w:sz w:val="28"/>
          <w:szCs w:val="28"/>
        </w:rPr>
      </w:pPr>
    </w:p>
    <w:p w:rsidR="00654CF1" w:rsidRDefault="00654CF1" w:rsidP="00654CF1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 w:rsidRPr="00893D77">
        <w:rPr>
          <w:b/>
          <w:sz w:val="28"/>
          <w:szCs w:val="28"/>
        </w:rPr>
        <w:t>БЛАГОДАРЯ ЗА ВНИМАНИЕТО!</w:t>
      </w:r>
    </w:p>
    <w:p w:rsidR="00654CF1" w:rsidRPr="00654CF1" w:rsidRDefault="00654CF1" w:rsidP="000849A5">
      <w:pPr>
        <w:spacing w:line="360" w:lineRule="auto"/>
        <w:ind w:left="-851" w:firstLine="851"/>
        <w:jc w:val="both"/>
        <w:rPr>
          <w:sz w:val="28"/>
          <w:szCs w:val="28"/>
        </w:rPr>
      </w:pPr>
    </w:p>
    <w:p w:rsidR="00CE021C" w:rsidRPr="00654CF1" w:rsidRDefault="00CE021C" w:rsidP="000849A5">
      <w:pPr>
        <w:spacing w:line="360" w:lineRule="auto"/>
        <w:ind w:left="-851" w:firstLine="851"/>
        <w:jc w:val="both"/>
        <w:rPr>
          <w:sz w:val="28"/>
          <w:szCs w:val="28"/>
        </w:rPr>
      </w:pPr>
    </w:p>
    <w:sectPr w:rsidR="00CE021C" w:rsidRPr="00654CF1" w:rsidSect="00DD72BC">
      <w:pgSz w:w="11907" w:h="16839" w:code="9"/>
      <w:pgMar w:top="993" w:right="851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7B5F"/>
    <w:multiLevelType w:val="hybridMultilevel"/>
    <w:tmpl w:val="906033B4"/>
    <w:lvl w:ilvl="0" w:tplc="0409000B">
      <w:start w:val="1"/>
      <w:numFmt w:val="bullet"/>
      <w:lvlText w:val=""/>
      <w:lvlJc w:val="left"/>
      <w:pPr>
        <w:ind w:left="57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>
    <w:nsid w:val="0A1E632C"/>
    <w:multiLevelType w:val="hybridMultilevel"/>
    <w:tmpl w:val="911C8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64E6A"/>
    <w:multiLevelType w:val="hybridMultilevel"/>
    <w:tmpl w:val="DFA081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87FC9"/>
    <w:multiLevelType w:val="hybridMultilevel"/>
    <w:tmpl w:val="4F6EBBA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573615"/>
    <w:multiLevelType w:val="hybridMultilevel"/>
    <w:tmpl w:val="E014F3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A7819"/>
    <w:multiLevelType w:val="hybridMultilevel"/>
    <w:tmpl w:val="D6E246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C32BB"/>
    <w:multiLevelType w:val="hybridMultilevel"/>
    <w:tmpl w:val="EF1A6D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36746B"/>
    <w:multiLevelType w:val="hybridMultilevel"/>
    <w:tmpl w:val="A08802CC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C1E2907"/>
    <w:multiLevelType w:val="hybridMultilevel"/>
    <w:tmpl w:val="62805C76"/>
    <w:lvl w:ilvl="0" w:tplc="BC6AC70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E49E9"/>
    <w:multiLevelType w:val="hybridMultilevel"/>
    <w:tmpl w:val="642A16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115ED8"/>
    <w:multiLevelType w:val="hybridMultilevel"/>
    <w:tmpl w:val="4A10C46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8"/>
  </w:num>
  <w:num w:numId="5">
    <w:abstractNumId w:val="2"/>
  </w:num>
  <w:num w:numId="6">
    <w:abstractNumId w:val="7"/>
  </w:num>
  <w:num w:numId="7">
    <w:abstractNumId w:val="5"/>
  </w:num>
  <w:num w:numId="8">
    <w:abstractNumId w:val="6"/>
  </w:num>
  <w:num w:numId="9">
    <w:abstractNumId w:val="9"/>
  </w:num>
  <w:num w:numId="10">
    <w:abstractNumId w:val="0"/>
  </w:num>
  <w:num w:numId="11">
    <w:abstractNumId w:val="12"/>
  </w:num>
  <w:num w:numId="12">
    <w:abstractNumId w:val="1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14953"/>
    <w:rsid w:val="00022F85"/>
    <w:rsid w:val="00046A22"/>
    <w:rsid w:val="000659F1"/>
    <w:rsid w:val="00074A3F"/>
    <w:rsid w:val="0008312A"/>
    <w:rsid w:val="000849A5"/>
    <w:rsid w:val="0009205F"/>
    <w:rsid w:val="0009360F"/>
    <w:rsid w:val="000A5E03"/>
    <w:rsid w:val="000D6231"/>
    <w:rsid w:val="000D75D1"/>
    <w:rsid w:val="00102251"/>
    <w:rsid w:val="0012572A"/>
    <w:rsid w:val="00132B31"/>
    <w:rsid w:val="001A7BC4"/>
    <w:rsid w:val="001D0C13"/>
    <w:rsid w:val="00217923"/>
    <w:rsid w:val="00234B9C"/>
    <w:rsid w:val="0024442C"/>
    <w:rsid w:val="00245BA1"/>
    <w:rsid w:val="002738B8"/>
    <w:rsid w:val="00285B42"/>
    <w:rsid w:val="002A6CAD"/>
    <w:rsid w:val="002B0FBC"/>
    <w:rsid w:val="002B659A"/>
    <w:rsid w:val="002F0592"/>
    <w:rsid w:val="002F33A8"/>
    <w:rsid w:val="00385E2F"/>
    <w:rsid w:val="003B70C9"/>
    <w:rsid w:val="003C48F9"/>
    <w:rsid w:val="003E50A4"/>
    <w:rsid w:val="004151EF"/>
    <w:rsid w:val="004327D3"/>
    <w:rsid w:val="00443240"/>
    <w:rsid w:val="0046453C"/>
    <w:rsid w:val="004801FD"/>
    <w:rsid w:val="00485982"/>
    <w:rsid w:val="004A1047"/>
    <w:rsid w:val="004A3FDE"/>
    <w:rsid w:val="004B07F5"/>
    <w:rsid w:val="004B0E77"/>
    <w:rsid w:val="004B47B7"/>
    <w:rsid w:val="004B59CB"/>
    <w:rsid w:val="004D71DB"/>
    <w:rsid w:val="004E4EBD"/>
    <w:rsid w:val="005242EE"/>
    <w:rsid w:val="00557C50"/>
    <w:rsid w:val="00582831"/>
    <w:rsid w:val="005E3D5E"/>
    <w:rsid w:val="006023A2"/>
    <w:rsid w:val="00654CF1"/>
    <w:rsid w:val="006B368A"/>
    <w:rsid w:val="006C233A"/>
    <w:rsid w:val="006E11BB"/>
    <w:rsid w:val="006F08B0"/>
    <w:rsid w:val="006F7BC0"/>
    <w:rsid w:val="007368F3"/>
    <w:rsid w:val="00787EFB"/>
    <w:rsid w:val="007B3CDA"/>
    <w:rsid w:val="007C7C8A"/>
    <w:rsid w:val="007E169B"/>
    <w:rsid w:val="007F3C0F"/>
    <w:rsid w:val="00814A92"/>
    <w:rsid w:val="00840165"/>
    <w:rsid w:val="00841156"/>
    <w:rsid w:val="0085133E"/>
    <w:rsid w:val="008648CB"/>
    <w:rsid w:val="00871E54"/>
    <w:rsid w:val="00893D77"/>
    <w:rsid w:val="008E00C2"/>
    <w:rsid w:val="008F6395"/>
    <w:rsid w:val="00905631"/>
    <w:rsid w:val="0094155A"/>
    <w:rsid w:val="00946443"/>
    <w:rsid w:val="00955519"/>
    <w:rsid w:val="0096064D"/>
    <w:rsid w:val="00965328"/>
    <w:rsid w:val="00965A8D"/>
    <w:rsid w:val="009763A4"/>
    <w:rsid w:val="009C1E68"/>
    <w:rsid w:val="009C5C21"/>
    <w:rsid w:val="009E3CC9"/>
    <w:rsid w:val="00A24B4A"/>
    <w:rsid w:val="00A24F2C"/>
    <w:rsid w:val="00A73126"/>
    <w:rsid w:val="00AA793D"/>
    <w:rsid w:val="00AB0ACA"/>
    <w:rsid w:val="00AE16FD"/>
    <w:rsid w:val="00AE1E86"/>
    <w:rsid w:val="00B24B10"/>
    <w:rsid w:val="00B94F92"/>
    <w:rsid w:val="00BA3858"/>
    <w:rsid w:val="00BA45C0"/>
    <w:rsid w:val="00BC2169"/>
    <w:rsid w:val="00BC4BB6"/>
    <w:rsid w:val="00BD32CF"/>
    <w:rsid w:val="00BF2D72"/>
    <w:rsid w:val="00C453CB"/>
    <w:rsid w:val="00C647E3"/>
    <w:rsid w:val="00C83278"/>
    <w:rsid w:val="00C862A0"/>
    <w:rsid w:val="00CE021C"/>
    <w:rsid w:val="00CF3BF6"/>
    <w:rsid w:val="00CF49E3"/>
    <w:rsid w:val="00D0045B"/>
    <w:rsid w:val="00D12923"/>
    <w:rsid w:val="00D151C2"/>
    <w:rsid w:val="00D435DE"/>
    <w:rsid w:val="00D474CD"/>
    <w:rsid w:val="00D90AED"/>
    <w:rsid w:val="00DA2087"/>
    <w:rsid w:val="00DD72BC"/>
    <w:rsid w:val="00DF42B6"/>
    <w:rsid w:val="00DF7D8F"/>
    <w:rsid w:val="00E04CFC"/>
    <w:rsid w:val="00E103D0"/>
    <w:rsid w:val="00E33D56"/>
    <w:rsid w:val="00E4434D"/>
    <w:rsid w:val="00E5060D"/>
    <w:rsid w:val="00E71039"/>
    <w:rsid w:val="00E9347C"/>
    <w:rsid w:val="00EC27B2"/>
    <w:rsid w:val="00F3175F"/>
    <w:rsid w:val="00F46C30"/>
    <w:rsid w:val="00F638CD"/>
    <w:rsid w:val="00F84E3A"/>
    <w:rsid w:val="00FC22ED"/>
    <w:rsid w:val="00FC5EF6"/>
    <w:rsid w:val="00FC60A8"/>
    <w:rsid w:val="00FC6BE0"/>
    <w:rsid w:val="00FE2B08"/>
    <w:rsid w:val="00FF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paragraph" w:customStyle="1" w:styleId="CharCharChar1CharCharCharCharCharCharCharCharCharCharCharCharCharCharCharCharCharCharCharCharCharChar">
    <w:name w:val="Char Char Char1 Char Char Char Char Char Char Char Char Char Char Char Char Char Char Char Char Char Char Char Char Char Char"/>
    <w:basedOn w:val="Normal"/>
    <w:rsid w:val="007B3CDA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paragraph" w:customStyle="1" w:styleId="CharCharChar1CharCharCharCharCharCharCharCharCharCharCharCharCharCharCharCharCharCharCharCharCharChar">
    <w:name w:val="Char Char Char1 Char Char Char Char Char Char Char Char Char Char Char Char Char Char Char Char Char Char Char Char Char Char"/>
    <w:basedOn w:val="Normal"/>
    <w:rsid w:val="007B3CDA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4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249B0-58F9-4302-ADA9-099B0BA08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Cvetelina Stamboliyska</cp:lastModifiedBy>
  <cp:revision>2</cp:revision>
  <cp:lastPrinted>2019-02-07T15:46:00Z</cp:lastPrinted>
  <dcterms:created xsi:type="dcterms:W3CDTF">2019-05-31T08:46:00Z</dcterms:created>
  <dcterms:modified xsi:type="dcterms:W3CDTF">2019-05-31T08:46:00Z</dcterms:modified>
</cp:coreProperties>
</file>