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DA" w:rsidRDefault="000B0FDA" w:rsidP="000B0FDA">
      <w:pPr>
        <w:keepNext/>
        <w:spacing w:before="180" w:after="180" w:line="432" w:lineRule="atLeast"/>
        <w:outlineLvl w:val="0"/>
        <w:rPr>
          <w:rFonts w:ascii="&amp;quot" w:eastAsia="Times New Roman" w:hAnsi="&amp;quot" w:cs="Times New Roman"/>
          <w:b/>
          <w:bCs/>
          <w:caps/>
          <w:color w:val="707070"/>
          <w:sz w:val="36"/>
          <w:szCs w:val="36"/>
        </w:rPr>
      </w:pPr>
    </w:p>
    <w:p w:rsidR="000B0FDA" w:rsidRDefault="000B0FDA" w:rsidP="000B0FDA">
      <w:pPr>
        <w:keepNext/>
        <w:spacing w:before="180" w:after="180" w:line="432" w:lineRule="atLeast"/>
        <w:outlineLvl w:val="0"/>
        <w:rPr>
          <w:rFonts w:ascii="&amp;quot" w:eastAsia="Times New Roman" w:hAnsi="&amp;quot" w:cs="Times New Roman"/>
          <w:b/>
          <w:bCs/>
          <w:caps/>
          <w:color w:val="707070"/>
          <w:sz w:val="36"/>
          <w:szCs w:val="36"/>
        </w:rPr>
      </w:pPr>
      <w:r w:rsidRPr="000B0FDA">
        <w:rPr>
          <w:rFonts w:ascii="&amp;quot" w:eastAsia="Times New Roman" w:hAnsi="&amp;quot" w:cs="Times New Roman"/>
          <w:b/>
          <w:bCs/>
          <w:caps/>
          <w:color w:val="707070"/>
          <w:sz w:val="36"/>
          <w:szCs w:val="36"/>
          <w:lang w:val="bg-BG"/>
        </w:rPr>
        <w:t>У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дължаване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над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максимално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допустимата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продължителност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на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срока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за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изпълнение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на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административните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договори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за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предоставяне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на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безвъзмездна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финансова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помощ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с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до</w:t>
      </w:r>
      <w:r w:rsidRPr="000B0FDA">
        <w:rPr>
          <w:rFonts w:ascii="&amp;quot" w:eastAsia="Times New Roman" w:hAnsi="&amp;quot" w:cs="Times New Roman"/>
          <w:b/>
          <w:bCs/>
          <w:color w:val="707070"/>
          <w:sz w:val="36"/>
          <w:szCs w:val="36"/>
          <w:lang w:val="bg-BG"/>
        </w:rPr>
        <w:t xml:space="preserve"> 6 </w:t>
      </w:r>
      <w:r w:rsidRPr="000B0FDA">
        <w:rPr>
          <w:rFonts w:ascii="&amp;quot" w:eastAsia="Times New Roman" w:hAnsi="&amp;quot" w:cs="Times New Roman" w:hint="eastAsia"/>
          <w:b/>
          <w:bCs/>
          <w:color w:val="707070"/>
          <w:sz w:val="36"/>
          <w:szCs w:val="36"/>
          <w:lang w:val="bg-BG"/>
        </w:rPr>
        <w:t>месеца</w:t>
      </w:r>
      <w:r w:rsidRPr="000B0FDA">
        <w:rPr>
          <w:rFonts w:ascii="&amp;quot" w:eastAsia="Times New Roman" w:hAnsi="&amp;quot" w:cs="Times New Roman"/>
          <w:b/>
          <w:bCs/>
          <w:caps/>
          <w:color w:val="707070"/>
          <w:sz w:val="36"/>
          <w:szCs w:val="36"/>
          <w:lang w:val="bg-BG"/>
        </w:rPr>
        <w:t xml:space="preserve"> </w:t>
      </w:r>
    </w:p>
    <w:p w:rsidR="000B0FDA" w:rsidRPr="000B0FDA" w:rsidRDefault="000B0FDA" w:rsidP="000B0FDA">
      <w:pPr>
        <w:keepNext/>
        <w:spacing w:before="180" w:after="180" w:line="432" w:lineRule="atLeast"/>
        <w:outlineLvl w:val="0"/>
        <w:rPr>
          <w:rFonts w:ascii="&amp;quot" w:eastAsia="Times New Roman" w:hAnsi="&amp;quot" w:cs="Times New Roman"/>
          <w:b/>
          <w:bCs/>
          <w:caps/>
          <w:color w:val="707070"/>
          <w:sz w:val="36"/>
          <w:szCs w:val="36"/>
        </w:rPr>
      </w:pPr>
      <w:bookmarkStart w:id="0" w:name="_GoBack"/>
      <w:bookmarkEnd w:id="0"/>
    </w:p>
    <w:p w:rsidR="000B0FDA" w:rsidRPr="000B0FDA" w:rsidRDefault="000B0FDA" w:rsidP="000B0FDA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</w:pPr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BG14MFOP001-1.008 „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Рибарски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пристанища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кейове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за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разтоварване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рибни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борси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покрити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лодкостоянки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“</w:t>
      </w:r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br/>
        <w:t>BG14MFOP001-1.009 „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Рибарски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пристанища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кейове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за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разтоварване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рибни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борси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покрити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лодкостоянки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“</w:t>
      </w:r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br/>
        <w:t>BG14MFOP001-2.006 „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Продуктивни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инвестиции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в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аквакултурите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“</w:t>
      </w:r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br/>
        <w:t>BG14MFOP001-2.003 „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Насърчаване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на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нови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производители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на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развиващи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устойчиви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“</w:t>
      </w:r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br/>
        <w:t>BG14MFOP001-5-005 „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Преработване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на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продуктите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от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риболов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8"/>
          <w:szCs w:val="28"/>
        </w:rPr>
        <w:t>”</w:t>
      </w:r>
    </w:p>
    <w:p w:rsidR="000B0FDA" w:rsidRPr="000B0FDA" w:rsidRDefault="000B0FDA" w:rsidP="000B0FDA">
      <w:pPr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:rsidR="000B0FDA" w:rsidRPr="000B0FDA" w:rsidRDefault="000B0FDA" w:rsidP="000B0FDA">
      <w:pPr>
        <w:spacing w:after="240" w:line="240" w:lineRule="auto"/>
        <w:jc w:val="both"/>
        <w:rPr>
          <w:rFonts w:ascii="&amp;quot" w:eastAsia="Times New Roman" w:hAnsi="&amp;quot" w:cs="Times New Roman"/>
          <w:color w:val="333333"/>
          <w:sz w:val="26"/>
          <w:szCs w:val="26"/>
        </w:rPr>
      </w:pPr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УО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ПМДР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уведомява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  <w:lang w:val="bg-BG"/>
        </w:rPr>
        <w:t xml:space="preserve"> всички бенефициенти по Програмата</w:t>
      </w:r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че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с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оглед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изпълнението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приоритетните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цели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програмата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ще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приложи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подход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удължаване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над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максимално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допустимата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продължителност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срока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изпълнение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договорите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включващи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инвестиции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в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строително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-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монтажни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работи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долупосочените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заложена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в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Условията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кандидатстване</w:t>
      </w:r>
      <w:proofErr w:type="spellEnd"/>
      <w:r w:rsidRPr="000B0FDA">
        <w:rPr>
          <w:rFonts w:ascii="&amp;quot" w:eastAsia="Times New Roman" w:hAnsi="&amp;quot" w:cs="Times New Roman"/>
          <w:b/>
          <w:bCs/>
          <w:color w:val="333333"/>
          <w:sz w:val="26"/>
          <w:szCs w:val="26"/>
        </w:rPr>
        <w:t xml:space="preserve">: </w:t>
      </w:r>
    </w:p>
    <w:p w:rsidR="000B0FDA" w:rsidRPr="000B0FDA" w:rsidRDefault="000B0FDA" w:rsidP="000B0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чрез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подбор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проекти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BG14MFOP001-1.008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Рибарски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пристанища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кейове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разтоварване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борси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покрити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лодкостоянки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“,</w:t>
      </w:r>
      <w:r w:rsidRPr="000B0FDA">
        <w:rPr>
          <w:rFonts w:ascii="&amp;quot" w:eastAsia="Times New Roman" w:hAnsi="&amp;quot" w:cs="Times New Roman"/>
          <w:color w:val="333333"/>
          <w:sz w:val="26"/>
          <w:szCs w:val="26"/>
          <w:lang w:val="bg-BG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мярка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1.8.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Рибарски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пристанища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кейове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разтоварване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борси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покрити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лодкостоянки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“;</w:t>
      </w:r>
    </w:p>
    <w:p w:rsidR="000B0FDA" w:rsidRPr="000B0FDA" w:rsidRDefault="000B0FDA" w:rsidP="000B0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чрез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подбор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проекти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BG14MFOP001-1.009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Рибарски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пристанища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кейове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разтоварване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борси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покрити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лодкостоянки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“,</w:t>
      </w:r>
      <w:r w:rsidRPr="000B0FDA">
        <w:rPr>
          <w:rFonts w:ascii="&amp;quot" w:eastAsia="Times New Roman" w:hAnsi="&amp;quot" w:cs="Times New Roman"/>
          <w:color w:val="333333"/>
          <w:sz w:val="26"/>
          <w:szCs w:val="26"/>
          <w:lang w:val="bg-BG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мярка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1.8.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Рибарски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пристанища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кейове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разтоварване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борси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покрити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лодкостоянки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“;</w:t>
      </w:r>
    </w:p>
    <w:p w:rsidR="000B0FDA" w:rsidRPr="000B0FDA" w:rsidRDefault="000B0FDA" w:rsidP="000B0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 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чрез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подбор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проекти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BG14MFOP001-2.006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Продуктивни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инвестиции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в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“,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мярка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2.2.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Продуктивни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инвестиции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в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“;</w:t>
      </w:r>
    </w:p>
    <w:p w:rsidR="000B0FDA" w:rsidRPr="000B0FDA" w:rsidRDefault="000B0FDA" w:rsidP="000B0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подбор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проекти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BG14MFOP001-2.003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Насърчаване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нови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производители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развиващи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устойчиви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“,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мярка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2.3.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Насърчаване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нови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производители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развиващи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устойчиви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“;</w:t>
      </w:r>
    </w:p>
    <w:p w:rsidR="000B0FDA" w:rsidRPr="000B0FDA" w:rsidRDefault="000B0FDA" w:rsidP="000B0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подбор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проекти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BG14MFOP001-5-005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Преработване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продуктите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риболов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”,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мярка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5.4. „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Преработване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продуктите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риболов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аквакултури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“.</w:t>
      </w:r>
    </w:p>
    <w:p w:rsidR="000B0FDA" w:rsidRPr="000B0FDA" w:rsidRDefault="000B0FDA" w:rsidP="000B0FDA">
      <w:pPr>
        <w:spacing w:after="240" w:line="240" w:lineRule="auto"/>
        <w:jc w:val="both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proofErr w:type="gram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основание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чл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.</w:t>
      </w:r>
      <w:proofErr w:type="gram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gram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39,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ал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.</w:t>
      </w:r>
      <w:proofErr w:type="gram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gram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2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Закона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управление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средствата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Европейските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структурни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инвестиционни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фондове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(ЗУСЕСИФ) УО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ПМДР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ще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предприеме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действия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сключване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допълнителни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споразумения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към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АДПБФП,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въз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основа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мотивирано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искане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страна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бенефициентите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.</w:t>
      </w:r>
      <w:proofErr w:type="gramEnd"/>
    </w:p>
    <w:p w:rsidR="000B0FDA" w:rsidRPr="000B0FDA" w:rsidRDefault="000B0FDA" w:rsidP="000B0FDA">
      <w:pPr>
        <w:spacing w:after="240" w:line="240" w:lineRule="auto"/>
        <w:jc w:val="both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Удължаване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срока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договора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е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допустимо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само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в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случай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че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забавянето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в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изпълнението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проекта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е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вина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бенефициента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като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например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:</w:t>
      </w:r>
    </w:p>
    <w:p w:rsidR="000B0FDA" w:rsidRPr="000B0FDA" w:rsidRDefault="000B0FDA" w:rsidP="000B0FDA">
      <w:pPr>
        <w:spacing w:after="240" w:line="240" w:lineRule="auto"/>
        <w:jc w:val="both"/>
        <w:rPr>
          <w:rFonts w:ascii="&amp;quot" w:eastAsia="Times New Roman" w:hAnsi="&amp;quot" w:cs="Times New Roman"/>
          <w:color w:val="333333"/>
          <w:sz w:val="26"/>
          <w:szCs w:val="26"/>
        </w:rPr>
      </w:pPr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- </w:t>
      </w:r>
      <w:proofErr w:type="spellStart"/>
      <w:proofErr w:type="gram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обжалване</w:t>
      </w:r>
      <w:proofErr w:type="spellEnd"/>
      <w:proofErr w:type="gram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избор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изпълнител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;</w:t>
      </w:r>
    </w:p>
    <w:p w:rsidR="000B0FDA" w:rsidRPr="000B0FDA" w:rsidRDefault="000B0FDA" w:rsidP="000B0FDA">
      <w:pPr>
        <w:spacing w:after="240" w:line="240" w:lineRule="auto"/>
        <w:jc w:val="both"/>
        <w:rPr>
          <w:rFonts w:ascii="&amp;quot" w:eastAsia="Times New Roman" w:hAnsi="&amp;quot" w:cs="Times New Roman"/>
          <w:color w:val="333333"/>
          <w:sz w:val="26"/>
          <w:szCs w:val="26"/>
        </w:rPr>
      </w:pPr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- </w:t>
      </w:r>
      <w:proofErr w:type="spellStart"/>
      <w:proofErr w:type="gram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не</w:t>
      </w:r>
      <w:proofErr w:type="spellEnd"/>
      <w:proofErr w:type="gram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явяване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кандидати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изпълнение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поръчката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избор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с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публична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покана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;</w:t>
      </w:r>
    </w:p>
    <w:p w:rsidR="000B0FDA" w:rsidRPr="000B0FDA" w:rsidRDefault="000B0FDA" w:rsidP="000B0FDA">
      <w:pPr>
        <w:spacing w:after="240" w:line="240" w:lineRule="auto"/>
        <w:jc w:val="both"/>
        <w:rPr>
          <w:rFonts w:ascii="&amp;quot" w:eastAsia="Times New Roman" w:hAnsi="&amp;quot" w:cs="Times New Roman"/>
          <w:color w:val="333333"/>
          <w:sz w:val="26"/>
          <w:szCs w:val="26"/>
        </w:rPr>
      </w:pPr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lastRenderedPageBreak/>
        <w:t xml:space="preserve">- </w:t>
      </w:r>
      <w:proofErr w:type="spellStart"/>
      <w:proofErr w:type="gram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неиздаване</w:t>
      </w:r>
      <w:proofErr w:type="spellEnd"/>
      <w:proofErr w:type="gram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навреме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документ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други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държавни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и/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или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общински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органи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или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институции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и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други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.</w:t>
      </w:r>
    </w:p>
    <w:p w:rsidR="000B0FDA" w:rsidRPr="000B0FDA" w:rsidRDefault="000B0FDA" w:rsidP="000B0FDA">
      <w:pPr>
        <w:spacing w:after="240" w:line="240" w:lineRule="auto"/>
        <w:jc w:val="both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proofErr w:type="gram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Всички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бенефициенти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горепосочените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процедури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ще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бъдат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уведомени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за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тази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възможност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чрез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изпращане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на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>писмо</w:t>
      </w:r>
      <w:proofErr w:type="spellEnd"/>
      <w:r w:rsidRPr="000B0FD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в ИСУН 2020.</w:t>
      </w:r>
      <w:proofErr w:type="gramEnd"/>
    </w:p>
    <w:p w:rsidR="000B0FDA" w:rsidRPr="000B0FDA" w:rsidRDefault="000B0FDA" w:rsidP="000B0FDA">
      <w:pPr>
        <w:spacing w:after="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0B0FDA">
        <w:rPr>
          <w:rFonts w:ascii="Verdana" w:eastAsia="Times New Roman" w:hAnsi="Verdana" w:cs="Times New Roman"/>
          <w:sz w:val="18"/>
          <w:szCs w:val="18"/>
          <w:lang w:val="bg-BG"/>
        </w:rPr>
        <w:t xml:space="preserve">    </w:t>
      </w:r>
      <w:r w:rsidRPr="000B0FDA">
        <w:rPr>
          <w:rFonts w:ascii="Verdana" w:eastAsia="Times New Roman" w:hAnsi="Verdana" w:cs="Times New Roman"/>
          <w:sz w:val="18"/>
          <w:szCs w:val="18"/>
          <w:lang w:val="bg-BG"/>
        </w:rPr>
        <w:tab/>
      </w:r>
      <w:r w:rsidRPr="000B0FDA">
        <w:rPr>
          <w:rFonts w:ascii="Verdana" w:eastAsia="Times New Roman" w:hAnsi="Verdana" w:cs="Times New Roman"/>
          <w:sz w:val="18"/>
          <w:szCs w:val="18"/>
          <w:lang w:val="bg-BG"/>
        </w:rPr>
        <w:tab/>
      </w:r>
      <w:r w:rsidRPr="000B0FDA">
        <w:rPr>
          <w:rFonts w:ascii="Verdana" w:eastAsia="Times New Roman" w:hAnsi="Verdana" w:cs="Times New Roman"/>
          <w:sz w:val="18"/>
          <w:szCs w:val="18"/>
          <w:lang w:val="bg-BG"/>
        </w:rPr>
        <w:tab/>
      </w:r>
    </w:p>
    <w:p w:rsidR="00717A24" w:rsidRDefault="00717A24"/>
    <w:sectPr w:rsidR="00717A24" w:rsidSect="005D6EBB">
      <w:pgSz w:w="11907" w:h="16840" w:code="9"/>
      <w:pgMar w:top="540" w:right="567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07F"/>
    <w:multiLevelType w:val="multilevel"/>
    <w:tmpl w:val="4E9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A5"/>
    <w:rsid w:val="000149A5"/>
    <w:rsid w:val="000B0FDA"/>
    <w:rsid w:val="00554612"/>
    <w:rsid w:val="0071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Zahari Tabakov</dc:creator>
  <cp:keywords/>
  <dc:description/>
  <cp:lastModifiedBy>Zahari Tabakov</cp:lastModifiedBy>
  <cp:revision>3</cp:revision>
  <dcterms:created xsi:type="dcterms:W3CDTF">2019-05-15T14:13:00Z</dcterms:created>
  <dcterms:modified xsi:type="dcterms:W3CDTF">2019-05-20T12:06:00Z</dcterms:modified>
</cp:coreProperties>
</file>