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66" w:rsidRPr="001847F5" w:rsidRDefault="00FD7C66" w:rsidP="00BE3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3D1C0E" w:rsidRPr="001847F5" w:rsidRDefault="003D1C0E" w:rsidP="00BE33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E3356" w:rsidRPr="001847F5" w:rsidRDefault="00BE3356" w:rsidP="001847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847F5">
        <w:rPr>
          <w:rFonts w:ascii="Times New Roman" w:eastAsia="Times New Roman" w:hAnsi="Times New Roman"/>
          <w:sz w:val="24"/>
          <w:szCs w:val="24"/>
          <w:lang w:val="bg-BG" w:eastAsia="bg-BG"/>
        </w:rPr>
        <w:t>Изх. №……………….</w:t>
      </w:r>
    </w:p>
    <w:p w:rsidR="00BE3356" w:rsidRPr="001847F5" w:rsidRDefault="00BE3356" w:rsidP="001847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1847F5">
        <w:rPr>
          <w:rFonts w:ascii="Times New Roman" w:eastAsia="Times New Roman" w:hAnsi="Times New Roman"/>
          <w:sz w:val="24"/>
          <w:szCs w:val="24"/>
          <w:lang w:val="bg-BG" w:eastAsia="bg-BG"/>
        </w:rPr>
        <w:t>…………………201</w:t>
      </w:r>
      <w:r w:rsidR="00DD0AD6" w:rsidRPr="001847F5">
        <w:rPr>
          <w:rFonts w:ascii="Times New Roman" w:eastAsia="Times New Roman" w:hAnsi="Times New Roman"/>
          <w:sz w:val="24"/>
          <w:szCs w:val="24"/>
          <w:lang w:val="bg-BG" w:eastAsia="bg-BG"/>
        </w:rPr>
        <w:t>9</w:t>
      </w:r>
      <w:r w:rsidRPr="001847F5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г.</w:t>
      </w:r>
    </w:p>
    <w:p w:rsidR="00BE3356" w:rsidRDefault="00BE3356" w:rsidP="00BE3356">
      <w:pPr>
        <w:widowControl w:val="0"/>
        <w:tabs>
          <w:tab w:val="left" w:pos="144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/>
          <w:b/>
          <w:sz w:val="20"/>
          <w:szCs w:val="20"/>
          <w:lang w:val="bg-BG" w:eastAsia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1847F5" w:rsidRPr="001847F5" w:rsidTr="00CE1C05">
        <w:tc>
          <w:tcPr>
            <w:tcW w:w="4503" w:type="dxa"/>
            <w:shd w:val="clear" w:color="auto" w:fill="auto"/>
          </w:tcPr>
          <w:p w:rsidR="001847F5" w:rsidRPr="001847F5" w:rsidRDefault="001847F5" w:rsidP="001847F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847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ДО</w:t>
            </w:r>
          </w:p>
          <w:p w:rsidR="001847F5" w:rsidRPr="001847F5" w:rsidRDefault="001847F5" w:rsidP="001847F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847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МИНИСТЪРА НА ЗЕМЕДЕЛИЕТО, ХРАНИТЕ И ГОРИТЕ</w:t>
            </w:r>
          </w:p>
          <w:p w:rsidR="001847F5" w:rsidRPr="001847F5" w:rsidRDefault="001847F5" w:rsidP="001847F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  <w:r w:rsidRPr="001847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1847F5" w:rsidRPr="001847F5" w:rsidRDefault="001847F5" w:rsidP="001847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</w:pPr>
            <w:r w:rsidRPr="001847F5"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  <w:t>ОДОБРИЛ,</w:t>
            </w:r>
          </w:p>
          <w:p w:rsidR="001847F5" w:rsidRPr="001847F5" w:rsidRDefault="001847F5" w:rsidP="001847F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847F5"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  <w:t xml:space="preserve">МИНИСТЪР </w:t>
            </w:r>
            <w:r w:rsidRPr="001847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 xml:space="preserve">НА ЗЕМЕДЕЛИЕТО, </w:t>
            </w:r>
          </w:p>
          <w:p w:rsidR="001847F5" w:rsidRPr="001847F5" w:rsidRDefault="001847F5" w:rsidP="001847F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847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ХРАНИТЕ И ГОРИТЕ:</w:t>
            </w:r>
          </w:p>
          <w:p w:rsidR="001847F5" w:rsidRPr="001847F5" w:rsidRDefault="001847F5" w:rsidP="001847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left="2124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val="bg-BG" w:eastAsia="bg-BG"/>
              </w:rPr>
            </w:pPr>
            <w:r w:rsidRPr="001847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РУМЕН ПОРОЖАНОВ</w:t>
            </w:r>
          </w:p>
          <w:p w:rsidR="001847F5" w:rsidRPr="001847F5" w:rsidRDefault="001847F5" w:rsidP="001847F5">
            <w:pPr>
              <w:widowControl w:val="0"/>
              <w:shd w:val="clear" w:color="auto" w:fill="FFFFFF"/>
              <w:tabs>
                <w:tab w:val="left" w:leader="dot" w:pos="3802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376361" w:rsidRPr="001847F5" w:rsidRDefault="00376361" w:rsidP="00BE33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E3356" w:rsidRPr="001847F5" w:rsidRDefault="00BE3356" w:rsidP="00BE33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1847F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ДОКЛАД</w:t>
      </w:r>
    </w:p>
    <w:p w:rsidR="00BE3356" w:rsidRPr="001847F5" w:rsidRDefault="00BE3356" w:rsidP="00BE33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1847F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от</w:t>
      </w:r>
    </w:p>
    <w:p w:rsidR="00BE3356" w:rsidRPr="001847F5" w:rsidRDefault="00997498" w:rsidP="00BE335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1847F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="000D3E3D" w:rsidRPr="001847F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д</w:t>
      </w:r>
      <w:r w:rsidR="001847F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-</w:t>
      </w:r>
      <w:r w:rsidR="000D3E3D" w:rsidRPr="001847F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р </w:t>
      </w:r>
      <w:r w:rsidR="00BE3356" w:rsidRPr="001847F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</w:t>
      </w:r>
      <w:r w:rsidRPr="001847F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Лозана Василева</w:t>
      </w:r>
      <w:r w:rsidR="00BE3356" w:rsidRPr="001847F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 заместник-министър на земеделието</w:t>
      </w:r>
      <w:r w:rsidR="004A4DA5" w:rsidRPr="001847F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</w:t>
      </w:r>
      <w:r w:rsidR="00BE3356" w:rsidRPr="001847F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храните</w:t>
      </w:r>
      <w:r w:rsidR="004A4DA5" w:rsidRPr="001847F5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и горите</w:t>
      </w:r>
    </w:p>
    <w:p w:rsidR="00884ACB" w:rsidRDefault="00884ACB" w:rsidP="00884ACB">
      <w:pPr>
        <w:spacing w:line="360" w:lineRule="auto"/>
        <w:ind w:left="1134" w:hanging="1134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82DD6" w:rsidRDefault="006B2179" w:rsidP="00884ACB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bg-BG"/>
        </w:rPr>
      </w:pPr>
      <w:r w:rsidRPr="001847F5">
        <w:rPr>
          <w:rFonts w:ascii="Times New Roman" w:hAnsi="Times New Roman"/>
          <w:b/>
          <w:sz w:val="24"/>
          <w:szCs w:val="24"/>
          <w:lang w:val="bg-BG"/>
        </w:rPr>
        <w:t>Относно:</w:t>
      </w:r>
      <w:r w:rsidRPr="001847F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401EF" w:rsidRPr="001847F5">
        <w:rPr>
          <w:rFonts w:ascii="Times New Roman" w:hAnsi="Times New Roman"/>
          <w:sz w:val="24"/>
          <w:szCs w:val="24"/>
          <w:lang w:val="bg-BG"/>
        </w:rPr>
        <w:t>Наредба за изменение и допълнение на Наредба № 6 от 2015 г. за прилагане на мярка 13 „Плащания за райони с природни или други специфични ограничения“ от Програмата за развитие на селските райони за периода 2014</w:t>
      </w:r>
      <w:r w:rsidR="001847F5" w:rsidRPr="001847F5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A401EF" w:rsidRPr="001847F5">
        <w:rPr>
          <w:rFonts w:ascii="Times New Roman" w:hAnsi="Times New Roman"/>
          <w:sz w:val="24"/>
          <w:szCs w:val="24"/>
          <w:lang w:val="bg-BG"/>
        </w:rPr>
        <w:t>2020 г.</w:t>
      </w:r>
    </w:p>
    <w:p w:rsidR="006F6C13" w:rsidRPr="00884ACB" w:rsidRDefault="006F6C13" w:rsidP="00884ACB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F6C13" w:rsidRPr="001847F5" w:rsidRDefault="00BE3356" w:rsidP="001847F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847F5">
        <w:rPr>
          <w:rFonts w:ascii="Times New Roman" w:hAnsi="Times New Roman"/>
          <w:b/>
          <w:sz w:val="24"/>
          <w:szCs w:val="24"/>
          <w:lang w:val="bg-BG"/>
        </w:rPr>
        <w:t>УВАЖАЕМИ</w:t>
      </w:r>
      <w:r w:rsidR="008E6E8E" w:rsidRPr="001847F5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Pr="001847F5">
        <w:rPr>
          <w:rFonts w:ascii="Times New Roman" w:hAnsi="Times New Roman"/>
          <w:b/>
          <w:sz w:val="24"/>
          <w:szCs w:val="24"/>
          <w:lang w:val="bg-BG"/>
        </w:rPr>
        <w:t>ДИН</w:t>
      </w:r>
      <w:r w:rsidR="008E6E8E" w:rsidRPr="001847F5">
        <w:rPr>
          <w:rFonts w:ascii="Times New Roman" w:hAnsi="Times New Roman"/>
          <w:b/>
          <w:sz w:val="24"/>
          <w:szCs w:val="24"/>
          <w:lang w:val="bg-BG"/>
        </w:rPr>
        <w:t xml:space="preserve"> МИНИСТЪР,</w:t>
      </w:r>
    </w:p>
    <w:p w:rsidR="001E0465" w:rsidRPr="001847F5" w:rsidRDefault="008E6E8E" w:rsidP="001847F5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847F5">
        <w:rPr>
          <w:rFonts w:ascii="Times New Roman" w:hAnsi="Times New Roman"/>
          <w:sz w:val="24"/>
          <w:szCs w:val="24"/>
          <w:lang w:val="bg-BG"/>
        </w:rPr>
        <w:t>На основание</w:t>
      </w:r>
      <w:r w:rsidR="002255A1" w:rsidRPr="001847F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847F5">
        <w:rPr>
          <w:rFonts w:ascii="Times New Roman" w:hAnsi="Times New Roman"/>
          <w:sz w:val="24"/>
          <w:szCs w:val="24"/>
          <w:lang w:val="bg-BG"/>
        </w:rPr>
        <w:t>Закона за подпомагане на земеделските производители</w:t>
      </w:r>
      <w:r w:rsidR="00CC1184" w:rsidRPr="001847F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F14B1" w:rsidRPr="001847F5">
        <w:rPr>
          <w:rFonts w:ascii="Times New Roman" w:hAnsi="Times New Roman"/>
          <w:sz w:val="24"/>
          <w:szCs w:val="24"/>
          <w:lang w:val="bg-BG"/>
        </w:rPr>
        <w:t xml:space="preserve">(ЗПЗП) </w:t>
      </w:r>
      <w:r w:rsidRPr="001847F5">
        <w:rPr>
          <w:rFonts w:ascii="Times New Roman" w:hAnsi="Times New Roman"/>
          <w:sz w:val="24"/>
          <w:szCs w:val="24"/>
          <w:lang w:val="bg-BG"/>
        </w:rPr>
        <w:t>внасям за одобрение</w:t>
      </w:r>
      <w:r w:rsidR="001D3CE6" w:rsidRPr="001847F5">
        <w:rPr>
          <w:rFonts w:ascii="Times New Roman" w:hAnsi="Times New Roman"/>
          <w:sz w:val="24"/>
          <w:szCs w:val="24"/>
          <w:lang w:val="bg-BG"/>
        </w:rPr>
        <w:t xml:space="preserve"> проект на</w:t>
      </w:r>
      <w:r w:rsidR="002255A1" w:rsidRPr="001847F5">
        <w:rPr>
          <w:rFonts w:ascii="Times New Roman" w:hAnsi="Times New Roman"/>
          <w:color w:val="92D050"/>
          <w:sz w:val="24"/>
          <w:szCs w:val="24"/>
          <w:lang w:val="bg-BG"/>
        </w:rPr>
        <w:t xml:space="preserve"> </w:t>
      </w:r>
      <w:r w:rsidR="00F82DD6" w:rsidRPr="001847F5">
        <w:rPr>
          <w:rFonts w:ascii="Times New Roman" w:hAnsi="Times New Roman"/>
          <w:sz w:val="24"/>
          <w:szCs w:val="24"/>
          <w:lang w:val="bg-BG"/>
        </w:rPr>
        <w:t>Наредба за изменение и допълнение на Наредба № 6 от 20</w:t>
      </w:r>
      <w:r w:rsidR="00A030E4" w:rsidRPr="001847F5">
        <w:rPr>
          <w:rFonts w:ascii="Times New Roman" w:hAnsi="Times New Roman"/>
          <w:sz w:val="24"/>
          <w:szCs w:val="24"/>
          <w:lang w:val="bg-BG"/>
        </w:rPr>
        <w:t>15 г. за прилагане на мярка 13 „</w:t>
      </w:r>
      <w:r w:rsidR="00F82DD6" w:rsidRPr="001847F5">
        <w:rPr>
          <w:rFonts w:ascii="Times New Roman" w:hAnsi="Times New Roman"/>
          <w:sz w:val="24"/>
          <w:szCs w:val="24"/>
          <w:lang w:val="bg-BG"/>
        </w:rPr>
        <w:t>Плащания за райони с природни или други специфични ограничения</w:t>
      </w:r>
      <w:r w:rsidR="00A030E4" w:rsidRPr="001847F5">
        <w:rPr>
          <w:rFonts w:ascii="Times New Roman" w:hAnsi="Times New Roman"/>
          <w:sz w:val="24"/>
          <w:szCs w:val="24"/>
          <w:lang w:val="bg-BG"/>
        </w:rPr>
        <w:t>“</w:t>
      </w:r>
      <w:r w:rsidR="00F82DD6" w:rsidRPr="001847F5">
        <w:rPr>
          <w:rFonts w:ascii="Times New Roman" w:hAnsi="Times New Roman"/>
          <w:sz w:val="24"/>
          <w:szCs w:val="24"/>
          <w:lang w:val="bg-BG"/>
        </w:rPr>
        <w:t xml:space="preserve"> от Програмата за развитие на селските райони за периода 2014 - 2020 г.</w:t>
      </w:r>
      <w:r w:rsidR="00F10407" w:rsidRPr="001847F5">
        <w:rPr>
          <w:rFonts w:ascii="Times New Roman" w:hAnsi="Times New Roman"/>
          <w:sz w:val="24"/>
          <w:szCs w:val="24"/>
          <w:lang w:val="bg-BG"/>
        </w:rPr>
        <w:t>, наричана по-нататък „</w:t>
      </w:r>
      <w:r w:rsidR="00D02FE2" w:rsidRPr="001847F5">
        <w:rPr>
          <w:rFonts w:ascii="Times New Roman" w:hAnsi="Times New Roman"/>
          <w:sz w:val="24"/>
          <w:szCs w:val="24"/>
          <w:lang w:val="bg-BG"/>
        </w:rPr>
        <w:t xml:space="preserve">НИД на </w:t>
      </w:r>
      <w:r w:rsidR="00F82DD6" w:rsidRPr="001847F5">
        <w:rPr>
          <w:rFonts w:ascii="Times New Roman" w:hAnsi="Times New Roman"/>
          <w:sz w:val="24"/>
          <w:szCs w:val="24"/>
          <w:lang w:val="bg-BG"/>
        </w:rPr>
        <w:t>Наредба № 6 от 2015</w:t>
      </w:r>
      <w:r w:rsidR="00F10407" w:rsidRPr="001847F5">
        <w:rPr>
          <w:rFonts w:ascii="Times New Roman" w:hAnsi="Times New Roman"/>
          <w:sz w:val="24"/>
          <w:szCs w:val="24"/>
          <w:lang w:val="bg-BG"/>
        </w:rPr>
        <w:t xml:space="preserve"> г.“.</w:t>
      </w:r>
      <w:r w:rsidRPr="001847F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7C25" w:rsidRPr="001847F5">
        <w:rPr>
          <w:rFonts w:ascii="Times New Roman" w:hAnsi="Times New Roman"/>
          <w:sz w:val="24"/>
          <w:szCs w:val="24"/>
          <w:lang w:val="bg-BG"/>
        </w:rPr>
        <w:t xml:space="preserve"> С проекта на наредба в преходните и заключителни разпоредби се променя и Наредба № 5 от 2015 г. за прилагане на мярка 12 „Плащания по Натура 2000 и Рамковата директива за водите“ </w:t>
      </w:r>
      <w:r w:rsidR="007A7C25" w:rsidRPr="001847F5">
        <w:rPr>
          <w:rFonts w:ascii="Times New Roman" w:hAnsi="Times New Roman"/>
          <w:sz w:val="24"/>
          <w:szCs w:val="24"/>
          <w:lang w:val="bg-BG"/>
        </w:rPr>
        <w:lastRenderedPageBreak/>
        <w:t>от Програмата за развитие на селските райони за периода 2014 - 2020 г. (</w:t>
      </w:r>
      <w:r w:rsidR="001E0465" w:rsidRPr="001847F5">
        <w:rPr>
          <w:rFonts w:ascii="Times New Roman" w:hAnsi="Times New Roman"/>
          <w:sz w:val="24"/>
          <w:szCs w:val="24"/>
          <w:lang w:val="bg-BG"/>
        </w:rPr>
        <w:t>ДВ, бр. 16 от 2015 г.</w:t>
      </w:r>
      <w:r w:rsidR="007A7C25" w:rsidRPr="001847F5">
        <w:rPr>
          <w:rFonts w:ascii="Times New Roman" w:hAnsi="Times New Roman"/>
          <w:sz w:val="24"/>
          <w:szCs w:val="24"/>
          <w:lang w:val="bg-BG"/>
        </w:rPr>
        <w:t>)</w:t>
      </w:r>
      <w:r w:rsidR="001E0465" w:rsidRPr="001847F5">
        <w:rPr>
          <w:rFonts w:ascii="Times New Roman" w:hAnsi="Times New Roman"/>
          <w:sz w:val="24"/>
          <w:szCs w:val="24"/>
          <w:lang w:val="bg-BG"/>
        </w:rPr>
        <w:t>, наричан по-нататък „Наредба № 5 от 2015 г.“. И двата нормативни акта</w:t>
      </w:r>
      <w:r w:rsidR="00A401EF" w:rsidRPr="001847F5">
        <w:rPr>
          <w:rFonts w:ascii="Times New Roman" w:hAnsi="Times New Roman"/>
          <w:sz w:val="24"/>
          <w:szCs w:val="24"/>
          <w:lang w:val="bg-BG"/>
        </w:rPr>
        <w:t xml:space="preserve">, в които се </w:t>
      </w:r>
      <w:r w:rsidR="002371DF" w:rsidRPr="001847F5">
        <w:rPr>
          <w:rFonts w:ascii="Times New Roman" w:hAnsi="Times New Roman"/>
          <w:sz w:val="24"/>
          <w:szCs w:val="24"/>
          <w:lang w:val="bg-BG"/>
        </w:rPr>
        <w:t>правят</w:t>
      </w:r>
      <w:r w:rsidR="00A401EF" w:rsidRPr="001847F5">
        <w:rPr>
          <w:rFonts w:ascii="Times New Roman" w:hAnsi="Times New Roman"/>
          <w:sz w:val="24"/>
          <w:szCs w:val="24"/>
          <w:lang w:val="bg-BG"/>
        </w:rPr>
        <w:t xml:space="preserve"> изменения и допълнения, </w:t>
      </w:r>
      <w:r w:rsidR="001E0465" w:rsidRPr="001847F5">
        <w:rPr>
          <w:rFonts w:ascii="Times New Roman" w:hAnsi="Times New Roman"/>
          <w:sz w:val="24"/>
          <w:szCs w:val="24"/>
          <w:lang w:val="bg-BG"/>
        </w:rPr>
        <w:t>регламентират прилагането на мерки от Програмата за развитие на селските райони за периода 2014 – 2020 г.</w:t>
      </w:r>
      <w:r w:rsidR="002F14B1" w:rsidRPr="001847F5">
        <w:rPr>
          <w:rFonts w:ascii="Times New Roman" w:hAnsi="Times New Roman"/>
          <w:sz w:val="24"/>
          <w:szCs w:val="24"/>
          <w:lang w:val="bg-BG"/>
        </w:rPr>
        <w:t xml:space="preserve"> (ПРСР 2014 - 2020 г.)</w:t>
      </w:r>
      <w:r w:rsidR="001E0465" w:rsidRPr="001847F5">
        <w:rPr>
          <w:rFonts w:ascii="Times New Roman" w:hAnsi="Times New Roman"/>
          <w:sz w:val="24"/>
          <w:szCs w:val="24"/>
          <w:lang w:val="bg-BG"/>
        </w:rPr>
        <w:t>, като</w:t>
      </w:r>
      <w:r w:rsidR="002371DF" w:rsidRPr="001847F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75EAF" w:rsidRPr="001847F5">
        <w:rPr>
          <w:rFonts w:ascii="Times New Roman" w:hAnsi="Times New Roman"/>
          <w:sz w:val="24"/>
          <w:szCs w:val="24"/>
          <w:lang w:val="bg-BG"/>
        </w:rPr>
        <w:t>се  изхожда и</w:t>
      </w:r>
      <w:r w:rsidR="001E0465" w:rsidRPr="001847F5">
        <w:rPr>
          <w:rFonts w:ascii="Times New Roman" w:hAnsi="Times New Roman"/>
          <w:sz w:val="24"/>
          <w:szCs w:val="24"/>
          <w:lang w:val="bg-BG"/>
        </w:rPr>
        <w:t xml:space="preserve"> от промени в европейското законодателство.</w:t>
      </w:r>
      <w:r w:rsidR="00A401EF" w:rsidRPr="001847F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E0465" w:rsidRPr="001847F5" w:rsidRDefault="001E0465" w:rsidP="001847F5">
      <w:pPr>
        <w:spacing w:line="36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  <w:r w:rsidRPr="001847F5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А) Основните предложения и причини за изменение и допълнение на Наредба № 6 от 2015 г. за прилагане на мярка 13 „Плащания за райони с природни или други специфични ограничения“ от Програмата за развитие на селските райони за периода 2014 - 2020 г. се състоят в следното:</w:t>
      </w:r>
    </w:p>
    <w:p w:rsidR="001E0465" w:rsidRPr="001847F5" w:rsidRDefault="001E0465" w:rsidP="0097449C">
      <w:pPr>
        <w:spacing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Съгласно разпоредбите на чл. 31 от </w:t>
      </w:r>
      <w:hyperlink r:id="rId9" w:history="1">
        <w:r w:rsidRPr="001847F5">
          <w:rPr>
            <w:rFonts w:ascii="Times New Roman" w:eastAsia="Times New Roman" w:hAnsi="Times New Roman"/>
            <w:color w:val="000000"/>
            <w:sz w:val="24"/>
            <w:szCs w:val="24"/>
            <w:lang w:val="bg-BG"/>
          </w:rPr>
          <w:t>Регламент (ЕС) № 1305/2013</w:t>
        </w:r>
      </w:hyperlink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на Европейския парламент и на Съвета от 17 декември 2013 г. относно подпомагане на развитието на селските райони от Европейския земеделски фонд за развитие на селските райони (ЕЗФРСР) и за отмяна на </w:t>
      </w:r>
      <w:hyperlink r:id="rId10" w:history="1">
        <w:r w:rsidRPr="001847F5">
          <w:rPr>
            <w:rFonts w:ascii="Times New Roman" w:eastAsia="Times New Roman" w:hAnsi="Times New Roman"/>
            <w:color w:val="000000"/>
            <w:sz w:val="24"/>
            <w:szCs w:val="24"/>
            <w:lang w:val="bg-BG"/>
          </w:rPr>
          <w:t>Регламент (ЕО) № 1698/2005 на Съвета</w:t>
        </w:r>
      </w:hyperlink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(Регламент (ЕС) № 1305/2013) (ОВ L, бр. 347 от 20 декември 2013 г.) плащанията за земеделски стопани в планински райони и в други райони с природни или други специфични ограничения се отпускат годишно за хектар земеделска площ, за да се компенсират земеделските стопани изцяло или частично за направените допълнителни разходи и пропуснатите доходи, свързани с ограниченията за селскостопанско производство в съответния район. </w:t>
      </w:r>
      <w:r w:rsidR="0097449C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В съответствие с</w:t>
      </w:r>
      <w:r w:rsidR="00954A08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параграф 5 от</w:t>
      </w:r>
      <w:r w:rsidR="0097449C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тази разпоредба на Регламент (ЕС) № 1305/2013 </w:t>
      </w:r>
      <w:r w:rsidR="008D0289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„</w:t>
      </w:r>
      <w:r w:rsidR="0097449C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д</w:t>
      </w: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ържавите - членки могат да отпускат плащания по тази мярка в периода от 2014 г. до 2020 г. на </w:t>
      </w:r>
      <w:proofErr w:type="spellStart"/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бенефициери</w:t>
      </w:r>
      <w:proofErr w:type="spellEnd"/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в области, които са отговаряли на условията за подпомагане съгласно чл. 36, буква „а“, подточка ii) от Регламент (EО) № 1698/2005 на Съвета от 20 септември 2005 година относно подпомагане на развитието на селските райони от Европейския земеделски фонд за развитие на селските райони (ЕЗФРСР) през програмния период 2007 - 2013 г. За </w:t>
      </w:r>
      <w:proofErr w:type="spellStart"/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бенефициери</w:t>
      </w:r>
      <w:proofErr w:type="spellEnd"/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от райони, които вече не отговарят на условията за подпомагане след</w:t>
      </w:r>
      <w:r w:rsidR="0097449C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новото райониране съгласно чл.</w:t>
      </w: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32, параграф 3, тези плащания намаляват прогресивно през период от най-много четири години. Този период е с начало датата, на която е приключило ра</w:t>
      </w:r>
      <w:r w:rsidR="0097449C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йонирането в съответствие с чл.</w:t>
      </w: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32, параграф 3, и най-късно през 2019 г. Посочените плащания започват на равнище от не повече от 80 % от средното плащане, определено в програмата за програмния период 2007 - </w:t>
      </w:r>
      <w:r w:rsidR="002009D4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2013 г. в съответствие с чл.</w:t>
      </w: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36, буква </w:t>
      </w:r>
      <w:r w:rsidR="002009D4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„</w:t>
      </w: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а</w:t>
      </w:r>
      <w:r w:rsidR="002009D4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“</w:t>
      </w: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, подточка ii) от Регламент (ЕО) № 1698/2005, и приключват най-късно през 2020 г. на равнище от не повече от 20 %</w:t>
      </w:r>
      <w:r w:rsidR="008D0289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“</w:t>
      </w: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. Предвид изложеното, проектът на НИД на Наредба № 6 от 2015 г. предвижда</w:t>
      </w:r>
      <w:r w:rsidR="00557B3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57B3C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размера на</w:t>
      </w: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</w:t>
      </w:r>
      <w:r w:rsidR="00557B3C" w:rsidRPr="00557B3C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плащането на хектар </w:t>
      </w: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за кампания 2019 по </w:t>
      </w:r>
      <w:proofErr w:type="spellStart"/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подмярка</w:t>
      </w:r>
      <w:proofErr w:type="spellEnd"/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</w:t>
      </w:r>
      <w:r w:rsidR="00954A08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13.2 </w:t>
      </w: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„Компенсационни </w:t>
      </w: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lastRenderedPageBreak/>
        <w:t xml:space="preserve">плащания за други райони, засегнати от значителни природни ограничения“. След приключване очертаването на границите съгласно чл. 31, параграф 5 от </w:t>
      </w:r>
      <w:r w:rsidR="00A401EF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</w:t>
      </w:r>
      <w:hyperlink r:id="rId11" w:history="1">
        <w:r w:rsidR="00A401EF" w:rsidRPr="001847F5">
          <w:rPr>
            <w:rFonts w:ascii="Times New Roman" w:eastAsia="Times New Roman" w:hAnsi="Times New Roman"/>
            <w:color w:val="000000"/>
            <w:sz w:val="24"/>
            <w:szCs w:val="24"/>
            <w:lang w:val="bg-BG"/>
          </w:rPr>
          <w:t>Регламент (ЕС) № 1305/2013</w:t>
        </w:r>
      </w:hyperlink>
      <w:r w:rsidR="00A401EF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</w:t>
      </w: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земеделските стопани в районите, които остават допустими, получават пълния размер на плащанията по </w:t>
      </w:r>
      <w:proofErr w:type="spellStart"/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подмярката</w:t>
      </w:r>
      <w:proofErr w:type="spellEnd"/>
      <w:r w:rsidR="00954A08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за кампания 2019</w:t>
      </w: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.</w:t>
      </w:r>
    </w:p>
    <w:p w:rsidR="001E0465" w:rsidRPr="001847F5" w:rsidRDefault="001E0465" w:rsidP="001E0465">
      <w:pPr>
        <w:spacing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bg-BG"/>
        </w:rPr>
      </w:pP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В проекта на НИД на Наредба № 6 от 2015 г. се предвиждат правно-технически редакции, с които се отразяват отпаднали текстове от Наредба № 5 от 2009 г. за условията и реда за подаване на заявления по схеми и мерки за директни плащания</w:t>
      </w:r>
      <w:r w:rsidR="008F51F9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(</w:t>
      </w:r>
      <w:r w:rsidR="00954A08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ДВ, </w:t>
      </w:r>
      <w:r w:rsidR="0066504F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бр. 22 от 2009 г.</w:t>
      </w:r>
      <w:r w:rsidR="008F51F9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)</w:t>
      </w: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, като съответните препратки са съобразени с приложими текстове от </w:t>
      </w:r>
      <w:r w:rsidR="00475EAF"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ЗПЗП</w:t>
      </w: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. </w:t>
      </w:r>
    </w:p>
    <w:p w:rsidR="001E0465" w:rsidRPr="001847F5" w:rsidRDefault="001E0465" w:rsidP="0066504F">
      <w:pPr>
        <w:spacing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1847F5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Проектът предвижда прецизиране на препратка към разпоредбите от европейското законодателство, прилагани от Разплащателна агенция във връзка с изчисляване на помощта по част от мерките за развитие на селските райони в обхвата на интегрираната система за администриране и контрол, и периода за извършване на плащания.</w:t>
      </w:r>
    </w:p>
    <w:p w:rsidR="00BD5A6B" w:rsidRPr="001847F5" w:rsidRDefault="0066504F" w:rsidP="001847F5">
      <w:pPr>
        <w:pStyle w:val="NormalWeb"/>
        <w:tabs>
          <w:tab w:val="left" w:pos="0"/>
        </w:tabs>
        <w:spacing w:after="120" w:line="360" w:lineRule="auto"/>
        <w:ind w:firstLine="720"/>
        <w:rPr>
          <w:b/>
          <w:lang w:val="bg-BG"/>
        </w:rPr>
      </w:pPr>
      <w:r w:rsidRPr="001847F5">
        <w:rPr>
          <w:b/>
          <w:lang w:val="bg-BG"/>
        </w:rPr>
        <w:t xml:space="preserve">Б) </w:t>
      </w:r>
      <w:r w:rsidR="00BD5A6B" w:rsidRPr="001847F5">
        <w:rPr>
          <w:b/>
          <w:lang w:val="bg-BG"/>
        </w:rPr>
        <w:t xml:space="preserve">Основните предложения и причини за изменение и допълнение на Наредба № 5 </w:t>
      </w:r>
      <w:r w:rsidRPr="001847F5">
        <w:rPr>
          <w:b/>
          <w:lang w:val="bg-BG"/>
        </w:rPr>
        <w:t xml:space="preserve">от 2015 г. </w:t>
      </w:r>
      <w:r w:rsidR="00BD5A6B" w:rsidRPr="001847F5">
        <w:rPr>
          <w:b/>
          <w:lang w:val="bg-BG"/>
        </w:rPr>
        <w:t>за прилагане на мярка 12 „Плащания по Натура 2000 и Рамковата директива за водите“ от Програмата за развитие на селските райони за периода 2014 - 2020 г. се състоят в следното:</w:t>
      </w:r>
    </w:p>
    <w:p w:rsidR="001A0138" w:rsidRPr="001847F5" w:rsidRDefault="00D26F00" w:rsidP="001847F5">
      <w:pPr>
        <w:pStyle w:val="NormalWeb"/>
        <w:tabs>
          <w:tab w:val="left" w:pos="0"/>
        </w:tabs>
        <w:spacing w:after="120" w:line="360" w:lineRule="auto"/>
        <w:ind w:firstLine="720"/>
        <w:rPr>
          <w:color w:val="auto"/>
          <w:lang w:val="bg-BG"/>
        </w:rPr>
      </w:pPr>
      <w:r w:rsidRPr="001847F5">
        <w:rPr>
          <w:color w:val="auto"/>
          <w:lang w:val="bg-BG"/>
        </w:rPr>
        <w:t>Съгласно Регламент (ЕС) № 1306/2013 на Европейския парламент и на Съвета от 17 декември 2013 година относно финансирането, управлението и мониторинга на общата селскостопанска политика и за отмяна на регламенти (ЕИО) № 352/78, (ЕО) № 165/94, (ЕО) № 2799/98, (ЕО) № 814/2000, (ЕО) № 1290/2005 и (ЕО) № 485/2008 на Съвета (Регламент 1306/2013) (</w:t>
      </w:r>
      <w:r w:rsidRPr="001847F5">
        <w:rPr>
          <w:lang w:val="bg-BG"/>
        </w:rPr>
        <w:t>ОВ L, бр. 347 от 20 декември 2013 г.) ф</w:t>
      </w:r>
      <w:r w:rsidR="0098313F" w:rsidRPr="001847F5">
        <w:rPr>
          <w:color w:val="auto"/>
          <w:lang w:val="bg-BG"/>
        </w:rPr>
        <w:t>инансирането на мерките</w:t>
      </w:r>
      <w:r w:rsidR="0098313F" w:rsidRPr="001847F5">
        <w:rPr>
          <w:lang w:val="bg-BG"/>
        </w:rPr>
        <w:t xml:space="preserve"> </w:t>
      </w:r>
      <w:r w:rsidR="0098313F" w:rsidRPr="001847F5">
        <w:rPr>
          <w:color w:val="auto"/>
          <w:lang w:val="bg-BG"/>
        </w:rPr>
        <w:t xml:space="preserve">за развитие на селските райони се извършва от </w:t>
      </w:r>
      <w:r w:rsidR="00C143EC" w:rsidRPr="001847F5">
        <w:rPr>
          <w:color w:val="auto"/>
          <w:lang w:val="bg-BG"/>
        </w:rPr>
        <w:t>ЕЗФРСР</w:t>
      </w:r>
      <w:r w:rsidR="00083EE6" w:rsidRPr="001847F5">
        <w:rPr>
          <w:color w:val="auto"/>
          <w:lang w:val="bg-BG"/>
        </w:rPr>
        <w:t xml:space="preserve"> при споде</w:t>
      </w:r>
      <w:r w:rsidR="0066504F" w:rsidRPr="001847F5">
        <w:rPr>
          <w:color w:val="auto"/>
          <w:lang w:val="bg-BG"/>
        </w:rPr>
        <w:t xml:space="preserve">лено управление между държавите-членки и Съюза. </w:t>
      </w:r>
      <w:r w:rsidR="009C66D0" w:rsidRPr="001847F5">
        <w:rPr>
          <w:lang w:val="bg-BG"/>
        </w:rPr>
        <w:t>Регламент (ЕС) № 130</w:t>
      </w:r>
      <w:r w:rsidR="001A0138" w:rsidRPr="001847F5">
        <w:rPr>
          <w:lang w:val="bg-BG"/>
        </w:rPr>
        <w:t>5</w:t>
      </w:r>
      <w:r w:rsidR="009C66D0" w:rsidRPr="001847F5">
        <w:rPr>
          <w:lang w:val="bg-BG"/>
        </w:rPr>
        <w:t>/2013</w:t>
      </w:r>
      <w:r w:rsidR="001A0138" w:rsidRPr="001847F5">
        <w:rPr>
          <w:lang w:val="bg-BG"/>
        </w:rPr>
        <w:t xml:space="preserve"> </w:t>
      </w:r>
      <w:r w:rsidR="00C81903" w:rsidRPr="001847F5">
        <w:rPr>
          <w:color w:val="auto"/>
          <w:lang w:val="bg-BG"/>
        </w:rPr>
        <w:t>определя общите правила за подпомагането на развитието на селските райони от Съюза, финансирано от ЕЗФРСР</w:t>
      </w:r>
      <w:r w:rsidR="009C66D0" w:rsidRPr="001847F5">
        <w:rPr>
          <w:color w:val="auto"/>
          <w:lang w:val="bg-BG"/>
        </w:rPr>
        <w:t>.</w:t>
      </w:r>
    </w:p>
    <w:p w:rsidR="00281111" w:rsidRPr="001847F5" w:rsidRDefault="009C66D0" w:rsidP="001847F5">
      <w:pPr>
        <w:pStyle w:val="NormalWeb"/>
        <w:tabs>
          <w:tab w:val="left" w:pos="0"/>
        </w:tabs>
        <w:spacing w:after="120" w:line="360" w:lineRule="auto"/>
        <w:ind w:firstLine="720"/>
        <w:rPr>
          <w:lang w:val="bg-BG"/>
        </w:rPr>
      </w:pPr>
      <w:r w:rsidRPr="001847F5">
        <w:rPr>
          <w:color w:val="auto"/>
          <w:lang w:val="bg-BG"/>
        </w:rPr>
        <w:t xml:space="preserve">Разпоредбите на </w:t>
      </w:r>
      <w:r w:rsidR="00033FD2" w:rsidRPr="001847F5">
        <w:rPr>
          <w:color w:val="auto"/>
          <w:lang w:val="bg-BG"/>
        </w:rPr>
        <w:t xml:space="preserve">чл. 30 от </w:t>
      </w:r>
      <w:r w:rsidR="0066504F" w:rsidRPr="001847F5">
        <w:rPr>
          <w:color w:val="auto"/>
          <w:lang w:val="bg-BG"/>
        </w:rPr>
        <w:t xml:space="preserve">Регламент (ЕС) № 1305/2013 </w:t>
      </w:r>
      <w:r w:rsidR="003528BF" w:rsidRPr="001847F5">
        <w:rPr>
          <w:color w:val="auto"/>
          <w:lang w:val="bg-BG"/>
        </w:rPr>
        <w:t>предвижда</w:t>
      </w:r>
      <w:r w:rsidR="00033FD2" w:rsidRPr="001847F5">
        <w:rPr>
          <w:color w:val="auto"/>
          <w:lang w:val="bg-BG"/>
        </w:rPr>
        <w:t>т</w:t>
      </w:r>
      <w:r w:rsidR="00662A15" w:rsidRPr="001847F5">
        <w:rPr>
          <w:color w:val="auto"/>
          <w:lang w:val="bg-BG"/>
        </w:rPr>
        <w:t>, че при изчисляване на плащанията, свързани с подпомагането, държавите членки приспадат сумата, необходима за изключване на двойно финансира</w:t>
      </w:r>
      <w:r w:rsidR="00D26F00" w:rsidRPr="001847F5">
        <w:rPr>
          <w:color w:val="auto"/>
          <w:lang w:val="bg-BG"/>
        </w:rPr>
        <w:t>не на практиките, посочени в чл.</w:t>
      </w:r>
      <w:r w:rsidR="00662A15" w:rsidRPr="001847F5">
        <w:rPr>
          <w:color w:val="auto"/>
          <w:lang w:val="bg-BG"/>
        </w:rPr>
        <w:t xml:space="preserve"> 43 от </w:t>
      </w:r>
      <w:r w:rsidR="00EF5009" w:rsidRPr="001847F5">
        <w:rPr>
          <w:lang w:val="bg-BG"/>
        </w:rPr>
        <w:t xml:space="preserve">Регламент (ЕС) № 1307/2013 на Европейския парламент и на Съвета от 17 декември 2013 година за установяване на правила за директни плащания за земеделски стопани по схеми за подпомагане в рамките на общата селскостопанска политика и за </w:t>
      </w:r>
      <w:r w:rsidR="00EF5009" w:rsidRPr="001847F5">
        <w:rPr>
          <w:lang w:val="bg-BG"/>
        </w:rPr>
        <w:lastRenderedPageBreak/>
        <w:t>отмяна на Регламент (ЕО) № 637/2008 на Съвета и Регламент (ЕО) № 73/2009 на Съвета</w:t>
      </w:r>
      <w:r w:rsidR="00EF5009" w:rsidRPr="001847F5">
        <w:rPr>
          <w:rFonts w:ascii="Calibri" w:eastAsia="Calibri" w:hAnsi="Calibri"/>
          <w:i/>
          <w:iCs/>
          <w:color w:val="auto"/>
          <w:sz w:val="22"/>
          <w:szCs w:val="22"/>
          <w:lang w:val="bg-BG"/>
        </w:rPr>
        <w:t xml:space="preserve"> </w:t>
      </w:r>
      <w:r w:rsidR="00EF5009" w:rsidRPr="001847F5">
        <w:rPr>
          <w:rFonts w:ascii="Calibri" w:eastAsia="Calibri" w:hAnsi="Calibri"/>
          <w:iCs/>
          <w:color w:val="auto"/>
          <w:sz w:val="22"/>
          <w:szCs w:val="22"/>
          <w:lang w:val="bg-BG"/>
        </w:rPr>
        <w:t>(</w:t>
      </w:r>
      <w:r w:rsidR="00E57D0B" w:rsidRPr="001847F5">
        <w:rPr>
          <w:lang w:val="bg-BG"/>
        </w:rPr>
        <w:t xml:space="preserve">OJ L от </w:t>
      </w:r>
      <w:r w:rsidR="00012E47" w:rsidRPr="001847F5">
        <w:rPr>
          <w:lang w:val="bg-BG"/>
        </w:rPr>
        <w:t xml:space="preserve">20 </w:t>
      </w:r>
      <w:r w:rsidR="00EF5009" w:rsidRPr="001847F5">
        <w:rPr>
          <w:lang w:val="bg-BG"/>
        </w:rPr>
        <w:t>декември</w:t>
      </w:r>
      <w:r w:rsidR="00012E47" w:rsidRPr="001847F5">
        <w:rPr>
          <w:lang w:val="bg-BG"/>
        </w:rPr>
        <w:t xml:space="preserve"> </w:t>
      </w:r>
      <w:r w:rsidR="00EF5009" w:rsidRPr="001847F5">
        <w:rPr>
          <w:lang w:val="bg-BG"/>
        </w:rPr>
        <w:t xml:space="preserve">2013). </w:t>
      </w:r>
      <w:r w:rsidR="00662A15" w:rsidRPr="001847F5">
        <w:rPr>
          <w:color w:val="auto"/>
          <w:lang w:val="bg-BG"/>
        </w:rPr>
        <w:t xml:space="preserve">Държавите </w:t>
      </w:r>
      <w:r w:rsidR="00EF5009" w:rsidRPr="001847F5">
        <w:rPr>
          <w:color w:val="auto"/>
          <w:lang w:val="bg-BG"/>
        </w:rPr>
        <w:t xml:space="preserve">- </w:t>
      </w:r>
      <w:r w:rsidR="00662A15" w:rsidRPr="001847F5">
        <w:rPr>
          <w:color w:val="auto"/>
          <w:lang w:val="bg-BG"/>
        </w:rPr>
        <w:t xml:space="preserve">членки могат да изчислят подлежащата на приспадане сума като фиксирана средна сума, приложима към всички заинтересовани </w:t>
      </w:r>
      <w:proofErr w:type="spellStart"/>
      <w:r w:rsidR="00662A15" w:rsidRPr="001847F5">
        <w:rPr>
          <w:color w:val="auto"/>
          <w:lang w:val="bg-BG"/>
        </w:rPr>
        <w:t>бенефициери</w:t>
      </w:r>
      <w:proofErr w:type="spellEnd"/>
      <w:r w:rsidR="00662A15" w:rsidRPr="001847F5">
        <w:rPr>
          <w:color w:val="auto"/>
          <w:lang w:val="bg-BG"/>
        </w:rPr>
        <w:t xml:space="preserve">, които изпълняват съответните </w:t>
      </w:r>
      <w:proofErr w:type="spellStart"/>
      <w:r w:rsidR="00662A15" w:rsidRPr="001847F5">
        <w:rPr>
          <w:color w:val="auto"/>
          <w:lang w:val="bg-BG"/>
        </w:rPr>
        <w:t>подмерки</w:t>
      </w:r>
      <w:proofErr w:type="spellEnd"/>
      <w:r w:rsidR="00662A15" w:rsidRPr="001847F5">
        <w:rPr>
          <w:color w:val="auto"/>
          <w:lang w:val="bg-BG"/>
        </w:rPr>
        <w:t xml:space="preserve">. </w:t>
      </w:r>
      <w:r w:rsidR="00D26F00" w:rsidRPr="001847F5">
        <w:rPr>
          <w:color w:val="auto"/>
          <w:lang w:val="bg-BG"/>
        </w:rPr>
        <w:t>З</w:t>
      </w:r>
      <w:r w:rsidR="006F6F99" w:rsidRPr="001847F5">
        <w:rPr>
          <w:color w:val="auto"/>
          <w:lang w:val="bg-BG"/>
        </w:rPr>
        <w:t>адължение</w:t>
      </w:r>
      <w:r w:rsidR="00D26F00" w:rsidRPr="001847F5">
        <w:rPr>
          <w:color w:val="auto"/>
          <w:lang w:val="bg-BG"/>
        </w:rPr>
        <w:t>то за избягване на двойно финансиране</w:t>
      </w:r>
      <w:r w:rsidR="006F6F99" w:rsidRPr="001847F5">
        <w:rPr>
          <w:color w:val="auto"/>
          <w:lang w:val="bg-BG"/>
        </w:rPr>
        <w:t xml:space="preserve"> е </w:t>
      </w:r>
      <w:r w:rsidR="00D26F00" w:rsidRPr="001847F5">
        <w:rPr>
          <w:color w:val="auto"/>
          <w:lang w:val="bg-BG"/>
        </w:rPr>
        <w:t>залегнало</w:t>
      </w:r>
      <w:r w:rsidR="006F6F99" w:rsidRPr="001847F5">
        <w:rPr>
          <w:color w:val="auto"/>
          <w:lang w:val="bg-BG"/>
        </w:rPr>
        <w:t xml:space="preserve"> и в чл. 30 </w:t>
      </w:r>
      <w:r w:rsidR="00EF5009" w:rsidRPr="001847F5">
        <w:rPr>
          <w:color w:val="auto"/>
          <w:lang w:val="bg-BG"/>
        </w:rPr>
        <w:t>от</w:t>
      </w:r>
      <w:r w:rsidR="006F6F99" w:rsidRPr="001847F5">
        <w:rPr>
          <w:color w:val="auto"/>
          <w:lang w:val="bg-BG"/>
        </w:rPr>
        <w:t xml:space="preserve"> Регламент </w:t>
      </w:r>
      <w:r w:rsidR="00D26F00" w:rsidRPr="001847F5">
        <w:rPr>
          <w:color w:val="auto"/>
          <w:lang w:val="bg-BG"/>
        </w:rPr>
        <w:t xml:space="preserve">(ЕС) № 1306/2013. </w:t>
      </w:r>
      <w:r w:rsidR="009D6524" w:rsidRPr="001847F5">
        <w:rPr>
          <w:color w:val="auto"/>
          <w:lang w:val="bg-BG"/>
        </w:rPr>
        <w:t xml:space="preserve">В националното законодателство това задължение е </w:t>
      </w:r>
      <w:r w:rsidR="00EF5009" w:rsidRPr="001847F5">
        <w:rPr>
          <w:color w:val="auto"/>
          <w:lang w:val="bg-BG"/>
        </w:rPr>
        <w:t>закрепено</w:t>
      </w:r>
      <w:r w:rsidR="009D6524" w:rsidRPr="001847F5">
        <w:rPr>
          <w:color w:val="auto"/>
          <w:lang w:val="bg-BG"/>
        </w:rPr>
        <w:t xml:space="preserve"> в</w:t>
      </w:r>
      <w:r w:rsidR="00D26F00" w:rsidRPr="001847F5">
        <w:rPr>
          <w:color w:val="auto"/>
          <w:lang w:val="bg-BG"/>
        </w:rPr>
        <w:t xml:space="preserve"> чл.</w:t>
      </w:r>
      <w:r w:rsidR="003528BF" w:rsidRPr="001847F5">
        <w:rPr>
          <w:color w:val="auto"/>
          <w:lang w:val="bg-BG"/>
        </w:rPr>
        <w:t xml:space="preserve"> 5, ал. 3 </w:t>
      </w:r>
      <w:r w:rsidR="00D26F00" w:rsidRPr="001847F5">
        <w:rPr>
          <w:color w:val="auto"/>
          <w:lang w:val="bg-BG"/>
        </w:rPr>
        <w:t>от</w:t>
      </w:r>
      <w:r w:rsidR="00A67D5A" w:rsidRPr="001847F5">
        <w:rPr>
          <w:color w:val="auto"/>
          <w:lang w:val="bg-BG"/>
        </w:rPr>
        <w:t xml:space="preserve"> Наредба № 5 от 2015 г. </w:t>
      </w:r>
      <w:r w:rsidR="007E3ED5" w:rsidRPr="001847F5">
        <w:rPr>
          <w:lang w:val="bg-BG"/>
        </w:rPr>
        <w:t>След 01.</w:t>
      </w:r>
      <w:proofErr w:type="spellStart"/>
      <w:r w:rsidR="007E3ED5" w:rsidRPr="001847F5">
        <w:rPr>
          <w:lang w:val="bg-BG"/>
        </w:rPr>
        <w:t>01</w:t>
      </w:r>
      <w:proofErr w:type="spellEnd"/>
      <w:r w:rsidR="007E3ED5" w:rsidRPr="001847F5">
        <w:rPr>
          <w:lang w:val="bg-BG"/>
        </w:rPr>
        <w:t xml:space="preserve">.2018 г. са в сила изменения в практиките, посочени в чл. 43 от </w:t>
      </w:r>
      <w:r w:rsidR="007E3ED5" w:rsidRPr="001847F5">
        <w:rPr>
          <w:color w:val="auto"/>
          <w:lang w:val="bg-BG"/>
        </w:rPr>
        <w:t xml:space="preserve">Регламент (ЕС) № 1307/2013. С предложените изменения в § </w:t>
      </w:r>
      <w:r w:rsidR="007061F8" w:rsidRPr="001847F5">
        <w:rPr>
          <w:color w:val="auto"/>
          <w:lang w:val="bg-BG"/>
        </w:rPr>
        <w:t xml:space="preserve">6, т. </w:t>
      </w:r>
      <w:r w:rsidR="003D17BF" w:rsidRPr="001847F5">
        <w:rPr>
          <w:color w:val="auto"/>
          <w:lang w:val="bg-BG"/>
        </w:rPr>
        <w:t>4</w:t>
      </w:r>
      <w:r w:rsidR="007061F8" w:rsidRPr="001847F5">
        <w:rPr>
          <w:color w:val="auto"/>
          <w:lang w:val="bg-BG"/>
        </w:rPr>
        <w:t xml:space="preserve"> от проекта на наредба</w:t>
      </w:r>
      <w:r w:rsidR="007E3ED5" w:rsidRPr="001847F5">
        <w:rPr>
          <w:color w:val="auto"/>
          <w:lang w:val="bg-BG"/>
        </w:rPr>
        <w:t xml:space="preserve"> се въвеждат резултати от промените в прилагането на тези практики и се определя размер на фиксирана </w:t>
      </w:r>
      <w:r w:rsidR="007E3ED5" w:rsidRPr="001847F5">
        <w:rPr>
          <w:lang w:val="bg-BG"/>
        </w:rPr>
        <w:t xml:space="preserve">средна сума </w:t>
      </w:r>
      <w:r w:rsidR="00860F59" w:rsidRPr="001847F5">
        <w:rPr>
          <w:lang w:val="bg-BG"/>
        </w:rPr>
        <w:t xml:space="preserve">за избягване на двойно финансиране </w:t>
      </w:r>
      <w:r w:rsidR="007E3ED5" w:rsidRPr="001847F5">
        <w:rPr>
          <w:lang w:val="bg-BG"/>
        </w:rPr>
        <w:t xml:space="preserve">по отношение на всички заинтересовани </w:t>
      </w:r>
      <w:proofErr w:type="spellStart"/>
      <w:r w:rsidR="007E3ED5" w:rsidRPr="001847F5">
        <w:rPr>
          <w:lang w:val="bg-BG"/>
        </w:rPr>
        <w:t>бенефициери</w:t>
      </w:r>
      <w:proofErr w:type="spellEnd"/>
      <w:r w:rsidR="007E3ED5" w:rsidRPr="001847F5">
        <w:rPr>
          <w:lang w:val="bg-BG"/>
        </w:rPr>
        <w:t xml:space="preserve">, които извършват </w:t>
      </w:r>
      <w:r w:rsidR="00860F59" w:rsidRPr="001847F5">
        <w:rPr>
          <w:lang w:val="bg-BG"/>
        </w:rPr>
        <w:t xml:space="preserve">земеделска дейност </w:t>
      </w:r>
      <w:r w:rsidR="002D6F17" w:rsidRPr="001847F5">
        <w:rPr>
          <w:lang w:val="bg-BG"/>
        </w:rPr>
        <w:t>върху обработваеми земи в защитени зони от екологична мрежа Натура 2000</w:t>
      </w:r>
      <w:r w:rsidR="007E3ED5" w:rsidRPr="001847F5">
        <w:rPr>
          <w:lang w:val="bg-BG"/>
        </w:rPr>
        <w:t>. С</w:t>
      </w:r>
      <w:r w:rsidR="007E3ED5" w:rsidRPr="001847F5">
        <w:rPr>
          <w:color w:val="auto"/>
          <w:lang w:val="bg-BG"/>
        </w:rPr>
        <w:t>ъс създаването на тази разпоредб</w:t>
      </w:r>
      <w:r w:rsidR="00263793" w:rsidRPr="001847F5">
        <w:rPr>
          <w:color w:val="auto"/>
          <w:lang w:val="bg-BG"/>
        </w:rPr>
        <w:t>а</w:t>
      </w:r>
      <w:r w:rsidR="007E3ED5" w:rsidRPr="001847F5">
        <w:rPr>
          <w:color w:val="auto"/>
          <w:lang w:val="bg-BG"/>
        </w:rPr>
        <w:t xml:space="preserve"> се създава яснота по отношени</w:t>
      </w:r>
      <w:r w:rsidR="00263793" w:rsidRPr="001847F5">
        <w:rPr>
          <w:color w:val="auto"/>
          <w:lang w:val="bg-BG"/>
        </w:rPr>
        <w:t>е</w:t>
      </w:r>
      <w:r w:rsidR="007E3ED5" w:rsidRPr="001847F5">
        <w:rPr>
          <w:color w:val="auto"/>
          <w:lang w:val="bg-BG"/>
        </w:rPr>
        <w:t xml:space="preserve"> на размера на плащанията</w:t>
      </w:r>
      <w:r w:rsidR="00E37F5C" w:rsidRPr="001847F5">
        <w:rPr>
          <w:color w:val="auto"/>
          <w:lang w:val="bg-BG"/>
        </w:rPr>
        <w:t xml:space="preserve"> по </w:t>
      </w:r>
      <w:r w:rsidR="007E3ED5" w:rsidRPr="001847F5">
        <w:rPr>
          <w:color w:val="auto"/>
          <w:lang w:val="bg-BG"/>
        </w:rPr>
        <w:t>заявления</w:t>
      </w:r>
      <w:r w:rsidR="00E37F5C" w:rsidRPr="001847F5">
        <w:rPr>
          <w:color w:val="auto"/>
          <w:lang w:val="bg-BG"/>
        </w:rPr>
        <w:t xml:space="preserve">, подадени </w:t>
      </w:r>
      <w:r w:rsidR="007E3ED5" w:rsidRPr="001847F5">
        <w:rPr>
          <w:color w:val="auto"/>
          <w:lang w:val="bg-BG"/>
        </w:rPr>
        <w:t>след 01.</w:t>
      </w:r>
      <w:proofErr w:type="spellStart"/>
      <w:r w:rsidR="007E3ED5" w:rsidRPr="001847F5">
        <w:rPr>
          <w:color w:val="auto"/>
          <w:lang w:val="bg-BG"/>
        </w:rPr>
        <w:t>01</w:t>
      </w:r>
      <w:proofErr w:type="spellEnd"/>
      <w:r w:rsidR="007E3ED5" w:rsidRPr="001847F5">
        <w:rPr>
          <w:color w:val="auto"/>
          <w:lang w:val="bg-BG"/>
        </w:rPr>
        <w:t>.2018 г. В тази насока е от значение да се отбележи, че същата касае плащания, които към настоящия момент не са извършени.</w:t>
      </w:r>
      <w:r w:rsidR="00E37F5C" w:rsidRPr="001847F5">
        <w:rPr>
          <w:color w:val="auto"/>
          <w:lang w:val="bg-BG"/>
        </w:rPr>
        <w:t xml:space="preserve"> Средната фиксирана сума, която се приспадат от размера на подпомагане за обработваемите земи, е представена и одобрена от Комитета по наблюдение на </w:t>
      </w:r>
      <w:r w:rsidR="00281111" w:rsidRPr="001847F5">
        <w:rPr>
          <w:lang w:val="bg-BG"/>
        </w:rPr>
        <w:t>Програмата за развитие на селските райони за периода 2014 - 2020 г. и е част от предложеното</w:t>
      </w:r>
      <w:r w:rsidR="005C1902" w:rsidRPr="001847F5">
        <w:rPr>
          <w:lang w:val="bg-BG"/>
        </w:rPr>
        <w:t xml:space="preserve"> пето</w:t>
      </w:r>
      <w:r w:rsidR="00281111" w:rsidRPr="001847F5">
        <w:rPr>
          <w:lang w:val="bg-BG"/>
        </w:rPr>
        <w:t xml:space="preserve"> изменение на </w:t>
      </w:r>
      <w:r w:rsidR="007061F8" w:rsidRPr="001847F5">
        <w:rPr>
          <w:lang w:val="bg-BG"/>
        </w:rPr>
        <w:t>Програмата за развитие на селските райони за периода 2014 - 2020 г</w:t>
      </w:r>
      <w:r w:rsidR="00281111" w:rsidRPr="001847F5">
        <w:rPr>
          <w:lang w:val="bg-BG"/>
        </w:rPr>
        <w:t xml:space="preserve">. </w:t>
      </w:r>
    </w:p>
    <w:p w:rsidR="004A4DA5" w:rsidRPr="001847F5" w:rsidRDefault="004A4DA5" w:rsidP="001847F5">
      <w:pPr>
        <w:pStyle w:val="NormalWeb"/>
        <w:tabs>
          <w:tab w:val="left" w:pos="0"/>
        </w:tabs>
        <w:spacing w:after="120" w:line="360" w:lineRule="auto"/>
        <w:ind w:firstLine="720"/>
        <w:rPr>
          <w:lang w:val="bg-BG"/>
        </w:rPr>
      </w:pPr>
      <w:r w:rsidRPr="001847F5">
        <w:rPr>
          <w:lang w:val="bg-BG"/>
        </w:rPr>
        <w:t xml:space="preserve">В проекта на НИД на Наредба № </w:t>
      </w:r>
      <w:r w:rsidR="00FC4ABE" w:rsidRPr="001847F5">
        <w:rPr>
          <w:lang w:val="bg-BG"/>
        </w:rPr>
        <w:t>6</w:t>
      </w:r>
      <w:r w:rsidRPr="001847F5">
        <w:rPr>
          <w:lang w:val="bg-BG"/>
        </w:rPr>
        <w:t xml:space="preserve"> от 2015 г. </w:t>
      </w:r>
      <w:r w:rsidR="00FC4ABE" w:rsidRPr="001847F5">
        <w:rPr>
          <w:lang w:val="bg-BG"/>
        </w:rPr>
        <w:t xml:space="preserve">относно измененията и допълненията в Наредба № 5 от 2015 г. </w:t>
      </w:r>
      <w:r w:rsidRPr="001847F5">
        <w:rPr>
          <w:lang w:val="bg-BG"/>
        </w:rPr>
        <w:t>е отразено Решение за приемане на структура на Министерския съвет на Република България, прието от 44 – то Народно събрание на 04.05.2017 г. за преобразуване на Министерството на земеделието и храните в Министерство на земеделието, храните и горите. В тази връзка в предложения проект на нормативен акт се променя наименованието на министерството и на министъра, като думите „Министерството на земеделието и храните“ се заменят с „Министерството на земеделието, храните и горите“</w:t>
      </w:r>
      <w:r w:rsidR="00FC4ABE" w:rsidRPr="001847F5">
        <w:rPr>
          <w:lang w:val="bg-BG"/>
        </w:rPr>
        <w:t xml:space="preserve">, </w:t>
      </w:r>
      <w:r w:rsidRPr="001847F5">
        <w:rPr>
          <w:lang w:val="bg-BG"/>
        </w:rPr>
        <w:t>а думите „министъра на земеделието и храните“ с  „министъра на земеделието, храните и горите“.</w:t>
      </w:r>
      <w:r w:rsidR="00E81C3D" w:rsidRPr="001847F5">
        <w:rPr>
          <w:lang w:val="bg-BG"/>
        </w:rPr>
        <w:t xml:space="preserve"> </w:t>
      </w:r>
    </w:p>
    <w:p w:rsidR="00067E80" w:rsidRPr="001847F5" w:rsidRDefault="00E81C3D" w:rsidP="001847F5">
      <w:pPr>
        <w:pStyle w:val="NormalWeb"/>
        <w:tabs>
          <w:tab w:val="left" w:pos="0"/>
        </w:tabs>
        <w:spacing w:after="120" w:line="360" w:lineRule="auto"/>
        <w:ind w:firstLine="720"/>
        <w:rPr>
          <w:lang w:val="bg-BG"/>
        </w:rPr>
      </w:pPr>
      <w:r w:rsidRPr="001847F5">
        <w:rPr>
          <w:lang w:val="bg-BG"/>
        </w:rPr>
        <w:t>Проектът</w:t>
      </w:r>
      <w:r w:rsidR="009005F6" w:rsidRPr="001847F5">
        <w:rPr>
          <w:lang w:val="bg-BG"/>
        </w:rPr>
        <w:t xml:space="preserve"> </w:t>
      </w:r>
      <w:r w:rsidRPr="001847F5">
        <w:rPr>
          <w:lang w:val="bg-BG"/>
        </w:rPr>
        <w:t xml:space="preserve">предвижда прецизиране на </w:t>
      </w:r>
      <w:r w:rsidR="00CD3646" w:rsidRPr="001847F5">
        <w:rPr>
          <w:lang w:val="bg-BG"/>
        </w:rPr>
        <w:t xml:space="preserve">препратка към </w:t>
      </w:r>
      <w:r w:rsidRPr="001847F5">
        <w:rPr>
          <w:lang w:val="bg-BG"/>
        </w:rPr>
        <w:t>разпоредб</w:t>
      </w:r>
      <w:r w:rsidR="00CD3646" w:rsidRPr="001847F5">
        <w:rPr>
          <w:lang w:val="bg-BG"/>
        </w:rPr>
        <w:t>ите</w:t>
      </w:r>
      <w:r w:rsidRPr="001847F5">
        <w:rPr>
          <w:lang w:val="bg-BG"/>
        </w:rPr>
        <w:t xml:space="preserve"> от европейското законодателство</w:t>
      </w:r>
      <w:r w:rsidR="009005F6" w:rsidRPr="001847F5">
        <w:rPr>
          <w:lang w:val="bg-BG"/>
        </w:rPr>
        <w:t xml:space="preserve">, </w:t>
      </w:r>
      <w:r w:rsidR="007D5862" w:rsidRPr="001847F5">
        <w:rPr>
          <w:lang w:val="bg-BG"/>
        </w:rPr>
        <w:t>прилагани</w:t>
      </w:r>
      <w:r w:rsidR="00CD3646" w:rsidRPr="001847F5">
        <w:rPr>
          <w:lang w:val="bg-BG"/>
        </w:rPr>
        <w:t xml:space="preserve"> от </w:t>
      </w:r>
      <w:r w:rsidR="009005F6" w:rsidRPr="001847F5">
        <w:rPr>
          <w:lang w:val="bg-BG"/>
        </w:rPr>
        <w:t xml:space="preserve">Разплащателна агенция </w:t>
      </w:r>
      <w:r w:rsidR="00CD3646" w:rsidRPr="001847F5">
        <w:rPr>
          <w:lang w:val="bg-BG"/>
        </w:rPr>
        <w:t xml:space="preserve">във връзка с </w:t>
      </w:r>
      <w:r w:rsidR="009005F6" w:rsidRPr="001847F5">
        <w:rPr>
          <w:lang w:val="bg-BG"/>
        </w:rPr>
        <w:t xml:space="preserve">изчисляване на помощта </w:t>
      </w:r>
      <w:r w:rsidR="00CD3646" w:rsidRPr="001847F5">
        <w:rPr>
          <w:lang w:val="bg-BG"/>
        </w:rPr>
        <w:t>по част от мерките</w:t>
      </w:r>
      <w:r w:rsidR="009005F6" w:rsidRPr="001847F5">
        <w:rPr>
          <w:lang w:val="bg-BG"/>
        </w:rPr>
        <w:t xml:space="preserve"> за развитие на селските райони в обхвата на интегрираната система за администриране и контрол</w:t>
      </w:r>
      <w:r w:rsidR="001B7534" w:rsidRPr="001847F5">
        <w:rPr>
          <w:lang w:val="bg-BG"/>
        </w:rPr>
        <w:t>, и периода за извършване на плащания</w:t>
      </w:r>
      <w:r w:rsidR="009005F6" w:rsidRPr="001847F5">
        <w:rPr>
          <w:lang w:val="bg-BG"/>
        </w:rPr>
        <w:t xml:space="preserve">. </w:t>
      </w:r>
      <w:r w:rsidR="00565C5F" w:rsidRPr="001847F5">
        <w:rPr>
          <w:lang w:val="bg-BG"/>
        </w:rPr>
        <w:t xml:space="preserve">Във връзка с </w:t>
      </w:r>
      <w:r w:rsidR="007D5862" w:rsidRPr="001847F5">
        <w:rPr>
          <w:lang w:val="bg-BG"/>
        </w:rPr>
        <w:t xml:space="preserve">влезли в сила през 2018 г. </w:t>
      </w:r>
      <w:r w:rsidR="00565C5F" w:rsidRPr="001847F5">
        <w:rPr>
          <w:lang w:val="bg-BG"/>
        </w:rPr>
        <w:t xml:space="preserve">промени в </w:t>
      </w:r>
      <w:r w:rsidR="00243D8D" w:rsidRPr="001847F5">
        <w:rPr>
          <w:lang w:val="bg-BG"/>
        </w:rPr>
        <w:t xml:space="preserve">ЗПЗП </w:t>
      </w:r>
      <w:r w:rsidR="00565C5F" w:rsidRPr="001847F5">
        <w:rPr>
          <w:lang w:val="bg-BG"/>
        </w:rPr>
        <w:t xml:space="preserve">се прецизират </w:t>
      </w:r>
      <w:r w:rsidR="007D5862" w:rsidRPr="001847F5">
        <w:rPr>
          <w:lang w:val="bg-BG"/>
        </w:rPr>
        <w:t xml:space="preserve">съответно </w:t>
      </w:r>
      <w:r w:rsidR="00775A80" w:rsidRPr="001847F5">
        <w:rPr>
          <w:lang w:val="bg-BG"/>
        </w:rPr>
        <w:t xml:space="preserve">и </w:t>
      </w:r>
      <w:r w:rsidR="00565C5F" w:rsidRPr="001847F5">
        <w:rPr>
          <w:lang w:val="bg-BG"/>
        </w:rPr>
        <w:t>препратки</w:t>
      </w:r>
      <w:r w:rsidR="007D5862" w:rsidRPr="001847F5">
        <w:rPr>
          <w:lang w:val="bg-BG"/>
        </w:rPr>
        <w:t>те</w:t>
      </w:r>
      <w:r w:rsidR="00565C5F" w:rsidRPr="001847F5">
        <w:rPr>
          <w:lang w:val="bg-BG"/>
        </w:rPr>
        <w:t xml:space="preserve"> </w:t>
      </w:r>
      <w:r w:rsidR="00096838" w:rsidRPr="001847F5">
        <w:rPr>
          <w:lang w:val="bg-BG"/>
        </w:rPr>
        <w:t>в</w:t>
      </w:r>
      <w:r w:rsidR="00565C5F" w:rsidRPr="001847F5">
        <w:rPr>
          <w:lang w:val="bg-BG"/>
        </w:rPr>
        <w:t xml:space="preserve"> Наредба № 5 от 2015 г</w:t>
      </w:r>
      <w:r w:rsidR="00096838" w:rsidRPr="001847F5">
        <w:rPr>
          <w:lang w:val="bg-BG"/>
        </w:rPr>
        <w:t>.</w:t>
      </w:r>
    </w:p>
    <w:p w:rsidR="00067E80" w:rsidRPr="001847F5" w:rsidRDefault="00067E80" w:rsidP="001847F5">
      <w:pPr>
        <w:pStyle w:val="NormalWeb"/>
        <w:tabs>
          <w:tab w:val="left" w:pos="0"/>
        </w:tabs>
        <w:spacing w:after="120" w:line="360" w:lineRule="auto"/>
        <w:ind w:firstLine="720"/>
        <w:rPr>
          <w:lang w:val="bg-BG"/>
        </w:rPr>
      </w:pPr>
      <w:r w:rsidRPr="001847F5">
        <w:rPr>
          <w:lang w:val="bg-BG"/>
        </w:rPr>
        <w:lastRenderedPageBreak/>
        <w:t>Като обобщение, може да се отбележи, че възникналите обстоятелства, които налагат приемането на проекта на НИД на Наредба № 6 от 2015 г. са измененията на националното законодателство, приложимостта на европейското законодателство и необходимостта от яснота при прилагането на нормативната уредба. Няма възможност предвижданите с проекта изменения и допълнения да бъдат реализирани по друг начин. В процеса на прилагането на Наредба № 6 от 2015</w:t>
      </w:r>
      <w:r w:rsidR="00243D8D" w:rsidRPr="001847F5">
        <w:rPr>
          <w:lang w:val="bg-BG"/>
        </w:rPr>
        <w:t xml:space="preserve"> </w:t>
      </w:r>
      <w:r w:rsidRPr="001847F5">
        <w:rPr>
          <w:lang w:val="bg-BG"/>
        </w:rPr>
        <w:t xml:space="preserve">г. не е извършена </w:t>
      </w:r>
      <w:proofErr w:type="spellStart"/>
      <w:r w:rsidRPr="001847F5">
        <w:rPr>
          <w:lang w:val="bg-BG"/>
        </w:rPr>
        <w:t>последваща</w:t>
      </w:r>
      <w:proofErr w:type="spellEnd"/>
      <w:r w:rsidRPr="001847F5">
        <w:rPr>
          <w:lang w:val="bg-BG"/>
        </w:rPr>
        <w:t xml:space="preserve"> оценка на въздействието. По своя характер цитираната наредба не е акт, който регулира стопанска дейност и не настъпват значителни последици за обществото в неговата цялост. Засягат се ограничен кръг правни субекти, а именно земеделски стопани, </w:t>
      </w:r>
      <w:r w:rsidR="00243D8D" w:rsidRPr="001847F5">
        <w:rPr>
          <w:lang w:val="bg-BG"/>
        </w:rPr>
        <w:t>които мога да бъдат подпомагани по реда на цитираните наредби</w:t>
      </w:r>
      <w:r w:rsidRPr="001847F5">
        <w:rPr>
          <w:lang w:val="bg-BG"/>
        </w:rPr>
        <w:t xml:space="preserve">. Това е и кръгът от заинтересовани лица, върху които проектът на нормативен акт пряко оказва влияние. В този кръг се включват и земеделските стопани, които са вече ползватели на помощта по </w:t>
      </w:r>
      <w:r w:rsidRPr="001847F5">
        <w:rPr>
          <w:rFonts w:eastAsia="Calibri"/>
          <w:color w:val="auto"/>
          <w:lang w:val="bg-BG"/>
        </w:rPr>
        <w:t xml:space="preserve">мярка 12 „Плащания по Натура 2000 и Рамковата директива за водите“ и </w:t>
      </w:r>
      <w:r w:rsidRPr="001847F5">
        <w:rPr>
          <w:lang w:val="bg-BG"/>
        </w:rPr>
        <w:t>мярка 13 „Плащания за райони с природни или други специфични ограничения“</w:t>
      </w:r>
      <w:r w:rsidR="00243D8D" w:rsidRPr="001847F5">
        <w:rPr>
          <w:lang w:val="bg-BG"/>
        </w:rPr>
        <w:t>, както и такива, които могат да бъдат подпомагани</w:t>
      </w:r>
      <w:r w:rsidRPr="001847F5">
        <w:rPr>
          <w:lang w:val="bg-BG"/>
        </w:rPr>
        <w:t xml:space="preserve">. От страна на администрацията, пряко заинтересовани страни от влизането в сила на проекта на НИД на Наредба № </w:t>
      </w:r>
      <w:r w:rsidR="00A13757" w:rsidRPr="001847F5">
        <w:rPr>
          <w:lang w:val="bg-BG"/>
        </w:rPr>
        <w:t>6</w:t>
      </w:r>
      <w:r w:rsidRPr="001847F5">
        <w:rPr>
          <w:lang w:val="bg-BG"/>
        </w:rPr>
        <w:t xml:space="preserve"> от 2015 г. е </w:t>
      </w:r>
      <w:r w:rsidR="006308A0" w:rsidRPr="001847F5">
        <w:rPr>
          <w:lang w:val="bg-BG"/>
        </w:rPr>
        <w:t>Държавен фонд „Земеделие“ – Разплащателна агенция</w:t>
      </w:r>
      <w:r w:rsidRPr="001847F5">
        <w:rPr>
          <w:lang w:val="bg-BG"/>
        </w:rPr>
        <w:t xml:space="preserve">. Косвено засегнати заинтересовани страни са неправителствените организации, в чиито състав има земеделски стопани, които могат да бъдат кандидати за подпомагане по реда на </w:t>
      </w:r>
      <w:r w:rsidR="00A85CAB" w:rsidRPr="001847F5">
        <w:rPr>
          <w:lang w:val="bg-BG"/>
        </w:rPr>
        <w:t>цитираните мерки</w:t>
      </w:r>
      <w:r w:rsidRPr="001847F5">
        <w:rPr>
          <w:lang w:val="bg-BG"/>
        </w:rPr>
        <w:t xml:space="preserve"> или са ползватели на помощта. С предвижданите изменения и допълнения в проекта на НИД на Наредба № 6 от 2015 г. се доразвива и се прецизира съществуваща</w:t>
      </w:r>
      <w:r w:rsidR="00A85CAB" w:rsidRPr="001847F5">
        <w:rPr>
          <w:lang w:val="bg-BG"/>
        </w:rPr>
        <w:t>та</w:t>
      </w:r>
      <w:r w:rsidRPr="001847F5">
        <w:rPr>
          <w:lang w:val="bg-BG"/>
        </w:rPr>
        <w:t xml:space="preserve"> уредба на обществени отношения, като не се създават нови регулаторни ре</w:t>
      </w:r>
      <w:r w:rsidR="00A85CAB" w:rsidRPr="001847F5">
        <w:rPr>
          <w:lang w:val="bg-BG"/>
        </w:rPr>
        <w:t xml:space="preserve">жими и нови регистри и не се оказва влияние върху административната тежест за гражданите. </w:t>
      </w:r>
      <w:r w:rsidRPr="001847F5">
        <w:rPr>
          <w:lang w:val="bg-BG"/>
        </w:rPr>
        <w:t xml:space="preserve"> </w:t>
      </w:r>
    </w:p>
    <w:p w:rsidR="001E0465" w:rsidRPr="001847F5" w:rsidRDefault="00701630" w:rsidP="001847F5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847F5">
        <w:rPr>
          <w:rFonts w:ascii="Times New Roman" w:hAnsi="Times New Roman"/>
          <w:b/>
          <w:sz w:val="24"/>
          <w:szCs w:val="24"/>
          <w:lang w:val="bg-BG"/>
        </w:rPr>
        <w:t>В) Целите, които се поставят с предложения акт и очаквани резултати от прилагането:</w:t>
      </w:r>
    </w:p>
    <w:p w:rsidR="001B7534" w:rsidRPr="001847F5" w:rsidRDefault="001B7534" w:rsidP="001847F5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847F5">
        <w:rPr>
          <w:rFonts w:ascii="Times New Roman" w:hAnsi="Times New Roman"/>
          <w:sz w:val="24"/>
          <w:szCs w:val="24"/>
          <w:lang w:val="bg-BG"/>
        </w:rPr>
        <w:t xml:space="preserve">С предложените промени в нормативната уредба се цели да се отговори на предизвикателствата, възникнали в процеса на прилагането на </w:t>
      </w:r>
      <w:r w:rsidRPr="001847F5">
        <w:rPr>
          <w:rFonts w:ascii="Times New Roman" w:hAnsi="Times New Roman"/>
          <w:bCs/>
          <w:sz w:val="24"/>
          <w:szCs w:val="24"/>
          <w:lang w:val="bg-BG"/>
        </w:rPr>
        <w:t xml:space="preserve">ПРСР 2014 </w:t>
      </w:r>
      <w:r w:rsidRPr="001847F5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1847F5">
        <w:rPr>
          <w:rFonts w:ascii="Times New Roman" w:hAnsi="Times New Roman"/>
          <w:bCs/>
          <w:sz w:val="24"/>
          <w:szCs w:val="24"/>
          <w:lang w:val="bg-BG"/>
        </w:rPr>
        <w:t xml:space="preserve">2020 г., задълженията за изключване на двойното финансиране, както и ефективно управление на финансови средства по мерките. Част от промените целят да се осигури съответствие на текстове, включени в предложенията за петото изменение на ПРСР 2014 </w:t>
      </w:r>
      <w:r w:rsidRPr="001847F5">
        <w:rPr>
          <w:rFonts w:ascii="Times New Roman" w:hAnsi="Times New Roman"/>
          <w:sz w:val="24"/>
          <w:szCs w:val="24"/>
          <w:lang w:val="bg-BG"/>
        </w:rPr>
        <w:t xml:space="preserve">- </w:t>
      </w:r>
      <w:r w:rsidRPr="001847F5">
        <w:rPr>
          <w:rFonts w:ascii="Times New Roman" w:hAnsi="Times New Roman"/>
          <w:bCs/>
          <w:sz w:val="24"/>
          <w:szCs w:val="24"/>
          <w:lang w:val="bg-BG"/>
        </w:rPr>
        <w:t>2020 г. и приложимото европейско</w:t>
      </w:r>
      <w:r w:rsidR="00A85CAB" w:rsidRPr="001847F5">
        <w:rPr>
          <w:rFonts w:ascii="Times New Roman" w:hAnsi="Times New Roman"/>
          <w:bCs/>
          <w:sz w:val="24"/>
          <w:szCs w:val="24"/>
          <w:lang w:val="bg-BG"/>
        </w:rPr>
        <w:t xml:space="preserve"> и национално</w:t>
      </w:r>
      <w:r w:rsidRPr="001847F5">
        <w:rPr>
          <w:rFonts w:ascii="Times New Roman" w:hAnsi="Times New Roman"/>
          <w:bCs/>
          <w:sz w:val="24"/>
          <w:szCs w:val="24"/>
          <w:lang w:val="bg-BG"/>
        </w:rPr>
        <w:t xml:space="preserve"> законодателство.</w:t>
      </w:r>
      <w:r w:rsidR="00A85CAB" w:rsidRPr="001847F5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:rsidR="00067E80" w:rsidRPr="001847F5" w:rsidRDefault="00067E80" w:rsidP="001847F5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1847F5">
        <w:rPr>
          <w:rFonts w:ascii="Times New Roman" w:hAnsi="Times New Roman"/>
          <w:bCs/>
          <w:sz w:val="24"/>
          <w:szCs w:val="24"/>
          <w:lang w:val="bg-BG"/>
        </w:rPr>
        <w:t xml:space="preserve">Постигането на тези цели са резултатите, към които е насочен настоящият проект на Наредба за изменение и допълнение на Наредба № 6 от 2015 г. Без </w:t>
      </w:r>
      <w:r w:rsidRPr="001847F5">
        <w:rPr>
          <w:rFonts w:ascii="Times New Roman" w:hAnsi="Times New Roman"/>
          <w:bCs/>
          <w:sz w:val="24"/>
          <w:szCs w:val="24"/>
          <w:lang w:val="bg-BG"/>
        </w:rPr>
        <w:lastRenderedPageBreak/>
        <w:t xml:space="preserve">приемането на тази уредба, при така наречен „вариант „Без действие“, ще е налице несъответствие между текстовете в националното законодателство, неяснота относно прилагането на норми на правото на Европейския съюз и неяснота в текстовете на отделни разпоредби. С други думи, </w:t>
      </w:r>
      <w:r w:rsidR="000C30AB" w:rsidRPr="001847F5">
        <w:rPr>
          <w:rFonts w:ascii="Times New Roman" w:hAnsi="Times New Roman"/>
          <w:bCs/>
          <w:sz w:val="24"/>
          <w:szCs w:val="24"/>
          <w:lang w:val="bg-BG"/>
        </w:rPr>
        <w:t xml:space="preserve">от неприемането на НИД на Наредба № 6 от 2015 г. </w:t>
      </w:r>
      <w:r w:rsidRPr="001847F5">
        <w:rPr>
          <w:rFonts w:ascii="Times New Roman" w:hAnsi="Times New Roman"/>
          <w:bCs/>
          <w:sz w:val="24"/>
          <w:szCs w:val="24"/>
          <w:lang w:val="bg-BG"/>
        </w:rPr>
        <w:t>са възможни единствено негативни въздействия, бил</w:t>
      </w:r>
      <w:r w:rsidR="000C30AB" w:rsidRPr="001847F5">
        <w:rPr>
          <w:rFonts w:ascii="Times New Roman" w:hAnsi="Times New Roman"/>
          <w:bCs/>
          <w:sz w:val="24"/>
          <w:szCs w:val="24"/>
          <w:lang w:val="bg-BG"/>
        </w:rPr>
        <w:t>и те социални или икономически</w:t>
      </w:r>
      <w:r w:rsidRPr="001847F5">
        <w:rPr>
          <w:rFonts w:ascii="Times New Roman" w:hAnsi="Times New Roman"/>
          <w:bCs/>
          <w:sz w:val="24"/>
          <w:szCs w:val="24"/>
          <w:lang w:val="bg-BG"/>
        </w:rPr>
        <w:t>. С влизането в сила на НИД на Наредба № 6 от 2015 г. ще се постигне реализиране в пълнота на европейската политика за подпомагане на земеделските стопани, ще се установи една по</w:t>
      </w:r>
      <w:r w:rsidR="000C30AB" w:rsidRPr="001847F5">
        <w:rPr>
          <w:rFonts w:ascii="Times New Roman" w:hAnsi="Times New Roman"/>
          <w:bCs/>
          <w:sz w:val="24"/>
          <w:szCs w:val="24"/>
          <w:lang w:val="bg-BG"/>
        </w:rPr>
        <w:t>-</w:t>
      </w:r>
      <w:r w:rsidRPr="001847F5">
        <w:rPr>
          <w:rFonts w:ascii="Times New Roman" w:hAnsi="Times New Roman"/>
          <w:bCs/>
          <w:sz w:val="24"/>
          <w:szCs w:val="24"/>
          <w:lang w:val="bg-BG"/>
        </w:rPr>
        <w:t>ясна регламентация на условията и реда за предоставяне на финансова помощ по мярка 12 „Плащания по Натура 2000 и Рамковата директива за водите“ и мярка 13 „Плащания за райони с природни или други специфични ограничения“. Това са положителните социални и икономически въздействия от варианта „Приемане на предложения проект на акт“.</w:t>
      </w:r>
    </w:p>
    <w:p w:rsidR="00562A3C" w:rsidRPr="001847F5" w:rsidRDefault="00562A3C" w:rsidP="001847F5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847F5">
        <w:rPr>
          <w:rFonts w:ascii="Times New Roman" w:hAnsi="Times New Roman"/>
          <w:b/>
          <w:bCs/>
          <w:sz w:val="24"/>
          <w:szCs w:val="24"/>
          <w:lang w:val="bg-BG"/>
        </w:rPr>
        <w:t>Г) Финансови и други средства, необходими за прилагането на наредбата:</w:t>
      </w:r>
    </w:p>
    <w:p w:rsidR="00376361" w:rsidRPr="001847F5" w:rsidRDefault="008E6E8E" w:rsidP="001847F5">
      <w:pPr>
        <w:pStyle w:val="NormalWeb"/>
        <w:tabs>
          <w:tab w:val="left" w:pos="0"/>
        </w:tabs>
        <w:spacing w:after="120" w:line="360" w:lineRule="auto"/>
        <w:ind w:firstLine="720"/>
        <w:rPr>
          <w:b/>
          <w:lang w:val="bg-BG"/>
        </w:rPr>
      </w:pPr>
      <w:r w:rsidRPr="001847F5">
        <w:rPr>
          <w:lang w:val="bg-BG"/>
        </w:rPr>
        <w:t>Предложени</w:t>
      </w:r>
      <w:r w:rsidR="001B7534" w:rsidRPr="001847F5">
        <w:rPr>
          <w:lang w:val="bg-BG"/>
        </w:rPr>
        <w:t>те</w:t>
      </w:r>
      <w:r w:rsidRPr="001847F5">
        <w:rPr>
          <w:lang w:val="bg-BG"/>
        </w:rPr>
        <w:t xml:space="preserve"> </w:t>
      </w:r>
      <w:r w:rsidR="003E7799" w:rsidRPr="001847F5">
        <w:rPr>
          <w:lang w:val="bg-BG"/>
        </w:rPr>
        <w:t xml:space="preserve">изменения и допълнения в </w:t>
      </w:r>
      <w:r w:rsidRPr="001847F5">
        <w:rPr>
          <w:lang w:val="bg-BG"/>
        </w:rPr>
        <w:t>проект</w:t>
      </w:r>
      <w:r w:rsidR="003E7799" w:rsidRPr="001847F5">
        <w:rPr>
          <w:lang w:val="bg-BG"/>
        </w:rPr>
        <w:t>а</w:t>
      </w:r>
      <w:r w:rsidRPr="001847F5">
        <w:rPr>
          <w:lang w:val="bg-BG"/>
        </w:rPr>
        <w:t xml:space="preserve"> </w:t>
      </w:r>
      <w:r w:rsidR="003A4DD7" w:rsidRPr="001847F5">
        <w:rPr>
          <w:lang w:val="bg-BG"/>
        </w:rPr>
        <w:t>на наредб</w:t>
      </w:r>
      <w:r w:rsidR="003E7799" w:rsidRPr="001847F5">
        <w:rPr>
          <w:lang w:val="bg-BG"/>
        </w:rPr>
        <w:t>а</w:t>
      </w:r>
      <w:r w:rsidR="003A4DD7" w:rsidRPr="001847F5">
        <w:rPr>
          <w:lang w:val="bg-BG"/>
        </w:rPr>
        <w:t xml:space="preserve"> </w:t>
      </w:r>
      <w:r w:rsidRPr="001847F5">
        <w:rPr>
          <w:lang w:val="bg-BG"/>
        </w:rPr>
        <w:t>няма да ангажира</w:t>
      </w:r>
      <w:r w:rsidR="001B7534" w:rsidRPr="001847F5">
        <w:rPr>
          <w:lang w:val="bg-BG"/>
        </w:rPr>
        <w:t>т</w:t>
      </w:r>
      <w:r w:rsidRPr="001847F5">
        <w:rPr>
          <w:lang w:val="bg-BG"/>
        </w:rPr>
        <w:t xml:space="preserve"> допълнителн</w:t>
      </w:r>
      <w:r w:rsidR="00311E0E" w:rsidRPr="001847F5">
        <w:rPr>
          <w:lang w:val="bg-BG"/>
        </w:rPr>
        <w:t>и финансови ср</w:t>
      </w:r>
      <w:r w:rsidR="00B160CA" w:rsidRPr="001847F5">
        <w:rPr>
          <w:lang w:val="bg-BG"/>
        </w:rPr>
        <w:t>едства от бюджета на Министерст</w:t>
      </w:r>
      <w:r w:rsidR="00403B9F" w:rsidRPr="001847F5">
        <w:rPr>
          <w:lang w:val="bg-BG"/>
        </w:rPr>
        <w:t xml:space="preserve">вото на земеделието, </w:t>
      </w:r>
      <w:r w:rsidR="00311E0E" w:rsidRPr="001847F5">
        <w:rPr>
          <w:lang w:val="bg-BG"/>
        </w:rPr>
        <w:t>храните</w:t>
      </w:r>
      <w:r w:rsidR="00403B9F" w:rsidRPr="001847F5">
        <w:rPr>
          <w:lang w:val="bg-BG"/>
        </w:rPr>
        <w:t xml:space="preserve"> и горите</w:t>
      </w:r>
      <w:r w:rsidR="00311E0E" w:rsidRPr="001847F5">
        <w:rPr>
          <w:lang w:val="bg-BG"/>
        </w:rPr>
        <w:t>.</w:t>
      </w:r>
      <w:r w:rsidR="008A49BC" w:rsidRPr="001847F5">
        <w:rPr>
          <w:lang w:val="bg-BG"/>
        </w:rPr>
        <w:t xml:space="preserve"> </w:t>
      </w:r>
      <w:r w:rsidR="00562A3C" w:rsidRPr="001847F5">
        <w:rPr>
          <w:lang w:val="bg-BG"/>
        </w:rPr>
        <w:t>И двете мерки</w:t>
      </w:r>
      <w:r w:rsidR="008A49BC" w:rsidRPr="001847F5">
        <w:rPr>
          <w:lang w:val="bg-BG"/>
        </w:rPr>
        <w:t xml:space="preserve"> се</w:t>
      </w:r>
      <w:r w:rsidR="00B160CA" w:rsidRPr="001847F5">
        <w:rPr>
          <w:lang w:val="bg-BG"/>
        </w:rPr>
        <w:t xml:space="preserve"> финансира</w:t>
      </w:r>
      <w:r w:rsidR="008A49BC" w:rsidRPr="001847F5">
        <w:rPr>
          <w:lang w:val="bg-BG"/>
        </w:rPr>
        <w:t>т</w:t>
      </w:r>
      <w:r w:rsidR="00B160CA" w:rsidRPr="001847F5">
        <w:rPr>
          <w:lang w:val="bg-BG"/>
        </w:rPr>
        <w:t xml:space="preserve"> </w:t>
      </w:r>
      <w:r w:rsidR="008A49BC" w:rsidRPr="001847F5">
        <w:rPr>
          <w:lang w:val="bg-BG"/>
        </w:rPr>
        <w:t xml:space="preserve">със </w:t>
      </w:r>
      <w:r w:rsidR="009949F6" w:rsidRPr="001847F5">
        <w:rPr>
          <w:lang w:val="bg-BG"/>
        </w:rPr>
        <w:t>с</w:t>
      </w:r>
      <w:r w:rsidR="008A49BC" w:rsidRPr="001847F5">
        <w:rPr>
          <w:lang w:val="bg-BG"/>
        </w:rPr>
        <w:t xml:space="preserve">редства от </w:t>
      </w:r>
      <w:r w:rsidR="00677FFE" w:rsidRPr="001847F5">
        <w:rPr>
          <w:lang w:val="bg-BG"/>
        </w:rPr>
        <w:t xml:space="preserve">ЕЗФРСР </w:t>
      </w:r>
      <w:r w:rsidR="00B160CA" w:rsidRPr="001847F5">
        <w:rPr>
          <w:lang w:val="bg-BG"/>
        </w:rPr>
        <w:t>и</w:t>
      </w:r>
      <w:r w:rsidR="008A49BC" w:rsidRPr="001847F5">
        <w:rPr>
          <w:lang w:val="bg-BG"/>
        </w:rPr>
        <w:t xml:space="preserve"> пред</w:t>
      </w:r>
      <w:r w:rsidR="00FE7719" w:rsidRPr="001847F5">
        <w:rPr>
          <w:lang w:val="bg-BG"/>
        </w:rPr>
        <w:t>в</w:t>
      </w:r>
      <w:r w:rsidR="008A49BC" w:rsidRPr="001847F5">
        <w:rPr>
          <w:lang w:val="bg-BG"/>
        </w:rPr>
        <w:t xml:space="preserve">идено процентно национално </w:t>
      </w:r>
      <w:proofErr w:type="spellStart"/>
      <w:r w:rsidR="008A49BC" w:rsidRPr="001847F5">
        <w:rPr>
          <w:lang w:val="bg-BG"/>
        </w:rPr>
        <w:t>съфинансиране</w:t>
      </w:r>
      <w:proofErr w:type="spellEnd"/>
      <w:r w:rsidR="008A49BC" w:rsidRPr="001847F5">
        <w:rPr>
          <w:lang w:val="bg-BG"/>
        </w:rPr>
        <w:t xml:space="preserve">. </w:t>
      </w:r>
    </w:p>
    <w:p w:rsidR="00A11114" w:rsidRPr="001847F5" w:rsidRDefault="00A11114" w:rsidP="001847F5">
      <w:pPr>
        <w:pStyle w:val="title-doc-first"/>
        <w:ind w:firstLine="720"/>
        <w:rPr>
          <w:b/>
          <w:lang w:val="bg-BG"/>
        </w:rPr>
      </w:pPr>
      <w:r w:rsidRPr="001847F5">
        <w:rPr>
          <w:b/>
          <w:bCs/>
          <w:lang w:val="bg-BG"/>
        </w:rPr>
        <w:t xml:space="preserve">Д) </w:t>
      </w:r>
      <w:r w:rsidRPr="001847F5">
        <w:rPr>
          <w:b/>
          <w:lang w:val="bg-BG"/>
        </w:rPr>
        <w:t>Анализ за съответствие с правото на Европейския съюз</w:t>
      </w:r>
      <w:r w:rsidR="00CB715F" w:rsidRPr="001847F5">
        <w:rPr>
          <w:b/>
          <w:lang w:val="bg-BG"/>
        </w:rPr>
        <w:t>:</w:t>
      </w:r>
    </w:p>
    <w:p w:rsidR="002009D4" w:rsidRPr="001847F5" w:rsidRDefault="00A637C9" w:rsidP="001847F5">
      <w:pPr>
        <w:pStyle w:val="title-doc-first"/>
        <w:spacing w:before="0" w:beforeAutospacing="0" w:after="0" w:afterAutospacing="0" w:line="360" w:lineRule="auto"/>
        <w:ind w:firstLine="720"/>
        <w:jc w:val="both"/>
        <w:rPr>
          <w:lang w:val="bg-BG"/>
        </w:rPr>
      </w:pPr>
      <w:r w:rsidRPr="001847F5">
        <w:rPr>
          <w:lang w:val="bg-BG"/>
        </w:rPr>
        <w:t>В проекта на НИД на Наредба № 6 от 2015 г. се предвиждат изменения във връзка с изискванията на чл. 3</w:t>
      </w:r>
      <w:r w:rsidR="005B72EC" w:rsidRPr="001847F5">
        <w:rPr>
          <w:lang w:val="bg-BG"/>
        </w:rPr>
        <w:t>1, параграф 5</w:t>
      </w:r>
      <w:r w:rsidR="002009D4" w:rsidRPr="001847F5">
        <w:rPr>
          <w:lang w:val="bg-BG"/>
        </w:rPr>
        <w:t xml:space="preserve"> </w:t>
      </w:r>
      <w:r w:rsidRPr="001847F5">
        <w:rPr>
          <w:lang w:val="bg-BG"/>
        </w:rPr>
        <w:t xml:space="preserve">от </w:t>
      </w:r>
      <w:r w:rsidR="002009D4" w:rsidRPr="001847F5">
        <w:rPr>
          <w:lang w:val="bg-BG"/>
        </w:rPr>
        <w:t>Регламент (ЕС) № 1305/2013. В тази насока са измененията в § 4 и 5 от проекта на наредба.</w:t>
      </w:r>
      <w:r w:rsidR="005B72EC" w:rsidRPr="001847F5">
        <w:rPr>
          <w:lang w:val="bg-BG"/>
        </w:rPr>
        <w:t xml:space="preserve"> По такъв начин земеделските стопани, които са кандидати по </w:t>
      </w:r>
      <w:proofErr w:type="spellStart"/>
      <w:r w:rsidR="005B72EC" w:rsidRPr="001847F5">
        <w:rPr>
          <w:lang w:val="bg-BG"/>
        </w:rPr>
        <w:t>подмярка</w:t>
      </w:r>
      <w:proofErr w:type="spellEnd"/>
      <w:r w:rsidR="005B72EC" w:rsidRPr="001847F5">
        <w:rPr>
          <w:lang w:val="bg-BG"/>
        </w:rPr>
        <w:t xml:space="preserve"> 13.2 </w:t>
      </w:r>
      <w:r w:rsidR="004D3A6B" w:rsidRPr="001847F5">
        <w:rPr>
          <w:lang w:val="bg-BG"/>
        </w:rPr>
        <w:t>„Компенсационни плащания за други райони, засегнати от значителни природни ограничения“</w:t>
      </w:r>
      <w:r w:rsidR="005B72EC" w:rsidRPr="001847F5">
        <w:rPr>
          <w:lang w:val="bg-BG"/>
        </w:rPr>
        <w:t xml:space="preserve"> ще са наясно за сумата на компенса</w:t>
      </w:r>
      <w:r w:rsidR="004D3A6B" w:rsidRPr="001847F5">
        <w:rPr>
          <w:lang w:val="bg-BG"/>
        </w:rPr>
        <w:t>торното плащане, което ще получат през 2019 г. Отделно изрично се подчертава отново в съответствие с чл. 31, параграф 5, абзац втори от Регламент (ЕС) № 1305/2013</w:t>
      </w:r>
      <w:r w:rsidR="00CB715F" w:rsidRPr="001847F5">
        <w:rPr>
          <w:lang w:val="bg-BG"/>
        </w:rPr>
        <w:t xml:space="preserve"> </w:t>
      </w:r>
      <w:r w:rsidR="004D3A6B" w:rsidRPr="001847F5">
        <w:rPr>
          <w:lang w:val="bg-BG"/>
        </w:rPr>
        <w:t xml:space="preserve">през кампания 2019 земеделските стопани ще получат пълния размер на плащането си, когато приключи очертаването на границите. </w:t>
      </w:r>
      <w:r w:rsidR="00191D5F" w:rsidRPr="001847F5">
        <w:rPr>
          <w:lang w:val="bg-BG"/>
        </w:rPr>
        <w:t>По такъв начин може да се осъществи приема на заявления през кампания 2019 г. и да се спази европейското законодателство.</w:t>
      </w:r>
    </w:p>
    <w:p w:rsidR="00CB00A8" w:rsidRPr="001847F5" w:rsidRDefault="002009D4" w:rsidP="001847F5">
      <w:pPr>
        <w:pStyle w:val="title-doc-first"/>
        <w:spacing w:before="0" w:beforeAutospacing="0" w:after="0" w:afterAutospacing="0" w:line="360" w:lineRule="auto"/>
        <w:ind w:firstLine="720"/>
        <w:jc w:val="both"/>
        <w:rPr>
          <w:lang w:val="bg-BG"/>
        </w:rPr>
      </w:pPr>
      <w:r w:rsidRPr="001847F5">
        <w:rPr>
          <w:lang w:val="bg-BG"/>
        </w:rPr>
        <w:t xml:space="preserve">По отношение на изискването </w:t>
      </w:r>
      <w:r w:rsidR="000716BB" w:rsidRPr="001847F5">
        <w:rPr>
          <w:lang w:val="bg-BG"/>
        </w:rPr>
        <w:t xml:space="preserve">влезлите в сила през 2018 г. изменения в практиките, посочени в чл. 43 от Регламент (ЕС) № 1307/2013, се предприемат измененията с § 6, т. </w:t>
      </w:r>
      <w:r w:rsidR="003D17BF" w:rsidRPr="001847F5">
        <w:rPr>
          <w:lang w:val="bg-BG"/>
        </w:rPr>
        <w:t>4</w:t>
      </w:r>
      <w:r w:rsidR="000716BB" w:rsidRPr="001847F5">
        <w:rPr>
          <w:lang w:val="bg-BG"/>
        </w:rPr>
        <w:t xml:space="preserve"> от проекта на наредба</w:t>
      </w:r>
      <w:r w:rsidR="00191D5F" w:rsidRPr="001847F5">
        <w:rPr>
          <w:lang w:val="bg-BG"/>
        </w:rPr>
        <w:t xml:space="preserve">, като в случая се касае за </w:t>
      </w:r>
      <w:r w:rsidR="00191D5F" w:rsidRPr="001847F5">
        <w:rPr>
          <w:bCs/>
          <w:lang w:val="bg-BG"/>
        </w:rPr>
        <w:t>мярка 12 „Плащания по Натура 2000 и Рамковата директива за водите“</w:t>
      </w:r>
      <w:r w:rsidR="000716BB" w:rsidRPr="001847F5">
        <w:rPr>
          <w:lang w:val="bg-BG"/>
        </w:rPr>
        <w:t xml:space="preserve">. С тях, както и посочихме </w:t>
      </w:r>
      <w:r w:rsidR="000716BB" w:rsidRPr="001847F5">
        <w:rPr>
          <w:lang w:val="bg-BG"/>
        </w:rPr>
        <w:lastRenderedPageBreak/>
        <w:t>по – горе,</w:t>
      </w:r>
      <w:r w:rsidR="00823569" w:rsidRPr="001847F5">
        <w:rPr>
          <w:lang w:val="bg-BG"/>
        </w:rPr>
        <w:t xml:space="preserve"> се въвеждат резултати от</w:t>
      </w:r>
      <w:r w:rsidR="009577F4" w:rsidRPr="001847F5">
        <w:rPr>
          <w:lang w:val="bg-BG"/>
        </w:rPr>
        <w:t xml:space="preserve"> </w:t>
      </w:r>
      <w:r w:rsidR="000716BB" w:rsidRPr="001847F5">
        <w:rPr>
          <w:lang w:val="bg-BG"/>
        </w:rPr>
        <w:t xml:space="preserve">промените в прилагането на тези практики и се определя размер на фиксирана средна сума за избягване на двойно финансиране по отношение на всички заинтересовани </w:t>
      </w:r>
      <w:proofErr w:type="spellStart"/>
      <w:r w:rsidR="000716BB" w:rsidRPr="001847F5">
        <w:rPr>
          <w:lang w:val="bg-BG"/>
        </w:rPr>
        <w:t>бенефициери</w:t>
      </w:r>
      <w:proofErr w:type="spellEnd"/>
      <w:r w:rsidR="000716BB" w:rsidRPr="001847F5">
        <w:rPr>
          <w:lang w:val="bg-BG"/>
        </w:rPr>
        <w:t>, които извършват земеделска дейност върху обработваеми земи в защитени зони от екологична мрежа Натура 2000.</w:t>
      </w:r>
    </w:p>
    <w:p w:rsidR="000E5EA4" w:rsidRPr="001847F5" w:rsidRDefault="000E5EA4" w:rsidP="001847F5">
      <w:pPr>
        <w:pStyle w:val="title-doc-first"/>
        <w:spacing w:before="0" w:beforeAutospacing="0" w:after="0" w:afterAutospacing="0" w:line="360" w:lineRule="auto"/>
        <w:ind w:firstLine="720"/>
        <w:jc w:val="both"/>
        <w:rPr>
          <w:lang w:val="bg-BG"/>
        </w:rPr>
      </w:pPr>
      <w:r w:rsidRPr="001847F5">
        <w:rPr>
          <w:lang w:val="bg-BG"/>
        </w:rPr>
        <w:t xml:space="preserve">В съответствие с чл. 26, ал. 2 от Закона за нормативните актове в сградата на Министерство на земеделието, храните и горите е проведена обществена консултация </w:t>
      </w:r>
      <w:r w:rsidR="00067E80" w:rsidRPr="001847F5">
        <w:rPr>
          <w:lang w:val="bg-BG"/>
        </w:rPr>
        <w:t xml:space="preserve">на 11.01.2019 г. </w:t>
      </w:r>
      <w:r w:rsidRPr="001847F5">
        <w:rPr>
          <w:lang w:val="bg-BG"/>
        </w:rPr>
        <w:t xml:space="preserve">с гражданите и юридическите лица, включително браншовите организации и асоциации. </w:t>
      </w:r>
      <w:r w:rsidR="00067E80" w:rsidRPr="001847F5">
        <w:rPr>
          <w:lang w:val="bg-BG"/>
        </w:rPr>
        <w:t xml:space="preserve">Във връзка с проведената среща предварително са изпратени предложените изменения и допълнения по прилагане на цитираните мерки на заинтересовани лица, присъствали на проведената среща. По предложените текстове не са постъпили бележки и предложения. </w:t>
      </w:r>
    </w:p>
    <w:p w:rsidR="000E5EA4" w:rsidRPr="001847F5" w:rsidRDefault="000E5EA4" w:rsidP="001847F5">
      <w:pPr>
        <w:pStyle w:val="title-doc-first"/>
        <w:spacing w:before="0" w:beforeAutospacing="0" w:after="0" w:afterAutospacing="0" w:line="360" w:lineRule="auto"/>
        <w:ind w:firstLine="720"/>
        <w:jc w:val="both"/>
        <w:rPr>
          <w:lang w:val="bg-BG"/>
        </w:rPr>
      </w:pPr>
      <w:r w:rsidRPr="001847F5">
        <w:rPr>
          <w:lang w:val="bg-BG"/>
        </w:rPr>
        <w:t>Не е изготвена таблица за съответствие с правото на Европейския съюз в съответствие с образеца, съгласно приложение № 2 към чл. 3, ал. 4, т. 1 от Постановление № 85 на Министерския съвет от 2007 г. за координация по въпросите на Европейския съюз (ДВ, бр. 35 от 2007 г.), тъй като с проекта на наредба не се транспонира директива.</w:t>
      </w:r>
    </w:p>
    <w:p w:rsidR="000E5EA4" w:rsidRPr="001847F5" w:rsidRDefault="000E5EA4" w:rsidP="001847F5">
      <w:pPr>
        <w:pStyle w:val="title-doc-first"/>
        <w:spacing w:before="0" w:beforeAutospacing="0" w:after="0" w:afterAutospacing="0" w:line="360" w:lineRule="auto"/>
        <w:ind w:firstLine="720"/>
        <w:jc w:val="both"/>
        <w:rPr>
          <w:lang w:val="bg-BG"/>
        </w:rPr>
      </w:pPr>
      <w:r w:rsidRPr="001847F5">
        <w:rPr>
          <w:lang w:val="bg-BG"/>
        </w:rPr>
        <w:t>Проектът на наредб</w:t>
      </w:r>
      <w:r w:rsidR="001B7534" w:rsidRPr="001847F5">
        <w:rPr>
          <w:lang w:val="bg-BG"/>
        </w:rPr>
        <w:t>и</w:t>
      </w:r>
      <w:r w:rsidRPr="001847F5">
        <w:rPr>
          <w:lang w:val="bg-BG"/>
        </w:rPr>
        <w:t xml:space="preserve">, ведно с проекта на настоящия доклад, са публикувани на електронната страница на Портала за обществени консултации и електронната страница на Министерство на земеделието, храните и горите за провеждане на обществени консултации за срок от 30 дни, съгласно  разпоредбата на чл. 26, ал. </w:t>
      </w:r>
      <w:r w:rsidR="00067E80" w:rsidRPr="001847F5">
        <w:rPr>
          <w:lang w:val="bg-BG"/>
        </w:rPr>
        <w:t xml:space="preserve">3 и </w:t>
      </w:r>
      <w:r w:rsidRPr="001847F5">
        <w:rPr>
          <w:lang w:val="bg-BG"/>
        </w:rPr>
        <w:t xml:space="preserve">4 от Закона за нормативните актове. </w:t>
      </w:r>
    </w:p>
    <w:p w:rsidR="000E5EA4" w:rsidRPr="001847F5" w:rsidRDefault="000E5EA4" w:rsidP="001847F5">
      <w:pPr>
        <w:pStyle w:val="title-doc-first"/>
        <w:spacing w:before="0" w:beforeAutospacing="0" w:after="0" w:afterAutospacing="0" w:line="360" w:lineRule="auto"/>
        <w:ind w:firstLine="720"/>
        <w:jc w:val="both"/>
        <w:rPr>
          <w:lang w:val="bg-BG"/>
        </w:rPr>
      </w:pPr>
      <w:r w:rsidRPr="001847F5">
        <w:rPr>
          <w:lang w:val="bg-BG"/>
        </w:rPr>
        <w:t xml:space="preserve">Справката за отразяване на постъпилите предложения от обществените консултации заедно с обосновката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 </w:t>
      </w:r>
    </w:p>
    <w:p w:rsidR="002B3567" w:rsidRPr="001847F5" w:rsidRDefault="000E5EA4" w:rsidP="001847F5">
      <w:pPr>
        <w:pStyle w:val="title-doc-first"/>
        <w:spacing w:before="0" w:beforeAutospacing="0" w:after="0" w:afterAutospacing="0" w:line="360" w:lineRule="auto"/>
        <w:ind w:firstLine="720"/>
        <w:jc w:val="both"/>
        <w:rPr>
          <w:color w:val="FF0000"/>
          <w:lang w:val="bg-BG"/>
        </w:rPr>
      </w:pPr>
      <w:r w:rsidRPr="001847F5">
        <w:rPr>
          <w:lang w:val="bg-BG"/>
        </w:rPr>
        <w:t>Проектът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горите, утвърдени със Заповед № РД 09 – 851 от 30 октомври 2017 г. на министъра на земеделието, храните и горите. Направените бележки и предложения по отношение на наредбата са отразени в представения проект и в приложената справка за отразяване на постъпилите становища.</w:t>
      </w:r>
    </w:p>
    <w:p w:rsidR="001847F5" w:rsidRDefault="001847F5" w:rsidP="00F40210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8E6E8E" w:rsidRDefault="008E6E8E" w:rsidP="001847F5">
      <w:pPr>
        <w:spacing w:after="12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847F5">
        <w:rPr>
          <w:rFonts w:ascii="Times New Roman" w:hAnsi="Times New Roman"/>
          <w:b/>
          <w:bCs/>
          <w:sz w:val="24"/>
          <w:szCs w:val="24"/>
          <w:lang w:val="bg-BG"/>
        </w:rPr>
        <w:t>УВАЖАЕМ</w:t>
      </w:r>
      <w:r w:rsidR="002360F3" w:rsidRPr="001847F5">
        <w:rPr>
          <w:rFonts w:ascii="Times New Roman" w:hAnsi="Times New Roman"/>
          <w:b/>
          <w:bCs/>
          <w:sz w:val="24"/>
          <w:szCs w:val="24"/>
          <w:lang w:val="bg-BG"/>
        </w:rPr>
        <w:t>И</w:t>
      </w:r>
      <w:r w:rsidRPr="001847F5">
        <w:rPr>
          <w:rFonts w:ascii="Times New Roman" w:hAnsi="Times New Roman"/>
          <w:b/>
          <w:bCs/>
          <w:sz w:val="24"/>
          <w:szCs w:val="24"/>
          <w:lang w:val="bg-BG"/>
        </w:rPr>
        <w:t xml:space="preserve"> ГОСПО</w:t>
      </w:r>
      <w:r w:rsidR="002360F3" w:rsidRPr="001847F5">
        <w:rPr>
          <w:rFonts w:ascii="Times New Roman" w:hAnsi="Times New Roman"/>
          <w:b/>
          <w:bCs/>
          <w:sz w:val="24"/>
          <w:szCs w:val="24"/>
          <w:lang w:val="bg-BG"/>
        </w:rPr>
        <w:t>ДИН</w:t>
      </w:r>
      <w:r w:rsidRPr="001847F5">
        <w:rPr>
          <w:rFonts w:ascii="Times New Roman" w:hAnsi="Times New Roman"/>
          <w:b/>
          <w:bCs/>
          <w:sz w:val="24"/>
          <w:szCs w:val="24"/>
          <w:lang w:val="bg-BG"/>
        </w:rPr>
        <w:t xml:space="preserve"> МИНИСТЪР, </w:t>
      </w:r>
    </w:p>
    <w:p w:rsidR="000E5EA4" w:rsidRPr="001847F5" w:rsidRDefault="00CC2A65" w:rsidP="000C5A06">
      <w:pPr>
        <w:spacing w:after="12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847F5">
        <w:rPr>
          <w:rFonts w:ascii="Times New Roman" w:hAnsi="Times New Roman"/>
          <w:sz w:val="24"/>
          <w:szCs w:val="24"/>
          <w:lang w:val="bg-BG"/>
        </w:rPr>
        <w:t>Във връзка с гореизложеното и на основание Закона за подпомагане на земеделските производители</w:t>
      </w:r>
      <w:r w:rsidR="000E5EA4" w:rsidRPr="001847F5">
        <w:rPr>
          <w:rFonts w:ascii="Times New Roman" w:hAnsi="Times New Roman"/>
          <w:sz w:val="24"/>
          <w:szCs w:val="24"/>
          <w:lang w:val="bg-BG"/>
        </w:rPr>
        <w:t xml:space="preserve"> внасям за одобрение проект на </w:t>
      </w:r>
      <w:r w:rsidR="00067E80" w:rsidRPr="001847F5">
        <w:rPr>
          <w:rFonts w:ascii="Times New Roman" w:hAnsi="Times New Roman"/>
          <w:sz w:val="24"/>
          <w:szCs w:val="24"/>
          <w:lang w:val="bg-BG"/>
        </w:rPr>
        <w:t xml:space="preserve">Наредба за изменение и </w:t>
      </w:r>
      <w:r w:rsidR="00067E80" w:rsidRPr="001847F5">
        <w:rPr>
          <w:rFonts w:ascii="Times New Roman" w:hAnsi="Times New Roman"/>
          <w:sz w:val="24"/>
          <w:szCs w:val="24"/>
          <w:lang w:val="bg-BG"/>
        </w:rPr>
        <w:lastRenderedPageBreak/>
        <w:t>допълнение на Наредба № 6 от 2015 г. за прилагане на мярка 13 „Плащания за райони с природни или други специфични ограничения“ от Програмата за развитие на селските райони за периода 2014 - 2020 г.</w:t>
      </w: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1847F5" w:rsidRPr="001847F5" w:rsidTr="001847F5">
        <w:tc>
          <w:tcPr>
            <w:tcW w:w="1781" w:type="dxa"/>
          </w:tcPr>
          <w:p w:rsidR="001847F5" w:rsidRPr="001847F5" w:rsidRDefault="001847F5" w:rsidP="001847F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1847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>Приложениe</w:t>
            </w:r>
            <w:proofErr w:type="spellEnd"/>
            <w:r w:rsidRPr="001847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g-BG"/>
              </w:rPr>
              <w:t xml:space="preserve">: </w:t>
            </w:r>
          </w:p>
        </w:tc>
        <w:tc>
          <w:tcPr>
            <w:tcW w:w="6731" w:type="dxa"/>
          </w:tcPr>
          <w:p w:rsidR="001847F5" w:rsidRPr="001847F5" w:rsidRDefault="001847F5" w:rsidP="000C5A06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417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eastAsia="bg-BG"/>
              </w:rPr>
              <w:t>Проект на Наредба;</w:t>
            </w:r>
          </w:p>
          <w:p w:rsidR="001847F5" w:rsidRPr="001847F5" w:rsidRDefault="001847F5" w:rsidP="000C5A06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417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1847F5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Справка за отразяване на постъпилите становища;</w:t>
            </w:r>
          </w:p>
          <w:p w:rsidR="001847F5" w:rsidRPr="001847F5" w:rsidRDefault="001847F5" w:rsidP="000C5A06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417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1847F5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Справка за проведената обществена консултация;</w:t>
            </w:r>
          </w:p>
          <w:p w:rsidR="001847F5" w:rsidRPr="001847F5" w:rsidRDefault="001847F5" w:rsidP="000C5A06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ind w:left="417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1847F5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Постъпили становища.</w:t>
            </w:r>
          </w:p>
        </w:tc>
      </w:tr>
    </w:tbl>
    <w:p w:rsidR="001847F5" w:rsidRDefault="001847F5" w:rsidP="00BE3356">
      <w:pPr>
        <w:jc w:val="both"/>
        <w:rPr>
          <w:rFonts w:ascii="Times New Roman" w:hAnsi="Times New Roman"/>
          <w:b/>
          <w:lang w:val="bg-BG"/>
        </w:rPr>
      </w:pPr>
    </w:p>
    <w:p w:rsidR="001847F5" w:rsidRDefault="001847F5" w:rsidP="00BE3356">
      <w:pPr>
        <w:jc w:val="both"/>
        <w:rPr>
          <w:rFonts w:ascii="Times New Roman" w:hAnsi="Times New Roman"/>
          <w:b/>
          <w:lang w:val="bg-BG"/>
        </w:rPr>
      </w:pPr>
    </w:p>
    <w:p w:rsidR="000F2387" w:rsidRDefault="000F2387" w:rsidP="00884ACB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С уважение,</w:t>
      </w:r>
    </w:p>
    <w:p w:rsidR="000F2387" w:rsidRDefault="000F2387" w:rsidP="00884ACB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Д-р Лозана Василева</w:t>
      </w:r>
    </w:p>
    <w:p w:rsidR="000F2387" w:rsidRPr="000F2387" w:rsidRDefault="000F2387" w:rsidP="000F2387">
      <w:pPr>
        <w:spacing w:line="36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i/>
          <w:iCs/>
          <w:sz w:val="24"/>
          <w:szCs w:val="24"/>
          <w:lang w:val="bg-BG"/>
        </w:rPr>
        <w:t>Заместник-министър на земеделието, храните и горите</w:t>
      </w:r>
    </w:p>
    <w:p w:rsidR="000F2387" w:rsidRPr="000F2387" w:rsidRDefault="000F2387" w:rsidP="000F2387">
      <w:pPr>
        <w:overflowPunct w:val="0"/>
        <w:autoSpaceDE w:val="0"/>
        <w:autoSpaceDN w:val="0"/>
        <w:textAlignment w:val="baseline"/>
        <w:rPr>
          <w:rFonts w:ascii="Times New Roman" w:hAnsi="Times New Roman"/>
          <w:smallCaps/>
          <w:sz w:val="20"/>
          <w:szCs w:val="20"/>
          <w:lang w:val="ru-RU"/>
        </w:rPr>
      </w:pPr>
    </w:p>
    <w:p w:rsidR="00621B97" w:rsidRDefault="00621B97" w:rsidP="00F40210">
      <w:pPr>
        <w:jc w:val="both"/>
        <w:rPr>
          <w:rFonts w:ascii="Times New Roman" w:hAnsi="Times New Roman"/>
          <w:smallCaps/>
          <w:sz w:val="16"/>
          <w:szCs w:val="16"/>
        </w:rPr>
      </w:pPr>
    </w:p>
    <w:p w:rsidR="00621B97" w:rsidRDefault="00621B97" w:rsidP="00F40210">
      <w:pPr>
        <w:jc w:val="both"/>
        <w:rPr>
          <w:rFonts w:ascii="Times New Roman" w:hAnsi="Times New Roman"/>
          <w:smallCaps/>
          <w:sz w:val="16"/>
          <w:szCs w:val="16"/>
        </w:rPr>
      </w:pPr>
    </w:p>
    <w:p w:rsidR="00621B97" w:rsidRDefault="00621B97" w:rsidP="00F40210">
      <w:pPr>
        <w:jc w:val="both"/>
        <w:rPr>
          <w:rFonts w:ascii="Times New Roman" w:hAnsi="Times New Roman"/>
          <w:smallCaps/>
          <w:sz w:val="16"/>
          <w:szCs w:val="16"/>
        </w:rPr>
      </w:pPr>
    </w:p>
    <w:p w:rsidR="00423714" w:rsidRPr="000F2387" w:rsidRDefault="000F2387" w:rsidP="00F40210">
      <w:pPr>
        <w:jc w:val="both"/>
        <w:rPr>
          <w:rFonts w:ascii="Times New Roman" w:hAnsi="Times New Roman"/>
          <w:sz w:val="16"/>
          <w:szCs w:val="16"/>
          <w:lang w:val="bg-BG"/>
        </w:rPr>
      </w:pPr>
      <w:bookmarkStart w:id="0" w:name="_GoBack"/>
      <w:bookmarkEnd w:id="0"/>
      <w:r w:rsidRPr="000F2387">
        <w:rPr>
          <w:rFonts w:ascii="Times New Roman" w:hAnsi="Times New Roman"/>
          <w:sz w:val="16"/>
          <w:szCs w:val="16"/>
          <w:lang w:val="bg-BG"/>
        </w:rPr>
        <w:t>МХ/РСР</w:t>
      </w:r>
    </w:p>
    <w:sectPr w:rsidR="00423714" w:rsidRPr="000F2387" w:rsidSect="00884ACB">
      <w:footerReference w:type="even" r:id="rId12"/>
      <w:footerReference w:type="default" r:id="rId13"/>
      <w:headerReference w:type="first" r:id="rId14"/>
      <w:pgSz w:w="11907" w:h="16840" w:code="9"/>
      <w:pgMar w:top="1134" w:right="1134" w:bottom="993" w:left="170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21" w:rsidRDefault="00410221">
      <w:pPr>
        <w:spacing w:after="0" w:line="240" w:lineRule="auto"/>
      </w:pPr>
      <w:r>
        <w:separator/>
      </w:r>
    </w:p>
  </w:endnote>
  <w:endnote w:type="continuationSeparator" w:id="0">
    <w:p w:rsidR="00410221" w:rsidRDefault="0041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76" w:rsidRDefault="00D86976" w:rsidP="00D869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6976" w:rsidRDefault="00D86976" w:rsidP="00D8697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76" w:rsidRDefault="00D86976" w:rsidP="00D869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1B97">
      <w:rPr>
        <w:rStyle w:val="PageNumber"/>
        <w:noProof/>
      </w:rPr>
      <w:t>8</w:t>
    </w:r>
    <w:r>
      <w:rPr>
        <w:rStyle w:val="PageNumber"/>
      </w:rPr>
      <w:fldChar w:fldCharType="end"/>
    </w:r>
  </w:p>
  <w:p w:rsidR="00D86976" w:rsidRPr="00E0514A" w:rsidRDefault="00D86976" w:rsidP="002F25E0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21" w:rsidRDefault="00410221">
      <w:pPr>
        <w:spacing w:after="0" w:line="240" w:lineRule="auto"/>
      </w:pPr>
      <w:r>
        <w:separator/>
      </w:r>
    </w:p>
  </w:footnote>
  <w:footnote w:type="continuationSeparator" w:id="0">
    <w:p w:rsidR="00410221" w:rsidRDefault="0041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76" w:rsidRDefault="00E22CAF" w:rsidP="00D86976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195C77E" wp14:editId="3A12D9BB">
          <wp:simplePos x="0" y="0"/>
          <wp:positionH relativeFrom="column">
            <wp:posOffset>2205355</wp:posOffset>
          </wp:positionH>
          <wp:positionV relativeFrom="paragraph">
            <wp:posOffset>-173355</wp:posOffset>
          </wp:positionV>
          <wp:extent cx="1343025" cy="1333500"/>
          <wp:effectExtent l="0" t="0" r="9525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6976" w:rsidRDefault="00D86976" w:rsidP="00D86976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  <w:r>
      <w:rPr>
        <w:rFonts w:ascii="Platinum Bg" w:hAnsi="Platinum Bg"/>
        <w:spacing w:val="40"/>
        <w:sz w:val="40"/>
        <w:szCs w:val="40"/>
      </w:rPr>
      <w:tab/>
    </w:r>
  </w:p>
  <w:p w:rsidR="00D86976" w:rsidRDefault="00D86976" w:rsidP="00D86976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</w:p>
  <w:p w:rsidR="00D86976" w:rsidRDefault="00D86976" w:rsidP="00D86976">
    <w:pPr>
      <w:pStyle w:val="Heading1"/>
      <w:framePr w:w="0" w:hRule="auto" w:wrap="auto" w:vAnchor="margin" w:hAnchor="text" w:xAlign="left" w:yAlign="inline"/>
      <w:spacing w:line="240" w:lineRule="auto"/>
      <w:rPr>
        <w:rFonts w:ascii="Platinum Bg" w:hAnsi="Platinum Bg"/>
        <w:b w:val="0"/>
        <w:spacing w:val="40"/>
        <w:sz w:val="36"/>
        <w:szCs w:val="36"/>
      </w:rPr>
    </w:pPr>
  </w:p>
  <w:p w:rsidR="00F359B1" w:rsidRPr="00F359B1" w:rsidRDefault="00F359B1" w:rsidP="00F359B1">
    <w:pPr>
      <w:rPr>
        <w:lang w:val="bg-BG" w:eastAsia="bg-BG"/>
      </w:rPr>
    </w:pPr>
  </w:p>
  <w:p w:rsidR="00D86976" w:rsidRPr="000558A7" w:rsidRDefault="00D86976" w:rsidP="00D86976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D86976" w:rsidRPr="005B4489" w:rsidRDefault="00D86976" w:rsidP="00D86976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>
      <w:rPr>
        <w:rFonts w:ascii="Platinum Bg" w:hAnsi="Platinum Bg"/>
        <w:b w:val="0"/>
        <w:spacing w:val="40"/>
        <w:sz w:val="32"/>
        <w:szCs w:val="32"/>
      </w:rPr>
      <w:t>Заместник-м</w:t>
    </w:r>
    <w:r w:rsidRPr="005B4489">
      <w:rPr>
        <w:rFonts w:ascii="Platinum Bg" w:hAnsi="Platinum Bg"/>
        <w:b w:val="0"/>
        <w:spacing w:val="40"/>
        <w:sz w:val="32"/>
        <w:szCs w:val="32"/>
      </w:rPr>
      <w:t xml:space="preserve">инистър на </w:t>
    </w:r>
    <w:r w:rsidR="003D1C0E">
      <w:rPr>
        <w:rFonts w:ascii="Platinum Bg" w:hAnsi="Platinum Bg"/>
        <w:b w:val="0"/>
        <w:spacing w:val="40"/>
        <w:sz w:val="32"/>
        <w:szCs w:val="32"/>
      </w:rPr>
      <w:t xml:space="preserve">земеделието, </w:t>
    </w:r>
    <w:r>
      <w:rPr>
        <w:rFonts w:ascii="Platinum Bg" w:hAnsi="Platinum Bg"/>
        <w:b w:val="0"/>
        <w:spacing w:val="40"/>
        <w:sz w:val="32"/>
        <w:szCs w:val="32"/>
      </w:rPr>
      <w:t>храните</w:t>
    </w:r>
    <w:r w:rsidR="00E22CAF">
      <w:rPr>
        <w:noProof/>
        <w:sz w:val="32"/>
        <w:szCs w:val="32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037B42D" wp14:editId="7407E2A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3D1C0E">
      <w:rPr>
        <w:rFonts w:ascii="Platinum Bg" w:hAnsi="Platinum Bg"/>
        <w:b w:val="0"/>
        <w:spacing w:val="40"/>
        <w:sz w:val="32"/>
        <w:szCs w:val="32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E85"/>
    <w:multiLevelType w:val="hybridMultilevel"/>
    <w:tmpl w:val="7950943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">
    <w:nsid w:val="1847145A"/>
    <w:multiLevelType w:val="hybridMultilevel"/>
    <w:tmpl w:val="FED82E1E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80927C7"/>
    <w:multiLevelType w:val="hybridMultilevel"/>
    <w:tmpl w:val="15629756"/>
    <w:lvl w:ilvl="0" w:tplc="614CF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F319AF"/>
    <w:multiLevelType w:val="hybridMultilevel"/>
    <w:tmpl w:val="10B66936"/>
    <w:lvl w:ilvl="0" w:tplc="670A43E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A4F51"/>
    <w:multiLevelType w:val="hybridMultilevel"/>
    <w:tmpl w:val="560CA1A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041605"/>
    <w:multiLevelType w:val="hybridMultilevel"/>
    <w:tmpl w:val="0736F99C"/>
    <w:lvl w:ilvl="0" w:tplc="1D6E87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203FD"/>
    <w:multiLevelType w:val="multilevel"/>
    <w:tmpl w:val="3BCC6086"/>
    <w:lvl w:ilvl="0">
      <w:start w:val="1"/>
      <w:numFmt w:val="decimal"/>
      <w:suff w:val="space"/>
      <w:lvlText w:val="%1."/>
      <w:lvlJc w:val="right"/>
      <w:pPr>
        <w:ind w:left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7">
    <w:nsid w:val="54F87513"/>
    <w:multiLevelType w:val="hybridMultilevel"/>
    <w:tmpl w:val="4EE64C0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6C5070"/>
    <w:multiLevelType w:val="hybridMultilevel"/>
    <w:tmpl w:val="CB9E28A6"/>
    <w:lvl w:ilvl="0" w:tplc="10C47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223063B"/>
    <w:multiLevelType w:val="hybridMultilevel"/>
    <w:tmpl w:val="7223063B"/>
    <w:lvl w:ilvl="0" w:tplc="CAA000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C3C6D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1C29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F02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F28A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94B9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0ECA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FA19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DECB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74A64454"/>
    <w:multiLevelType w:val="hybridMultilevel"/>
    <w:tmpl w:val="2B802BDE"/>
    <w:lvl w:ilvl="0" w:tplc="0409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9F"/>
    <w:rsid w:val="00000901"/>
    <w:rsid w:val="00012E47"/>
    <w:rsid w:val="0002009F"/>
    <w:rsid w:val="00022362"/>
    <w:rsid w:val="00033FD2"/>
    <w:rsid w:val="0005280F"/>
    <w:rsid w:val="0005533D"/>
    <w:rsid w:val="00062902"/>
    <w:rsid w:val="00065A65"/>
    <w:rsid w:val="00067E80"/>
    <w:rsid w:val="000716BB"/>
    <w:rsid w:val="00077FB0"/>
    <w:rsid w:val="00080573"/>
    <w:rsid w:val="00080B66"/>
    <w:rsid w:val="000823D4"/>
    <w:rsid w:val="00083EE6"/>
    <w:rsid w:val="0009270C"/>
    <w:rsid w:val="000941A2"/>
    <w:rsid w:val="00096838"/>
    <w:rsid w:val="000B2116"/>
    <w:rsid w:val="000B6309"/>
    <w:rsid w:val="000C0787"/>
    <w:rsid w:val="000C30AB"/>
    <w:rsid w:val="000C5A06"/>
    <w:rsid w:val="000D3163"/>
    <w:rsid w:val="000D3E3D"/>
    <w:rsid w:val="000D47AA"/>
    <w:rsid w:val="000D796E"/>
    <w:rsid w:val="000E10C1"/>
    <w:rsid w:val="000E5EA4"/>
    <w:rsid w:val="000F2387"/>
    <w:rsid w:val="000F530E"/>
    <w:rsid w:val="000F7A44"/>
    <w:rsid w:val="001006D4"/>
    <w:rsid w:val="00101669"/>
    <w:rsid w:val="00104511"/>
    <w:rsid w:val="00105A69"/>
    <w:rsid w:val="00110DB5"/>
    <w:rsid w:val="00110E4B"/>
    <w:rsid w:val="00112863"/>
    <w:rsid w:val="00127B3B"/>
    <w:rsid w:val="00141B86"/>
    <w:rsid w:val="00143FD9"/>
    <w:rsid w:val="00150E2F"/>
    <w:rsid w:val="0015421F"/>
    <w:rsid w:val="001609BD"/>
    <w:rsid w:val="00175A8F"/>
    <w:rsid w:val="0018254C"/>
    <w:rsid w:val="00182F50"/>
    <w:rsid w:val="0018348B"/>
    <w:rsid w:val="001847F5"/>
    <w:rsid w:val="00191D5F"/>
    <w:rsid w:val="001978EF"/>
    <w:rsid w:val="001A0138"/>
    <w:rsid w:val="001A1944"/>
    <w:rsid w:val="001A4C8D"/>
    <w:rsid w:val="001A4C93"/>
    <w:rsid w:val="001B7534"/>
    <w:rsid w:val="001C31ED"/>
    <w:rsid w:val="001C6C00"/>
    <w:rsid w:val="001D3071"/>
    <w:rsid w:val="001D3CE6"/>
    <w:rsid w:val="001D3D79"/>
    <w:rsid w:val="001E0465"/>
    <w:rsid w:val="001E3ED4"/>
    <w:rsid w:val="002009D4"/>
    <w:rsid w:val="00203F75"/>
    <w:rsid w:val="00207492"/>
    <w:rsid w:val="002255A1"/>
    <w:rsid w:val="002360F3"/>
    <w:rsid w:val="002371DF"/>
    <w:rsid w:val="00243D8D"/>
    <w:rsid w:val="00244118"/>
    <w:rsid w:val="00244709"/>
    <w:rsid w:val="00244B08"/>
    <w:rsid w:val="002505A6"/>
    <w:rsid w:val="00252324"/>
    <w:rsid w:val="00254480"/>
    <w:rsid w:val="00254AAD"/>
    <w:rsid w:val="00254D49"/>
    <w:rsid w:val="00263793"/>
    <w:rsid w:val="002721DB"/>
    <w:rsid w:val="002739DD"/>
    <w:rsid w:val="00274303"/>
    <w:rsid w:val="0027609C"/>
    <w:rsid w:val="00281111"/>
    <w:rsid w:val="00293C71"/>
    <w:rsid w:val="00294C3D"/>
    <w:rsid w:val="002A64C6"/>
    <w:rsid w:val="002B3567"/>
    <w:rsid w:val="002B6C26"/>
    <w:rsid w:val="002D6F17"/>
    <w:rsid w:val="002D7152"/>
    <w:rsid w:val="002E0C49"/>
    <w:rsid w:val="002E76CE"/>
    <w:rsid w:val="002F14B1"/>
    <w:rsid w:val="002F25E0"/>
    <w:rsid w:val="002F329F"/>
    <w:rsid w:val="002F495D"/>
    <w:rsid w:val="00310518"/>
    <w:rsid w:val="00311E0E"/>
    <w:rsid w:val="003216FC"/>
    <w:rsid w:val="003220A5"/>
    <w:rsid w:val="0034486E"/>
    <w:rsid w:val="00344A30"/>
    <w:rsid w:val="003528BF"/>
    <w:rsid w:val="00357463"/>
    <w:rsid w:val="00367850"/>
    <w:rsid w:val="00370B6A"/>
    <w:rsid w:val="00376361"/>
    <w:rsid w:val="00380610"/>
    <w:rsid w:val="00380E89"/>
    <w:rsid w:val="003853B7"/>
    <w:rsid w:val="00386D25"/>
    <w:rsid w:val="00391884"/>
    <w:rsid w:val="00391E09"/>
    <w:rsid w:val="00396EC2"/>
    <w:rsid w:val="003A4DD7"/>
    <w:rsid w:val="003A5552"/>
    <w:rsid w:val="003A6D37"/>
    <w:rsid w:val="003A7111"/>
    <w:rsid w:val="003C1CBD"/>
    <w:rsid w:val="003D17BF"/>
    <w:rsid w:val="003D1C0E"/>
    <w:rsid w:val="003D6BA8"/>
    <w:rsid w:val="003E7799"/>
    <w:rsid w:val="003F250E"/>
    <w:rsid w:val="00403B9F"/>
    <w:rsid w:val="00406149"/>
    <w:rsid w:val="00407FBF"/>
    <w:rsid w:val="00410221"/>
    <w:rsid w:val="00420FB2"/>
    <w:rsid w:val="00423714"/>
    <w:rsid w:val="00435806"/>
    <w:rsid w:val="0044460E"/>
    <w:rsid w:val="00445D85"/>
    <w:rsid w:val="0045301E"/>
    <w:rsid w:val="00455923"/>
    <w:rsid w:val="0046716C"/>
    <w:rsid w:val="00467548"/>
    <w:rsid w:val="004709F4"/>
    <w:rsid w:val="004718A9"/>
    <w:rsid w:val="00472D30"/>
    <w:rsid w:val="00475EAF"/>
    <w:rsid w:val="0047612F"/>
    <w:rsid w:val="00487965"/>
    <w:rsid w:val="0049115D"/>
    <w:rsid w:val="00495E0B"/>
    <w:rsid w:val="00497F9E"/>
    <w:rsid w:val="004A0E0B"/>
    <w:rsid w:val="004A2E74"/>
    <w:rsid w:val="004A3CEC"/>
    <w:rsid w:val="004A4DA5"/>
    <w:rsid w:val="004B4442"/>
    <w:rsid w:val="004B7463"/>
    <w:rsid w:val="004D3A6B"/>
    <w:rsid w:val="004E44AB"/>
    <w:rsid w:val="004F2BBF"/>
    <w:rsid w:val="004F5FBB"/>
    <w:rsid w:val="00500C0A"/>
    <w:rsid w:val="00504340"/>
    <w:rsid w:val="005049F6"/>
    <w:rsid w:val="0051263C"/>
    <w:rsid w:val="005139A0"/>
    <w:rsid w:val="00514E69"/>
    <w:rsid w:val="00517014"/>
    <w:rsid w:val="005240DB"/>
    <w:rsid w:val="005277AB"/>
    <w:rsid w:val="00530682"/>
    <w:rsid w:val="0053286E"/>
    <w:rsid w:val="00536B44"/>
    <w:rsid w:val="00543661"/>
    <w:rsid w:val="00546EF6"/>
    <w:rsid w:val="00547804"/>
    <w:rsid w:val="00550C84"/>
    <w:rsid w:val="00551963"/>
    <w:rsid w:val="00557B3C"/>
    <w:rsid w:val="00562A3C"/>
    <w:rsid w:val="00565C5F"/>
    <w:rsid w:val="00570611"/>
    <w:rsid w:val="00570DA9"/>
    <w:rsid w:val="00580CDC"/>
    <w:rsid w:val="005849AE"/>
    <w:rsid w:val="005A5AFD"/>
    <w:rsid w:val="005B51CF"/>
    <w:rsid w:val="005B6AB4"/>
    <w:rsid w:val="005B72EC"/>
    <w:rsid w:val="005C0535"/>
    <w:rsid w:val="005C1902"/>
    <w:rsid w:val="005C28FB"/>
    <w:rsid w:val="005C6446"/>
    <w:rsid w:val="005D0FB4"/>
    <w:rsid w:val="005D186E"/>
    <w:rsid w:val="005D1A9D"/>
    <w:rsid w:val="005D283F"/>
    <w:rsid w:val="005D314C"/>
    <w:rsid w:val="005E5D6A"/>
    <w:rsid w:val="005E7647"/>
    <w:rsid w:val="005E7CA1"/>
    <w:rsid w:val="005F27A0"/>
    <w:rsid w:val="005F71F4"/>
    <w:rsid w:val="00601737"/>
    <w:rsid w:val="00602F4B"/>
    <w:rsid w:val="006036D9"/>
    <w:rsid w:val="00611135"/>
    <w:rsid w:val="00620378"/>
    <w:rsid w:val="00621B97"/>
    <w:rsid w:val="00623A8F"/>
    <w:rsid w:val="0062580B"/>
    <w:rsid w:val="006308A0"/>
    <w:rsid w:val="0064474D"/>
    <w:rsid w:val="00644B3D"/>
    <w:rsid w:val="00650B61"/>
    <w:rsid w:val="00662A15"/>
    <w:rsid w:val="00664A2F"/>
    <w:rsid w:val="0066504F"/>
    <w:rsid w:val="00665490"/>
    <w:rsid w:val="00677FFE"/>
    <w:rsid w:val="006819C6"/>
    <w:rsid w:val="00683D08"/>
    <w:rsid w:val="00687BDC"/>
    <w:rsid w:val="00690A25"/>
    <w:rsid w:val="00694833"/>
    <w:rsid w:val="00697715"/>
    <w:rsid w:val="006A4F42"/>
    <w:rsid w:val="006A7FF2"/>
    <w:rsid w:val="006B0BEA"/>
    <w:rsid w:val="006B109B"/>
    <w:rsid w:val="006B2179"/>
    <w:rsid w:val="006B2FDC"/>
    <w:rsid w:val="006D051E"/>
    <w:rsid w:val="006D4C96"/>
    <w:rsid w:val="006D5A8C"/>
    <w:rsid w:val="006D5B83"/>
    <w:rsid w:val="006E0CAD"/>
    <w:rsid w:val="006E17C2"/>
    <w:rsid w:val="006E7AC6"/>
    <w:rsid w:val="006F2BB6"/>
    <w:rsid w:val="006F2D53"/>
    <w:rsid w:val="006F5E6F"/>
    <w:rsid w:val="006F6C13"/>
    <w:rsid w:val="006F6F99"/>
    <w:rsid w:val="00701630"/>
    <w:rsid w:val="007061F8"/>
    <w:rsid w:val="0070702A"/>
    <w:rsid w:val="007140C9"/>
    <w:rsid w:val="00720895"/>
    <w:rsid w:val="0075067A"/>
    <w:rsid w:val="00756AEC"/>
    <w:rsid w:val="00775A80"/>
    <w:rsid w:val="0077678E"/>
    <w:rsid w:val="00790F5D"/>
    <w:rsid w:val="007912EC"/>
    <w:rsid w:val="00791B8E"/>
    <w:rsid w:val="0079225F"/>
    <w:rsid w:val="00792771"/>
    <w:rsid w:val="007A2C0A"/>
    <w:rsid w:val="007A7C25"/>
    <w:rsid w:val="007C729E"/>
    <w:rsid w:val="007D1AA6"/>
    <w:rsid w:val="007D5862"/>
    <w:rsid w:val="007E3ED5"/>
    <w:rsid w:val="007F1E43"/>
    <w:rsid w:val="00800BD3"/>
    <w:rsid w:val="00804235"/>
    <w:rsid w:val="00823569"/>
    <w:rsid w:val="008270C7"/>
    <w:rsid w:val="00831BFD"/>
    <w:rsid w:val="00850B2A"/>
    <w:rsid w:val="00860F59"/>
    <w:rsid w:val="00865506"/>
    <w:rsid w:val="0087259D"/>
    <w:rsid w:val="00882BED"/>
    <w:rsid w:val="00884ACB"/>
    <w:rsid w:val="00893233"/>
    <w:rsid w:val="008A49BC"/>
    <w:rsid w:val="008A52E9"/>
    <w:rsid w:val="008A5304"/>
    <w:rsid w:val="008A6243"/>
    <w:rsid w:val="008A73D8"/>
    <w:rsid w:val="008B407B"/>
    <w:rsid w:val="008B435A"/>
    <w:rsid w:val="008B4E37"/>
    <w:rsid w:val="008C1141"/>
    <w:rsid w:val="008C377F"/>
    <w:rsid w:val="008C78D8"/>
    <w:rsid w:val="008D0289"/>
    <w:rsid w:val="008D0B2A"/>
    <w:rsid w:val="008E2DBA"/>
    <w:rsid w:val="008E6E8E"/>
    <w:rsid w:val="008F51F9"/>
    <w:rsid w:val="009005F6"/>
    <w:rsid w:val="00905C2D"/>
    <w:rsid w:val="00916B07"/>
    <w:rsid w:val="00922D72"/>
    <w:rsid w:val="0093015B"/>
    <w:rsid w:val="00930195"/>
    <w:rsid w:val="00931C9B"/>
    <w:rsid w:val="00934887"/>
    <w:rsid w:val="00944EC2"/>
    <w:rsid w:val="009460A8"/>
    <w:rsid w:val="00946C25"/>
    <w:rsid w:val="00952E51"/>
    <w:rsid w:val="00954A08"/>
    <w:rsid w:val="00956330"/>
    <w:rsid w:val="009577F4"/>
    <w:rsid w:val="00960613"/>
    <w:rsid w:val="009677F1"/>
    <w:rsid w:val="00973DA9"/>
    <w:rsid w:val="0097449C"/>
    <w:rsid w:val="0098313F"/>
    <w:rsid w:val="009859B2"/>
    <w:rsid w:val="00990A54"/>
    <w:rsid w:val="009949F6"/>
    <w:rsid w:val="00997498"/>
    <w:rsid w:val="009B32FF"/>
    <w:rsid w:val="009C0CE7"/>
    <w:rsid w:val="009C66D0"/>
    <w:rsid w:val="009C6E74"/>
    <w:rsid w:val="009C7C23"/>
    <w:rsid w:val="009D1DD5"/>
    <w:rsid w:val="009D6524"/>
    <w:rsid w:val="009D7AFF"/>
    <w:rsid w:val="009E05E2"/>
    <w:rsid w:val="009E5846"/>
    <w:rsid w:val="009F23CC"/>
    <w:rsid w:val="009F6038"/>
    <w:rsid w:val="00A030E4"/>
    <w:rsid w:val="00A06A0C"/>
    <w:rsid w:val="00A10FDE"/>
    <w:rsid w:val="00A11114"/>
    <w:rsid w:val="00A13757"/>
    <w:rsid w:val="00A27FB2"/>
    <w:rsid w:val="00A3110B"/>
    <w:rsid w:val="00A3679F"/>
    <w:rsid w:val="00A401EF"/>
    <w:rsid w:val="00A41CD3"/>
    <w:rsid w:val="00A43A7B"/>
    <w:rsid w:val="00A60986"/>
    <w:rsid w:val="00A637C9"/>
    <w:rsid w:val="00A64ABE"/>
    <w:rsid w:val="00A655E2"/>
    <w:rsid w:val="00A67D5A"/>
    <w:rsid w:val="00A7252B"/>
    <w:rsid w:val="00A73F49"/>
    <w:rsid w:val="00A75C88"/>
    <w:rsid w:val="00A84952"/>
    <w:rsid w:val="00A85CAB"/>
    <w:rsid w:val="00A90190"/>
    <w:rsid w:val="00A914B7"/>
    <w:rsid w:val="00A95BB9"/>
    <w:rsid w:val="00A97F4C"/>
    <w:rsid w:val="00AA7493"/>
    <w:rsid w:val="00AA7E48"/>
    <w:rsid w:val="00AB639F"/>
    <w:rsid w:val="00AB63BE"/>
    <w:rsid w:val="00AC181B"/>
    <w:rsid w:val="00AC6414"/>
    <w:rsid w:val="00AD14CB"/>
    <w:rsid w:val="00AD3759"/>
    <w:rsid w:val="00AE4C2B"/>
    <w:rsid w:val="00AF7485"/>
    <w:rsid w:val="00B06CF4"/>
    <w:rsid w:val="00B070B4"/>
    <w:rsid w:val="00B10E93"/>
    <w:rsid w:val="00B11726"/>
    <w:rsid w:val="00B160CA"/>
    <w:rsid w:val="00B23C94"/>
    <w:rsid w:val="00B27D68"/>
    <w:rsid w:val="00B31716"/>
    <w:rsid w:val="00B36568"/>
    <w:rsid w:val="00B423D5"/>
    <w:rsid w:val="00B44AD0"/>
    <w:rsid w:val="00B46661"/>
    <w:rsid w:val="00B46895"/>
    <w:rsid w:val="00B528C2"/>
    <w:rsid w:val="00B5306D"/>
    <w:rsid w:val="00B54F33"/>
    <w:rsid w:val="00B55F16"/>
    <w:rsid w:val="00B572D9"/>
    <w:rsid w:val="00B8102C"/>
    <w:rsid w:val="00B8127D"/>
    <w:rsid w:val="00B82391"/>
    <w:rsid w:val="00B86761"/>
    <w:rsid w:val="00B8720F"/>
    <w:rsid w:val="00B9246F"/>
    <w:rsid w:val="00B94DEC"/>
    <w:rsid w:val="00BA048E"/>
    <w:rsid w:val="00BA26A2"/>
    <w:rsid w:val="00BB0051"/>
    <w:rsid w:val="00BC7301"/>
    <w:rsid w:val="00BD4CAB"/>
    <w:rsid w:val="00BD5A6B"/>
    <w:rsid w:val="00BE1D21"/>
    <w:rsid w:val="00BE3356"/>
    <w:rsid w:val="00BE5ECC"/>
    <w:rsid w:val="00BF43C9"/>
    <w:rsid w:val="00C057A8"/>
    <w:rsid w:val="00C06A15"/>
    <w:rsid w:val="00C143EC"/>
    <w:rsid w:val="00C17718"/>
    <w:rsid w:val="00C20C98"/>
    <w:rsid w:val="00C232AF"/>
    <w:rsid w:val="00C337A1"/>
    <w:rsid w:val="00C351AD"/>
    <w:rsid w:val="00C36231"/>
    <w:rsid w:val="00C40A14"/>
    <w:rsid w:val="00C4644C"/>
    <w:rsid w:val="00C52F93"/>
    <w:rsid w:val="00C55DEC"/>
    <w:rsid w:val="00C57CDF"/>
    <w:rsid w:val="00C71270"/>
    <w:rsid w:val="00C81903"/>
    <w:rsid w:val="00C9448F"/>
    <w:rsid w:val="00CA30C3"/>
    <w:rsid w:val="00CA3200"/>
    <w:rsid w:val="00CB00A8"/>
    <w:rsid w:val="00CB715F"/>
    <w:rsid w:val="00CC1184"/>
    <w:rsid w:val="00CC2A65"/>
    <w:rsid w:val="00CD3646"/>
    <w:rsid w:val="00CE1C05"/>
    <w:rsid w:val="00CE56F9"/>
    <w:rsid w:val="00CF47EB"/>
    <w:rsid w:val="00CF707F"/>
    <w:rsid w:val="00CF75F3"/>
    <w:rsid w:val="00D02FE2"/>
    <w:rsid w:val="00D14BB1"/>
    <w:rsid w:val="00D26F00"/>
    <w:rsid w:val="00D355C0"/>
    <w:rsid w:val="00D37CA9"/>
    <w:rsid w:val="00D5076C"/>
    <w:rsid w:val="00D57BB7"/>
    <w:rsid w:val="00D621EE"/>
    <w:rsid w:val="00D6698B"/>
    <w:rsid w:val="00D66BBE"/>
    <w:rsid w:val="00D710FE"/>
    <w:rsid w:val="00D72283"/>
    <w:rsid w:val="00D81453"/>
    <w:rsid w:val="00D85A1B"/>
    <w:rsid w:val="00D85CD4"/>
    <w:rsid w:val="00D86976"/>
    <w:rsid w:val="00D93BCB"/>
    <w:rsid w:val="00D96B49"/>
    <w:rsid w:val="00D96EE9"/>
    <w:rsid w:val="00DD0AD6"/>
    <w:rsid w:val="00DD146D"/>
    <w:rsid w:val="00DE2643"/>
    <w:rsid w:val="00DE5A61"/>
    <w:rsid w:val="00DE6EB2"/>
    <w:rsid w:val="00DF20CB"/>
    <w:rsid w:val="00DF66C0"/>
    <w:rsid w:val="00E01CBB"/>
    <w:rsid w:val="00E15A71"/>
    <w:rsid w:val="00E17535"/>
    <w:rsid w:val="00E22CAF"/>
    <w:rsid w:val="00E304AC"/>
    <w:rsid w:val="00E37F5C"/>
    <w:rsid w:val="00E41D82"/>
    <w:rsid w:val="00E47C20"/>
    <w:rsid w:val="00E569A2"/>
    <w:rsid w:val="00E575D4"/>
    <w:rsid w:val="00E57D0B"/>
    <w:rsid w:val="00E61AF1"/>
    <w:rsid w:val="00E67909"/>
    <w:rsid w:val="00E756BA"/>
    <w:rsid w:val="00E803E7"/>
    <w:rsid w:val="00E81C3D"/>
    <w:rsid w:val="00E8540D"/>
    <w:rsid w:val="00E9043C"/>
    <w:rsid w:val="00E92B6E"/>
    <w:rsid w:val="00E9758E"/>
    <w:rsid w:val="00EA1873"/>
    <w:rsid w:val="00EA3969"/>
    <w:rsid w:val="00EB1B26"/>
    <w:rsid w:val="00EC25E0"/>
    <w:rsid w:val="00ED0509"/>
    <w:rsid w:val="00ED37E3"/>
    <w:rsid w:val="00EE1A29"/>
    <w:rsid w:val="00EE1ABB"/>
    <w:rsid w:val="00EE3F81"/>
    <w:rsid w:val="00EE517A"/>
    <w:rsid w:val="00EE79D9"/>
    <w:rsid w:val="00EF3B66"/>
    <w:rsid w:val="00EF5009"/>
    <w:rsid w:val="00EF67DD"/>
    <w:rsid w:val="00F10407"/>
    <w:rsid w:val="00F1740A"/>
    <w:rsid w:val="00F25BEB"/>
    <w:rsid w:val="00F359B1"/>
    <w:rsid w:val="00F40210"/>
    <w:rsid w:val="00F42905"/>
    <w:rsid w:val="00F46184"/>
    <w:rsid w:val="00F46C4F"/>
    <w:rsid w:val="00F645AF"/>
    <w:rsid w:val="00F678D0"/>
    <w:rsid w:val="00F7044E"/>
    <w:rsid w:val="00F717BC"/>
    <w:rsid w:val="00F7241A"/>
    <w:rsid w:val="00F77643"/>
    <w:rsid w:val="00F82DD6"/>
    <w:rsid w:val="00F8382D"/>
    <w:rsid w:val="00F84592"/>
    <w:rsid w:val="00F874C4"/>
    <w:rsid w:val="00FA3329"/>
    <w:rsid w:val="00FA3594"/>
    <w:rsid w:val="00FA38F5"/>
    <w:rsid w:val="00FA4BE5"/>
    <w:rsid w:val="00FA6E4D"/>
    <w:rsid w:val="00FA7F2A"/>
    <w:rsid w:val="00FB1B13"/>
    <w:rsid w:val="00FC381C"/>
    <w:rsid w:val="00FC4ABE"/>
    <w:rsid w:val="00FD7C66"/>
    <w:rsid w:val="00FE0E60"/>
    <w:rsid w:val="00FE1369"/>
    <w:rsid w:val="00FE6626"/>
    <w:rsid w:val="00FE7719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E6E8E"/>
    <w:pPr>
      <w:keepNext/>
      <w:framePr w:w="6313" w:h="429" w:wrap="auto" w:vAnchor="page" w:hAnchor="page" w:x="2305" w:y="2161"/>
      <w:widowControl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3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98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6E8E"/>
    <w:rPr>
      <w:rFonts w:ascii="Bookman Old Style" w:eastAsia="Times New Roman" w:hAnsi="Bookman Old Style"/>
      <w:b/>
      <w:spacing w:val="30"/>
      <w:sz w:val="24"/>
      <w:lang w:val="bg-BG" w:eastAsia="bg-BG"/>
    </w:rPr>
  </w:style>
  <w:style w:type="paragraph" w:styleId="Footer">
    <w:name w:val="footer"/>
    <w:basedOn w:val="Normal"/>
    <w:link w:val="FooterChar"/>
    <w:rsid w:val="008E6E8E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FooterChar">
    <w:name w:val="Footer Char"/>
    <w:link w:val="Footer"/>
    <w:rsid w:val="008E6E8E"/>
    <w:rPr>
      <w:rFonts w:ascii="Times New Roman" w:eastAsia="Times New Roman" w:hAnsi="Times New Roman"/>
      <w:lang w:val="bg-BG" w:eastAsia="bg-BG"/>
    </w:rPr>
  </w:style>
  <w:style w:type="character" w:styleId="PageNumber">
    <w:name w:val="page number"/>
    <w:rsid w:val="008E6E8E"/>
  </w:style>
  <w:style w:type="character" w:customStyle="1" w:styleId="Heading5Char">
    <w:name w:val="Heading 5 Char"/>
    <w:link w:val="Heading5"/>
    <w:uiPriority w:val="9"/>
    <w:semiHidden/>
    <w:rsid w:val="00D6698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title-doc-first">
    <w:name w:val="title-doc-first"/>
    <w:basedOn w:val="Normal"/>
    <w:rsid w:val="00B23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-doc-last">
    <w:name w:val="title-doc-last"/>
    <w:basedOn w:val="Normal"/>
    <w:rsid w:val="00B23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71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D1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8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8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86E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BE335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oc-ti">
    <w:name w:val="doc-ti"/>
    <w:basedOn w:val="Normal"/>
    <w:rsid w:val="00BE3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rsid w:val="00BE3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9B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F359B1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A187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1E0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E6E8E"/>
    <w:pPr>
      <w:keepNext/>
      <w:framePr w:w="6313" w:h="429" w:wrap="auto" w:vAnchor="page" w:hAnchor="page" w:x="2305" w:y="2161"/>
      <w:widowControl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Bookman Old Style" w:eastAsia="Times New Roman" w:hAnsi="Bookman Old Style"/>
      <w:b/>
      <w:spacing w:val="30"/>
      <w:sz w:val="24"/>
      <w:szCs w:val="20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3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98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6E8E"/>
    <w:rPr>
      <w:rFonts w:ascii="Bookman Old Style" w:eastAsia="Times New Roman" w:hAnsi="Bookman Old Style"/>
      <w:b/>
      <w:spacing w:val="30"/>
      <w:sz w:val="24"/>
      <w:lang w:val="bg-BG" w:eastAsia="bg-BG"/>
    </w:rPr>
  </w:style>
  <w:style w:type="paragraph" w:styleId="Footer">
    <w:name w:val="footer"/>
    <w:basedOn w:val="Normal"/>
    <w:link w:val="FooterChar"/>
    <w:rsid w:val="008E6E8E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bg-BG" w:eastAsia="bg-BG"/>
    </w:rPr>
  </w:style>
  <w:style w:type="character" w:customStyle="1" w:styleId="FooterChar">
    <w:name w:val="Footer Char"/>
    <w:link w:val="Footer"/>
    <w:rsid w:val="008E6E8E"/>
    <w:rPr>
      <w:rFonts w:ascii="Times New Roman" w:eastAsia="Times New Roman" w:hAnsi="Times New Roman"/>
      <w:lang w:val="bg-BG" w:eastAsia="bg-BG"/>
    </w:rPr>
  </w:style>
  <w:style w:type="character" w:styleId="PageNumber">
    <w:name w:val="page number"/>
    <w:rsid w:val="008E6E8E"/>
  </w:style>
  <w:style w:type="character" w:customStyle="1" w:styleId="Heading5Char">
    <w:name w:val="Heading 5 Char"/>
    <w:link w:val="Heading5"/>
    <w:uiPriority w:val="9"/>
    <w:semiHidden/>
    <w:rsid w:val="00D6698B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customStyle="1" w:styleId="title-doc-first">
    <w:name w:val="title-doc-first"/>
    <w:basedOn w:val="Normal"/>
    <w:rsid w:val="00B23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-doc-last">
    <w:name w:val="title-doc-last"/>
    <w:basedOn w:val="Normal"/>
    <w:rsid w:val="00B23C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71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5D1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8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8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86E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BE335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oc-ti">
    <w:name w:val="doc-ti"/>
    <w:basedOn w:val="Normal"/>
    <w:rsid w:val="00BE3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rsid w:val="00BE3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9B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F359B1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EA187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1E0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3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2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684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1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7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10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183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APEV&amp;CELEX=32013R1305&amp;Type=20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pis://Base=APEV&amp;CELEX=32005R1698&amp;Type=2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APEV&amp;CELEX=32013R1305&amp;Type=20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F8893-E463-4F93-8278-61B55B7D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Links>
    <vt:vector size="18" baseType="variant">
      <vt:variant>
        <vt:i4>7929976</vt:i4>
      </vt:variant>
      <vt:variant>
        <vt:i4>6</vt:i4>
      </vt:variant>
      <vt:variant>
        <vt:i4>0</vt:i4>
      </vt:variant>
      <vt:variant>
        <vt:i4>5</vt:i4>
      </vt:variant>
      <vt:variant>
        <vt:lpwstr>apis://Base=APEV&amp;CELEX=32013R1305&amp;Type=201/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apis://Base=APEV&amp;CELEX=32005R1698&amp;Type=201/</vt:lpwstr>
      </vt:variant>
      <vt:variant>
        <vt:lpwstr/>
      </vt:variant>
      <vt:variant>
        <vt:i4>7929976</vt:i4>
      </vt:variant>
      <vt:variant>
        <vt:i4>0</vt:i4>
      </vt:variant>
      <vt:variant>
        <vt:i4>0</vt:i4>
      </vt:variant>
      <vt:variant>
        <vt:i4>5</vt:i4>
      </vt:variant>
      <vt:variant>
        <vt:lpwstr>apis://Base=APEV&amp;CELEX=32013R1305&amp;Type=201/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 Karabelyov</dc:creator>
  <cp:lastModifiedBy>Nataliya Slavova</cp:lastModifiedBy>
  <cp:revision>7</cp:revision>
  <cp:lastPrinted>2019-01-18T07:35:00Z</cp:lastPrinted>
  <dcterms:created xsi:type="dcterms:W3CDTF">2019-01-18T07:58:00Z</dcterms:created>
  <dcterms:modified xsi:type="dcterms:W3CDTF">2019-01-18T14:47:00Z</dcterms:modified>
</cp:coreProperties>
</file>