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6D" w:rsidRPr="00441E87" w:rsidRDefault="00D04E6D" w:rsidP="00D04E6D">
      <w:pPr>
        <w:rPr>
          <w:b/>
          <w:lang w:val="en-US"/>
        </w:rPr>
      </w:pPr>
    </w:p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07"/>
        <w:gridCol w:w="5199"/>
      </w:tblGrid>
      <w:tr w:rsidR="00D04E6D" w:rsidRPr="007F1A32" w:rsidTr="0022081A">
        <w:tc>
          <w:tcPr>
            <w:tcW w:w="9606" w:type="dxa"/>
            <w:gridSpan w:val="2"/>
            <w:shd w:val="clear" w:color="auto" w:fill="D9D9D9"/>
          </w:tcPr>
          <w:p w:rsidR="00D04E6D" w:rsidRPr="00D04E6D" w:rsidRDefault="00D04E6D" w:rsidP="00326587">
            <w:pPr>
              <w:spacing w:before="120" w:line="36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Формуляр за частична предварителна оценка на въздействието*</w:t>
            </w:r>
          </w:p>
          <w:p w:rsidR="00D04E6D" w:rsidRPr="00D04E6D" w:rsidRDefault="00D04E6D" w:rsidP="008C65F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(Приложете към формуляра допълнителна информация/документи)</w:t>
            </w:r>
          </w:p>
        </w:tc>
      </w:tr>
      <w:tr w:rsidR="00D04E6D" w:rsidRPr="007F1A32" w:rsidTr="0022081A">
        <w:tc>
          <w:tcPr>
            <w:tcW w:w="4407" w:type="dxa"/>
            <w:shd w:val="clear" w:color="auto" w:fill="auto"/>
          </w:tcPr>
          <w:p w:rsidR="00D04E6D" w:rsidRPr="00D04E6D" w:rsidRDefault="00D04E6D" w:rsidP="00326587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Институция: Министерство на земеделието, храните и горите</w:t>
            </w:r>
          </w:p>
        </w:tc>
        <w:tc>
          <w:tcPr>
            <w:tcW w:w="5199" w:type="dxa"/>
            <w:shd w:val="clear" w:color="auto" w:fill="auto"/>
          </w:tcPr>
          <w:p w:rsidR="00D04E6D" w:rsidRPr="00D04E6D" w:rsidRDefault="00D04E6D" w:rsidP="007F1A32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before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Нормативен акт: </w:t>
            </w:r>
            <w:r w:rsidR="007F1A32" w:rsidRPr="007F1A32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Проект на Постановление </w:t>
            </w:r>
            <w:r w:rsidR="001407D9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на Министерския съвет </w:t>
            </w:r>
            <w:r w:rsidR="00324A69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за </w:t>
            </w:r>
            <w:r w:rsidR="007F1A32" w:rsidRPr="007F1A32">
              <w:rPr>
                <w:rFonts w:ascii="Verdana" w:hAnsi="Verdana"/>
                <w:b/>
                <w:sz w:val="20"/>
                <w:szCs w:val="20"/>
                <w:lang w:val="bg-BG"/>
              </w:rPr>
              <w:t>изменение и допълнение на Наредбата за условията и реда за възлагане изпълнението  на дейности в горските територии – държавна и общинска собственост, и за ползването на дървесина и недървесни горски продукти, приета с Постановление № 316 на Министерския съвет от 2011 г.</w:t>
            </w:r>
            <w:r w:rsidR="007F1A32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</w:p>
        </w:tc>
      </w:tr>
      <w:tr w:rsidR="00D04E6D" w:rsidRPr="00D04E6D" w:rsidTr="0022081A">
        <w:tc>
          <w:tcPr>
            <w:tcW w:w="4407" w:type="dxa"/>
            <w:shd w:val="clear" w:color="auto" w:fill="auto"/>
          </w:tcPr>
          <w:p w:rsidR="00D04E6D" w:rsidRPr="00D04E6D" w:rsidRDefault="00D04E6D" w:rsidP="00EC4B50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За включване в </w:t>
            </w:r>
            <w:r w:rsidR="00EC4B50">
              <w:rPr>
                <w:rFonts w:ascii="Verdana" w:hAnsi="Verdana"/>
                <w:b/>
                <w:sz w:val="20"/>
                <w:szCs w:val="20"/>
                <w:lang w:val="bg-BG"/>
              </w:rPr>
              <w:t>О</w:t>
            </w:r>
            <w:r w:rsidRPr="002B0190">
              <w:rPr>
                <w:rFonts w:ascii="Verdana" w:hAnsi="Verdana"/>
                <w:b/>
                <w:sz w:val="20"/>
                <w:szCs w:val="20"/>
                <w:lang w:val="bg-BG"/>
              </w:rPr>
              <w:t>перативната програма на Министерския съвет за периода: 01.07.201</w:t>
            </w:r>
            <w:r w:rsidR="007F1A32" w:rsidRPr="002B0190">
              <w:rPr>
                <w:rFonts w:ascii="Verdana" w:hAnsi="Verdana"/>
                <w:b/>
                <w:sz w:val="20"/>
                <w:szCs w:val="20"/>
                <w:lang w:val="bg-BG"/>
              </w:rPr>
              <w:t>8</w:t>
            </w:r>
            <w:r w:rsidRPr="002B019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г. – 31.12.201</w:t>
            </w:r>
            <w:r w:rsidR="007F1A32" w:rsidRPr="002B0190">
              <w:rPr>
                <w:rFonts w:ascii="Verdana" w:hAnsi="Verdana"/>
                <w:b/>
                <w:sz w:val="20"/>
                <w:szCs w:val="20"/>
                <w:lang w:val="bg-BG"/>
              </w:rPr>
              <w:t>8</w:t>
            </w:r>
            <w:r w:rsidRPr="002B019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5199" w:type="dxa"/>
            <w:shd w:val="clear" w:color="auto" w:fill="auto"/>
            <w:vAlign w:val="bottom"/>
          </w:tcPr>
          <w:p w:rsidR="00D04E6D" w:rsidRPr="00D04E6D" w:rsidRDefault="00EC4B50" w:rsidP="00B677E8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Дата: </w:t>
            </w:r>
            <w:r w:rsidR="00B677E8">
              <w:rPr>
                <w:rFonts w:ascii="Verdana" w:hAnsi="Verdana"/>
                <w:b/>
                <w:sz w:val="20"/>
                <w:szCs w:val="20"/>
                <w:lang w:val="bg-BG"/>
              </w:rPr>
              <w:t>01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.</w:t>
            </w:r>
            <w:r w:rsidR="00B677E8">
              <w:rPr>
                <w:rFonts w:ascii="Verdana" w:hAnsi="Verdana"/>
                <w:b/>
                <w:sz w:val="20"/>
                <w:szCs w:val="20"/>
                <w:lang w:val="bg-BG"/>
              </w:rPr>
              <w:t>11</w:t>
            </w:r>
            <w:r w:rsidR="00D04E6D"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.2018 г.</w:t>
            </w:r>
          </w:p>
        </w:tc>
      </w:tr>
      <w:tr w:rsidR="00D04E6D" w:rsidRPr="00D04E6D" w:rsidTr="0022081A">
        <w:tc>
          <w:tcPr>
            <w:tcW w:w="4407" w:type="dxa"/>
            <w:shd w:val="clear" w:color="auto" w:fill="auto"/>
          </w:tcPr>
          <w:p w:rsidR="00D04E6D" w:rsidRPr="00D04E6D" w:rsidRDefault="00D04E6D" w:rsidP="00326587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Контакт за въпроси:</w:t>
            </w:r>
          </w:p>
          <w:p w:rsidR="00D04E6D" w:rsidRPr="00D04E6D" w:rsidRDefault="00D04E6D" w:rsidP="008C65F8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proofErr w:type="spellStart"/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Eлена</w:t>
            </w:r>
            <w:proofErr w:type="spellEnd"/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Величкова </w:t>
            </w:r>
            <w:proofErr w:type="spellStart"/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ЕVelichkova@mzh</w:t>
            </w:r>
            <w:proofErr w:type="spellEnd"/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.</w:t>
            </w:r>
            <w:proofErr w:type="spellStart"/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government</w:t>
            </w:r>
            <w:proofErr w:type="spellEnd"/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.</w:t>
            </w:r>
            <w:proofErr w:type="spellStart"/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bg</w:t>
            </w:r>
            <w:proofErr w:type="spellEnd"/>
          </w:p>
        </w:tc>
        <w:tc>
          <w:tcPr>
            <w:tcW w:w="5199" w:type="dxa"/>
            <w:shd w:val="clear" w:color="auto" w:fill="auto"/>
          </w:tcPr>
          <w:p w:rsidR="00D04E6D" w:rsidRPr="00D04E6D" w:rsidRDefault="00D04E6D" w:rsidP="00326587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Телефон:</w:t>
            </w:r>
            <w:r w:rsidRPr="00D04E6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02 985 11 562</w:t>
            </w:r>
          </w:p>
          <w:p w:rsidR="00D04E6D" w:rsidRPr="00D04E6D" w:rsidRDefault="00D04E6D" w:rsidP="008C65F8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04E6D" w:rsidRPr="007F1A32" w:rsidTr="0022081A">
        <w:tc>
          <w:tcPr>
            <w:tcW w:w="9606" w:type="dxa"/>
            <w:gridSpan w:val="2"/>
            <w:shd w:val="clear" w:color="auto" w:fill="auto"/>
          </w:tcPr>
          <w:p w:rsidR="00D04E6D" w:rsidRPr="00D04E6D" w:rsidRDefault="00D04E6D" w:rsidP="008C65F8">
            <w:pPr>
              <w:spacing w:before="120" w:after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1. Дефиниране на проблема: </w:t>
            </w:r>
          </w:p>
          <w:p w:rsidR="00AD05CA" w:rsidRDefault="00D04E6D" w:rsidP="008C65F8">
            <w:pPr>
              <w:spacing w:after="120"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1. </w:t>
            </w:r>
            <w:r w:rsidR="00EC4B50">
              <w:rPr>
                <w:rFonts w:ascii="Verdana" w:hAnsi="Verdana"/>
                <w:sz w:val="20"/>
                <w:szCs w:val="20"/>
                <w:lang w:val="bg-BG"/>
              </w:rPr>
              <w:t xml:space="preserve">Разпокъсаността на </w:t>
            </w:r>
            <w:r w:rsidR="00B02295">
              <w:rPr>
                <w:rFonts w:ascii="Verdana" w:hAnsi="Verdana"/>
                <w:sz w:val="20"/>
                <w:szCs w:val="20"/>
                <w:lang w:val="bg-BG"/>
              </w:rPr>
              <w:t xml:space="preserve">нормативната </w:t>
            </w:r>
            <w:r w:rsidR="00EC4B50">
              <w:rPr>
                <w:rFonts w:ascii="Verdana" w:hAnsi="Verdana"/>
                <w:sz w:val="20"/>
                <w:szCs w:val="20"/>
                <w:lang w:val="bg-BG"/>
              </w:rPr>
              <w:t xml:space="preserve">уредба относно условията и реда при провеждането на електронните търгове и препращането към „тръжни регламенти“, различни за различните продавачи на дървесина, уронва доверието на участниците в тях. </w:t>
            </w:r>
          </w:p>
          <w:p w:rsidR="00AD05CA" w:rsidRDefault="00EC4B50" w:rsidP="008C65F8">
            <w:pPr>
              <w:spacing w:after="120"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2. Констатирани нормативни пречки за предоставяне на електронни услуги</w:t>
            </w:r>
            <w:r w:rsidR="00AD05CA">
              <w:rPr>
                <w:rFonts w:ascii="Verdana" w:hAnsi="Verdana"/>
                <w:sz w:val="20"/>
                <w:szCs w:val="20"/>
                <w:lang w:val="bg-BG"/>
              </w:rPr>
              <w:t>, възпрепятстващи</w:t>
            </w:r>
            <w:r w:rsidR="008E5B80">
              <w:rPr>
                <w:rFonts w:ascii="Verdana" w:hAnsi="Verdana"/>
                <w:sz w:val="20"/>
                <w:szCs w:val="20"/>
                <w:lang w:val="bg-BG"/>
              </w:rPr>
              <w:t xml:space="preserve"> качествено и законосъобразно провеждане на електронна процедура „електронен конк</w:t>
            </w:r>
            <w:r w:rsidR="00AD05CA">
              <w:rPr>
                <w:rFonts w:ascii="Verdana" w:hAnsi="Verdana"/>
                <w:sz w:val="20"/>
                <w:szCs w:val="20"/>
                <w:lang w:val="bg-BG"/>
              </w:rPr>
              <w:t>урс“ за възлагане на дейностите.</w:t>
            </w:r>
            <w:r w:rsidR="008E5B80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9449F2" w:rsidRDefault="00D04E6D" w:rsidP="008C65F8">
            <w:pPr>
              <w:spacing w:after="120"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3. </w:t>
            </w:r>
            <w:r w:rsidR="008E5B80">
              <w:rPr>
                <w:rFonts w:ascii="Verdana" w:hAnsi="Verdana"/>
                <w:sz w:val="20"/>
                <w:szCs w:val="20"/>
                <w:lang w:val="bg-BG"/>
              </w:rPr>
              <w:t>Към настоящия момент участниците в процедурите предоставят значителен брой документи – копия и оригинали, като доказателство, че отговарят на изискванията на възложи</w:t>
            </w:r>
            <w:r w:rsidR="00477A27">
              <w:rPr>
                <w:rFonts w:ascii="Verdana" w:hAnsi="Verdana"/>
                <w:sz w:val="20"/>
                <w:szCs w:val="20"/>
                <w:lang w:val="bg-BG"/>
              </w:rPr>
              <w:t>теля, респ. продавача, което представлява съществена</w:t>
            </w:r>
            <w:r w:rsidR="008E5B80">
              <w:rPr>
                <w:rFonts w:ascii="Verdana" w:hAnsi="Verdana"/>
                <w:sz w:val="20"/>
                <w:szCs w:val="20"/>
                <w:lang w:val="bg-BG"/>
              </w:rPr>
              <w:t xml:space="preserve"> административна тежест</w:t>
            </w:r>
            <w:r w:rsidR="00477A27">
              <w:rPr>
                <w:rFonts w:ascii="Verdana" w:hAnsi="Verdana"/>
                <w:sz w:val="20"/>
                <w:szCs w:val="20"/>
                <w:lang w:val="bg-BG"/>
              </w:rPr>
              <w:t xml:space="preserve"> при подготовката на документите за участие в процедурите, затруднен </w:t>
            </w:r>
            <w:proofErr w:type="spellStart"/>
            <w:r w:rsidR="00477A27">
              <w:rPr>
                <w:rFonts w:ascii="Verdana" w:hAnsi="Verdana"/>
                <w:sz w:val="20"/>
                <w:szCs w:val="20"/>
                <w:lang w:val="bg-BG"/>
              </w:rPr>
              <w:t>документооборот</w:t>
            </w:r>
            <w:proofErr w:type="spellEnd"/>
            <w:r w:rsidR="00477A27">
              <w:rPr>
                <w:rFonts w:ascii="Verdana" w:hAnsi="Verdana"/>
                <w:sz w:val="20"/>
                <w:szCs w:val="20"/>
                <w:lang w:val="bg-BG"/>
              </w:rPr>
              <w:t xml:space="preserve"> и неефективност при използването на експертен ресурс</w:t>
            </w:r>
            <w:r w:rsidR="009449F2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="00477A27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D04E6D" w:rsidRPr="00D04E6D" w:rsidRDefault="00D04E6D" w:rsidP="008C65F8">
            <w:pPr>
              <w:spacing w:after="120"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4. </w:t>
            </w:r>
            <w:r w:rsidR="00477A27">
              <w:rPr>
                <w:rFonts w:ascii="Verdana" w:hAnsi="Verdana"/>
                <w:sz w:val="20"/>
                <w:szCs w:val="20"/>
                <w:lang w:val="bg-BG"/>
              </w:rPr>
              <w:t>Констатиран</w:t>
            </w:r>
            <w:r w:rsidR="00B02295">
              <w:rPr>
                <w:rFonts w:ascii="Verdana" w:hAnsi="Verdana"/>
                <w:sz w:val="20"/>
                <w:szCs w:val="20"/>
                <w:lang w:val="bg-BG"/>
              </w:rPr>
              <w:t>а тенденция към</w:t>
            </w:r>
            <w:r w:rsidR="00477A27">
              <w:rPr>
                <w:rFonts w:ascii="Verdana" w:hAnsi="Verdana"/>
                <w:sz w:val="20"/>
                <w:szCs w:val="20"/>
                <w:lang w:val="bg-BG"/>
              </w:rPr>
              <w:t xml:space="preserve"> недостатъчно качествено и своевременно изпълнение на </w:t>
            </w:r>
            <w:r w:rsidR="00477A27"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договорите при продажба на стояща дървесина на корен </w:t>
            </w:r>
            <w:r w:rsidR="00477A27">
              <w:rPr>
                <w:rFonts w:ascii="Verdana" w:hAnsi="Verdana"/>
                <w:sz w:val="20"/>
                <w:szCs w:val="20"/>
                <w:lang w:val="bg-BG"/>
              </w:rPr>
              <w:t>от страна на купувачите при гаранция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за изпълнение от 5 на сто от стойността по договора;</w:t>
            </w:r>
          </w:p>
          <w:p w:rsidR="00D04E6D" w:rsidRPr="00D04E6D" w:rsidRDefault="00D04E6D" w:rsidP="008C65F8">
            <w:pPr>
              <w:spacing w:after="120"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5. </w:t>
            </w:r>
            <w:r w:rsidR="007943F8" w:rsidRPr="00D04E6D">
              <w:rPr>
                <w:rFonts w:ascii="Verdana" w:hAnsi="Verdana"/>
                <w:sz w:val="20"/>
                <w:szCs w:val="20"/>
                <w:lang w:val="bg-BG"/>
              </w:rPr>
              <w:t>Правно-техническ</w:t>
            </w:r>
            <w:r w:rsidR="007943F8">
              <w:rPr>
                <w:rFonts w:ascii="Verdana" w:hAnsi="Verdana"/>
                <w:sz w:val="20"/>
                <w:szCs w:val="20"/>
                <w:lang w:val="bg-BG"/>
              </w:rPr>
              <w:t>и</w:t>
            </w:r>
            <w:r w:rsidR="007943F8"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7943F8">
              <w:rPr>
                <w:rFonts w:ascii="Verdana" w:hAnsi="Verdana"/>
                <w:sz w:val="20"/>
                <w:szCs w:val="20"/>
                <w:lang w:val="bg-BG"/>
              </w:rPr>
              <w:t xml:space="preserve">неточности при формулирането на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някои текстове.</w:t>
            </w:r>
          </w:p>
          <w:p w:rsidR="00D04E6D" w:rsidRPr="00D04E6D" w:rsidRDefault="00D04E6D" w:rsidP="008C65F8">
            <w:pPr>
              <w:spacing w:after="120" w:line="360" w:lineRule="auto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i/>
                <w:sz w:val="20"/>
                <w:szCs w:val="20"/>
                <w:lang w:val="bg-BG"/>
              </w:rPr>
              <w:lastRenderedPageBreak/>
              <w:t>1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proofErr w:type="spellStart"/>
            <w:r w:rsidRPr="00D04E6D">
              <w:rPr>
                <w:rFonts w:ascii="Verdana" w:hAnsi="Verdana"/>
                <w:i/>
                <w:sz w:val="20"/>
                <w:szCs w:val="20"/>
                <w:lang w:val="bg-BG"/>
              </w:rPr>
              <w:t>1</w:t>
            </w:r>
            <w:proofErr w:type="spellEnd"/>
            <w:r w:rsidRPr="00D04E6D">
              <w:rPr>
                <w:rFonts w:ascii="Verdana" w:hAnsi="Verdana"/>
                <w:i/>
                <w:sz w:val="20"/>
                <w:szCs w:val="20"/>
                <w:lang w:val="bg-BG"/>
              </w:rPr>
              <w:t>. 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:rsidR="00D04E6D" w:rsidRPr="00A519CD" w:rsidRDefault="00D04E6D" w:rsidP="008C65F8">
            <w:pPr>
              <w:spacing w:after="120"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1. Необходимостта от детайлизиране на нормативната уредба по отношение на електронните търгове за продажба на дървесина е заявена писмено от „Сдружение на дърводобивните и дървопреработвателните предприятия – Югозапад“, чиито представители участват в провежданите електронни търгове. Обосновава се искането условията и реда при провеждането на електронните търгове да бъдат общовалидни за всички държавни предприятия, без да се прави препращане към „тръжни регламенти“, различни за различните продавачи на дървесина.</w:t>
            </w:r>
            <w:r w:rsidR="00A519CD">
              <w:rPr>
                <w:rFonts w:ascii="Verdana" w:hAnsi="Verdana"/>
                <w:sz w:val="20"/>
                <w:szCs w:val="20"/>
                <w:lang w:val="bg-BG"/>
              </w:rPr>
              <w:t xml:space="preserve"> В момента дори и от страна на държавните предприятия съществуват различия относно начина на работа на комисиите и на обявяването / представянето на ценовите предложения на участниците в електронните търгове.</w:t>
            </w:r>
            <w:r w:rsidR="00AD05CA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B02295">
              <w:rPr>
                <w:rFonts w:ascii="Verdana" w:hAnsi="Verdana"/>
                <w:sz w:val="20"/>
                <w:szCs w:val="20"/>
                <w:lang w:val="bg-BG"/>
              </w:rPr>
              <w:t>Непълна</w:t>
            </w:r>
            <w:r w:rsidR="00AD05CA">
              <w:rPr>
                <w:rFonts w:ascii="Verdana" w:hAnsi="Verdana"/>
                <w:sz w:val="20"/>
                <w:szCs w:val="20"/>
                <w:lang w:val="bg-BG"/>
              </w:rPr>
              <w:t>та нормативна уредба дава основание участниците в електронните търгове да оспорват по съдебен ред законосъобразността на различните тръжни регламенти.</w:t>
            </w:r>
            <w:r w:rsidR="00A519CD">
              <w:rPr>
                <w:rFonts w:ascii="Verdana" w:hAnsi="Verdana"/>
                <w:sz w:val="20"/>
                <w:szCs w:val="20"/>
                <w:lang w:val="bg-BG"/>
              </w:rPr>
              <w:t xml:space="preserve"> По-детайлните нормативни разпоредби относно условията и реда на провеждането на електронните търгове ще повиши доверието към този съвременен начин за продажба на дървесина. </w:t>
            </w:r>
            <w:r w:rsidR="00AD05CA" w:rsidRPr="00AD05CA">
              <w:rPr>
                <w:rFonts w:ascii="Verdana" w:hAnsi="Verdana"/>
                <w:sz w:val="20"/>
                <w:szCs w:val="20"/>
                <w:lang w:val="bg-BG"/>
              </w:rPr>
              <w:t>Този проблем може да бъде решен чрез усъвършенстване на уредбата и по-детайлно разработване на нормативните разпоредби по отношение на електронните т</w:t>
            </w:r>
            <w:r w:rsidR="00AD05CA">
              <w:rPr>
                <w:rFonts w:ascii="Verdana" w:hAnsi="Verdana"/>
                <w:sz w:val="20"/>
                <w:szCs w:val="20"/>
                <w:lang w:val="bg-BG"/>
              </w:rPr>
              <w:t>ъргове за продажба на дървесина.</w:t>
            </w:r>
          </w:p>
          <w:p w:rsidR="005605DC" w:rsidRPr="005605DC" w:rsidRDefault="00D04E6D" w:rsidP="00EC0E61">
            <w:pPr>
              <w:tabs>
                <w:tab w:val="left" w:pos="567"/>
              </w:tabs>
              <w:spacing w:before="120"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2. </w:t>
            </w:r>
            <w:r w:rsidR="00AD05CA">
              <w:rPr>
                <w:rFonts w:ascii="Verdana" w:hAnsi="Verdana"/>
                <w:sz w:val="20"/>
                <w:szCs w:val="20"/>
                <w:lang w:val="bg-BG"/>
              </w:rPr>
              <w:t>По</w:t>
            </w:r>
            <w:r w:rsidR="0003003E">
              <w:rPr>
                <w:rFonts w:ascii="Verdana" w:hAnsi="Verdana"/>
                <w:sz w:val="20"/>
                <w:szCs w:val="20"/>
                <w:lang w:val="bg-BG"/>
              </w:rPr>
              <w:t xml:space="preserve">настоящем, </w:t>
            </w:r>
            <w:r w:rsidR="00B06492">
              <w:rPr>
                <w:rFonts w:ascii="Verdana" w:hAnsi="Verdana"/>
                <w:sz w:val="20"/>
                <w:szCs w:val="20"/>
                <w:lang w:val="bg-BG"/>
              </w:rPr>
              <w:t>разпоредбата на чл. 19, ал. 5 от Наредбата</w:t>
            </w:r>
            <w:r w:rsidR="00B06492">
              <w:t xml:space="preserve"> </w:t>
            </w:r>
            <w:r w:rsidR="00B06492" w:rsidRPr="00B06492">
              <w:rPr>
                <w:rFonts w:ascii="Verdana" w:hAnsi="Verdana"/>
                <w:sz w:val="20"/>
                <w:szCs w:val="20"/>
                <w:lang w:val="bg-BG"/>
              </w:rPr>
              <w:t>за условията и реда за възлагане изпълнението  на дейности в горските територии – държавна и общинска собственост, и за ползването на дървесина и недървесни горски продукти</w:t>
            </w:r>
            <w:r w:rsidR="00445311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445311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="00445311">
              <w:rPr>
                <w:rFonts w:ascii="Verdana" w:hAnsi="Verdana"/>
                <w:sz w:val="20"/>
                <w:szCs w:val="20"/>
                <w:lang w:val="bg-BG"/>
              </w:rPr>
              <w:t>Наредбата</w:t>
            </w:r>
            <w:r w:rsidR="00445311">
              <w:rPr>
                <w:rFonts w:ascii="Verdana" w:hAnsi="Verdana"/>
                <w:sz w:val="20"/>
                <w:szCs w:val="20"/>
                <w:lang w:val="en-US"/>
              </w:rPr>
              <w:t xml:space="preserve">) </w:t>
            </w:r>
            <w:r w:rsidR="00166B7C">
              <w:rPr>
                <w:rFonts w:ascii="Verdana" w:hAnsi="Verdana"/>
                <w:sz w:val="20"/>
                <w:szCs w:val="20"/>
                <w:lang w:val="bg-BG"/>
              </w:rPr>
              <w:t>допуска офертата на участниците да се представя и по електронен път, при условията и по реда на Закона за електронния документ и електронния подпис, но същевременно се</w:t>
            </w:r>
            <w:r w:rsidR="00B06492">
              <w:rPr>
                <w:rFonts w:ascii="Verdana" w:hAnsi="Verdana"/>
                <w:sz w:val="20"/>
                <w:szCs w:val="20"/>
                <w:lang w:val="bg-BG"/>
              </w:rPr>
              <w:t xml:space="preserve"> допуска </w:t>
            </w:r>
            <w:r w:rsidR="00166B7C">
              <w:rPr>
                <w:rFonts w:ascii="Verdana" w:hAnsi="Verdana"/>
                <w:sz w:val="20"/>
                <w:szCs w:val="20"/>
                <w:lang w:val="bg-BG"/>
              </w:rPr>
              <w:t>да представи на възложителя всички документи, които не са в електронен вид, на хартиен носител, по реда на ал. 1, преди изтичането на крайния срок за подаване на офертите. На практика, тази възможност не се прилага</w:t>
            </w:r>
            <w:r w:rsidR="0003003E">
              <w:rPr>
                <w:rFonts w:ascii="Verdana" w:hAnsi="Verdana"/>
                <w:sz w:val="20"/>
                <w:szCs w:val="20"/>
                <w:lang w:val="bg-BG"/>
              </w:rPr>
              <w:t>,</w:t>
            </w:r>
            <w:r w:rsidR="00166B7C">
              <w:rPr>
                <w:rFonts w:ascii="Verdana" w:hAnsi="Verdana"/>
                <w:sz w:val="20"/>
                <w:szCs w:val="20"/>
                <w:lang w:val="bg-BG"/>
              </w:rPr>
              <w:t xml:space="preserve"> тъй като сканирането на </w:t>
            </w:r>
            <w:r w:rsidR="0003003E">
              <w:rPr>
                <w:rFonts w:ascii="Verdana" w:hAnsi="Verdana"/>
                <w:sz w:val="20"/>
                <w:szCs w:val="20"/>
                <w:lang w:val="bg-BG"/>
              </w:rPr>
              <w:t xml:space="preserve">около </w:t>
            </w:r>
            <w:r w:rsidR="00055E5E" w:rsidRPr="00055E5E">
              <w:rPr>
                <w:rFonts w:ascii="Verdana" w:hAnsi="Verdana"/>
                <w:sz w:val="20"/>
                <w:szCs w:val="20"/>
                <w:lang w:val="bg-BG"/>
              </w:rPr>
              <w:t>25-30 броя</w:t>
            </w:r>
            <w:r w:rsidR="00055E5E">
              <w:rPr>
                <w:rFonts w:ascii="Verdana" w:hAnsi="Verdana"/>
                <w:sz w:val="20"/>
                <w:szCs w:val="20"/>
                <w:lang w:val="bg-BG"/>
              </w:rPr>
              <w:t xml:space="preserve"> копия или оригинали на документи</w:t>
            </w:r>
            <w:r w:rsidR="00055E5E" w:rsidRPr="00055E5E">
              <w:rPr>
                <w:rFonts w:ascii="Verdana" w:hAnsi="Verdana"/>
                <w:sz w:val="20"/>
                <w:szCs w:val="20"/>
                <w:lang w:val="bg-BG"/>
              </w:rPr>
              <w:t>,</w:t>
            </w:r>
            <w:r w:rsidR="00166B7C">
              <w:rPr>
                <w:rFonts w:ascii="Verdana" w:hAnsi="Verdana"/>
                <w:sz w:val="20"/>
                <w:szCs w:val="20"/>
                <w:lang w:val="bg-BG"/>
              </w:rPr>
              <w:t xml:space="preserve"> подписани с електронен подпис, затруднява участниците в конкурсите. </w:t>
            </w:r>
            <w:r w:rsidR="00445311">
              <w:rPr>
                <w:rFonts w:ascii="Verdana" w:hAnsi="Verdana"/>
                <w:sz w:val="20"/>
                <w:szCs w:val="20"/>
                <w:lang w:val="bg-BG"/>
              </w:rPr>
              <w:t xml:space="preserve">Този проблем </w:t>
            </w:r>
            <w:r w:rsidR="00445311" w:rsidRPr="00AD05CA">
              <w:rPr>
                <w:rFonts w:ascii="Verdana" w:hAnsi="Verdana"/>
                <w:sz w:val="20"/>
                <w:szCs w:val="20"/>
                <w:lang w:val="bg-BG"/>
              </w:rPr>
              <w:t xml:space="preserve">може да се реши чрез </w:t>
            </w:r>
            <w:r w:rsidR="00B02295">
              <w:rPr>
                <w:rFonts w:ascii="Verdana" w:hAnsi="Verdana"/>
                <w:sz w:val="20"/>
                <w:szCs w:val="20"/>
                <w:lang w:val="bg-BG"/>
              </w:rPr>
              <w:t>актуализиране</w:t>
            </w:r>
            <w:r w:rsidR="00445311">
              <w:rPr>
                <w:rFonts w:ascii="Verdana" w:hAnsi="Verdana"/>
                <w:sz w:val="20"/>
                <w:szCs w:val="20"/>
                <w:lang w:val="bg-BG"/>
              </w:rPr>
              <w:t xml:space="preserve"> и допълване на уредбата и в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ъвеждане на електронни процедури и при възлагането на дейностите, освен при продажбата на дървесина, </w:t>
            </w:r>
            <w:r w:rsidR="00445311">
              <w:rPr>
                <w:rFonts w:ascii="Verdana" w:hAnsi="Verdana"/>
                <w:sz w:val="20"/>
                <w:szCs w:val="20"/>
                <w:lang w:val="bg-BG"/>
              </w:rPr>
              <w:t xml:space="preserve">което </w:t>
            </w:r>
            <w:r w:rsidR="00B02295">
              <w:rPr>
                <w:rFonts w:ascii="Verdana" w:hAnsi="Verdana"/>
                <w:sz w:val="20"/>
                <w:szCs w:val="20"/>
                <w:lang w:val="bg-BG"/>
              </w:rPr>
              <w:t>кореспондира с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тенденци</w:t>
            </w:r>
            <w:r w:rsidR="00B02295">
              <w:rPr>
                <w:rFonts w:ascii="Verdana" w:hAnsi="Verdana"/>
                <w:sz w:val="20"/>
                <w:szCs w:val="20"/>
                <w:lang w:val="bg-BG"/>
              </w:rPr>
              <w:t>ята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B02295">
              <w:rPr>
                <w:rFonts w:ascii="Verdana" w:hAnsi="Verdana"/>
                <w:sz w:val="20"/>
                <w:szCs w:val="20"/>
                <w:lang w:val="bg-BG"/>
              </w:rPr>
              <w:t xml:space="preserve">на преминаване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B02295"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към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електронни услуги и води до облекчаване на участниците по отношение на допълнителни разходи за подаване на документи на хартиен носител и присъствието им при провеждане</w:t>
            </w:r>
            <w:r w:rsidR="008E6AE9">
              <w:rPr>
                <w:rFonts w:ascii="Verdana" w:hAnsi="Verdana"/>
                <w:sz w:val="20"/>
                <w:szCs w:val="20"/>
                <w:lang w:val="bg-BG"/>
              </w:rPr>
              <w:t>то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на процедурите.</w:t>
            </w:r>
            <w:r w:rsidR="00AD05CA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5605DC">
              <w:rPr>
                <w:rFonts w:ascii="Verdana" w:hAnsi="Verdana"/>
                <w:sz w:val="20"/>
                <w:szCs w:val="20"/>
                <w:lang w:val="bg-BG"/>
              </w:rPr>
              <w:t xml:space="preserve">Предварителните изчисления, направени чрез </w:t>
            </w:r>
            <w:r w:rsidR="005605DC" w:rsidRPr="002E1254">
              <w:rPr>
                <w:rFonts w:ascii="Verdana" w:hAnsi="Verdana"/>
                <w:sz w:val="20"/>
                <w:szCs w:val="20"/>
                <w:lang w:val="bg-BG"/>
              </w:rPr>
              <w:t>използване на интерактивния калкулатор на Портала за обществени консултации</w:t>
            </w:r>
            <w:r w:rsidR="005605DC">
              <w:rPr>
                <w:rFonts w:ascii="Verdana" w:hAnsi="Verdana"/>
                <w:sz w:val="20"/>
                <w:szCs w:val="20"/>
                <w:lang w:val="bg-BG"/>
              </w:rPr>
              <w:t>, сочат, че</w:t>
            </w:r>
            <w:r w:rsidR="005605DC" w:rsidRPr="002E1254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5605DC">
              <w:rPr>
                <w:rFonts w:ascii="Verdana" w:hAnsi="Verdana"/>
                <w:sz w:val="20"/>
                <w:szCs w:val="20"/>
                <w:lang w:val="bg-BG"/>
              </w:rPr>
              <w:t xml:space="preserve">електронните процедури </w:t>
            </w:r>
            <w:r w:rsidR="00B02295">
              <w:rPr>
                <w:rFonts w:ascii="Verdana" w:hAnsi="Verdana"/>
                <w:sz w:val="20"/>
                <w:szCs w:val="20"/>
                <w:lang w:val="bg-BG"/>
              </w:rPr>
              <w:t xml:space="preserve">ще позволят сумарно </w:t>
            </w:r>
            <w:r w:rsidR="005605DC" w:rsidRPr="002E1254">
              <w:rPr>
                <w:rFonts w:ascii="Verdana" w:hAnsi="Verdana"/>
                <w:sz w:val="20"/>
                <w:szCs w:val="20"/>
                <w:lang w:val="bg-BG"/>
              </w:rPr>
              <w:t xml:space="preserve">участниците </w:t>
            </w:r>
            <w:r w:rsidR="00B02295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  <w:r w:rsidR="005605DC">
              <w:rPr>
                <w:rFonts w:ascii="Verdana" w:hAnsi="Verdana"/>
                <w:sz w:val="20"/>
                <w:szCs w:val="20"/>
                <w:lang w:val="bg-BG"/>
              </w:rPr>
              <w:t xml:space="preserve"> намалят своите </w:t>
            </w:r>
            <w:r w:rsidR="005605DC" w:rsidRPr="002E1254">
              <w:rPr>
                <w:rFonts w:ascii="Verdana" w:hAnsi="Verdana"/>
                <w:sz w:val="20"/>
                <w:szCs w:val="20"/>
                <w:lang w:val="bg-BG"/>
              </w:rPr>
              <w:t>разходи</w:t>
            </w:r>
            <w:r w:rsidR="005605DC">
              <w:rPr>
                <w:rFonts w:ascii="Verdana" w:hAnsi="Verdana"/>
                <w:sz w:val="20"/>
                <w:szCs w:val="20"/>
                <w:lang w:val="bg-BG"/>
              </w:rPr>
              <w:t xml:space="preserve"> за подготовка на документите и участие </w:t>
            </w:r>
            <w:r w:rsidR="005605DC" w:rsidRPr="002E1254">
              <w:rPr>
                <w:rFonts w:ascii="Verdana" w:hAnsi="Verdana"/>
                <w:sz w:val="20"/>
                <w:szCs w:val="20"/>
                <w:lang w:val="bg-BG"/>
              </w:rPr>
              <w:t xml:space="preserve">в </w:t>
            </w:r>
            <w:r w:rsidR="005605DC">
              <w:rPr>
                <w:rFonts w:ascii="Verdana" w:hAnsi="Verdana"/>
                <w:sz w:val="20"/>
                <w:szCs w:val="20"/>
                <w:lang w:val="bg-BG"/>
              </w:rPr>
              <w:t xml:space="preserve">самите </w:t>
            </w:r>
            <w:r w:rsidR="005605DC" w:rsidRPr="002E1254">
              <w:rPr>
                <w:rFonts w:ascii="Verdana" w:hAnsi="Verdana"/>
                <w:sz w:val="20"/>
                <w:szCs w:val="20"/>
                <w:lang w:val="bg-BG"/>
              </w:rPr>
              <w:t xml:space="preserve">процедури </w:t>
            </w:r>
            <w:r w:rsidR="005605DC">
              <w:rPr>
                <w:rFonts w:ascii="Verdana" w:hAnsi="Verdana"/>
                <w:sz w:val="20"/>
                <w:szCs w:val="20"/>
                <w:lang w:val="bg-BG"/>
              </w:rPr>
              <w:t>с</w:t>
            </w:r>
            <w:r w:rsidR="005605DC" w:rsidRPr="002E1254">
              <w:rPr>
                <w:rFonts w:ascii="Verdana" w:hAnsi="Verdana"/>
                <w:sz w:val="20"/>
                <w:szCs w:val="20"/>
                <w:lang w:val="bg-BG"/>
              </w:rPr>
              <w:t xml:space="preserve"> 3 388 235 лв.</w:t>
            </w:r>
            <w:r w:rsidR="003C4F98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B02295">
              <w:rPr>
                <w:rFonts w:ascii="Verdana" w:hAnsi="Verdana"/>
                <w:sz w:val="20"/>
                <w:szCs w:val="20"/>
                <w:lang w:val="bg-BG"/>
              </w:rPr>
              <w:t>годишно.</w:t>
            </w:r>
            <w:r w:rsidR="005605DC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D04E6D" w:rsidRPr="00D04E6D" w:rsidRDefault="00D04E6D" w:rsidP="008C65F8">
            <w:pPr>
              <w:spacing w:after="120"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3. </w:t>
            </w:r>
            <w:r w:rsidR="00445311">
              <w:rPr>
                <w:rFonts w:ascii="Verdana" w:hAnsi="Verdana"/>
                <w:sz w:val="20"/>
                <w:szCs w:val="20"/>
                <w:lang w:val="bg-BG"/>
              </w:rPr>
              <w:t xml:space="preserve">При сега действащите разпоредби на Наредбата, </w:t>
            </w:r>
            <w:r w:rsidR="00445311" w:rsidRPr="00445311">
              <w:rPr>
                <w:rFonts w:ascii="Verdana" w:hAnsi="Verdana"/>
                <w:sz w:val="20"/>
                <w:szCs w:val="20"/>
                <w:lang w:val="bg-BG"/>
              </w:rPr>
              <w:t>участниците предоставят значителен брой документи</w:t>
            </w:r>
            <w:r w:rsidR="00325532">
              <w:rPr>
                <w:rFonts w:ascii="Verdana" w:hAnsi="Verdana"/>
                <w:sz w:val="20"/>
                <w:szCs w:val="20"/>
                <w:lang w:val="bg-BG"/>
              </w:rPr>
              <w:t xml:space="preserve">, достигащ до 55-60 </w:t>
            </w:r>
            <w:r w:rsidR="00445311" w:rsidRPr="00445311">
              <w:rPr>
                <w:rFonts w:ascii="Verdana" w:hAnsi="Verdana"/>
                <w:sz w:val="20"/>
                <w:szCs w:val="20"/>
                <w:lang w:val="bg-BG"/>
              </w:rPr>
              <w:t xml:space="preserve">броя </w:t>
            </w:r>
            <w:r w:rsidR="00325532">
              <w:rPr>
                <w:rFonts w:ascii="Verdana" w:hAnsi="Verdana"/>
                <w:sz w:val="20"/>
                <w:szCs w:val="20"/>
                <w:lang w:val="bg-BG"/>
              </w:rPr>
              <w:t>при различните процедури</w:t>
            </w:r>
            <w:r w:rsidR="00445311">
              <w:rPr>
                <w:rFonts w:ascii="Verdana" w:hAnsi="Verdana"/>
                <w:sz w:val="20"/>
                <w:szCs w:val="20"/>
                <w:lang w:val="bg-BG"/>
              </w:rPr>
              <w:t>,</w:t>
            </w:r>
            <w:r w:rsidR="00445311" w:rsidRPr="00445311">
              <w:rPr>
                <w:rFonts w:ascii="Verdana" w:hAnsi="Verdana"/>
                <w:sz w:val="20"/>
                <w:szCs w:val="20"/>
                <w:lang w:val="bg-BG"/>
              </w:rPr>
              <w:t xml:space="preserve"> което </w:t>
            </w:r>
            <w:r w:rsidR="00445311" w:rsidRPr="00445311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представлява съществена административна тежест при подготовката на документите за участие в процедурите</w:t>
            </w:r>
            <w:r w:rsidR="00445311">
              <w:rPr>
                <w:rFonts w:ascii="Verdana" w:hAnsi="Verdana"/>
                <w:sz w:val="20"/>
                <w:szCs w:val="20"/>
                <w:lang w:val="bg-BG"/>
              </w:rPr>
              <w:t xml:space="preserve">. Проверяването на достоверността на всички представени документи също ангажира </w:t>
            </w:r>
            <w:r w:rsidR="00B02295">
              <w:rPr>
                <w:rFonts w:ascii="Verdana" w:hAnsi="Verdana"/>
                <w:sz w:val="20"/>
                <w:szCs w:val="20"/>
                <w:lang w:val="bg-BG"/>
              </w:rPr>
              <w:t>значителен</w:t>
            </w:r>
            <w:r w:rsidR="00445311">
              <w:rPr>
                <w:rFonts w:ascii="Verdana" w:hAnsi="Verdana"/>
                <w:sz w:val="20"/>
                <w:szCs w:val="20"/>
                <w:lang w:val="bg-BG"/>
              </w:rPr>
              <w:t xml:space="preserve"> експертен ресурс, като комисията по провеждането на процедурите се състои от минимум 5 члена</w:t>
            </w:r>
            <w:r w:rsidR="00445311" w:rsidRPr="00445311">
              <w:rPr>
                <w:rFonts w:ascii="Verdana" w:hAnsi="Verdana"/>
                <w:sz w:val="20"/>
                <w:szCs w:val="20"/>
                <w:lang w:val="bg-BG"/>
              </w:rPr>
              <w:t>,</w:t>
            </w:r>
            <w:r w:rsidR="00445311">
              <w:rPr>
                <w:rFonts w:ascii="Verdana" w:hAnsi="Verdana"/>
                <w:sz w:val="20"/>
                <w:szCs w:val="20"/>
                <w:lang w:val="bg-BG"/>
              </w:rPr>
              <w:t xml:space="preserve"> което води до</w:t>
            </w:r>
            <w:r w:rsidR="00445311" w:rsidRPr="00445311">
              <w:rPr>
                <w:rFonts w:ascii="Verdana" w:hAnsi="Verdana"/>
                <w:sz w:val="20"/>
                <w:szCs w:val="20"/>
                <w:lang w:val="bg-BG"/>
              </w:rPr>
              <w:t xml:space="preserve"> затруднен </w:t>
            </w:r>
            <w:proofErr w:type="spellStart"/>
            <w:r w:rsidR="00445311" w:rsidRPr="00445311">
              <w:rPr>
                <w:rFonts w:ascii="Verdana" w:hAnsi="Verdana"/>
                <w:sz w:val="20"/>
                <w:szCs w:val="20"/>
                <w:lang w:val="bg-BG"/>
              </w:rPr>
              <w:t>документооборот</w:t>
            </w:r>
            <w:proofErr w:type="spellEnd"/>
            <w:r w:rsidR="00445311" w:rsidRPr="00445311">
              <w:rPr>
                <w:rFonts w:ascii="Verdana" w:hAnsi="Verdana"/>
                <w:sz w:val="20"/>
                <w:szCs w:val="20"/>
                <w:lang w:val="bg-BG"/>
              </w:rPr>
              <w:t xml:space="preserve"> и неефективност. </w:t>
            </w:r>
            <w:r w:rsidR="00445311">
              <w:rPr>
                <w:rFonts w:ascii="Verdana" w:hAnsi="Verdana"/>
                <w:sz w:val="20"/>
                <w:szCs w:val="20"/>
                <w:lang w:val="bg-BG"/>
              </w:rPr>
              <w:t>Изложените проблеми</w:t>
            </w:r>
            <w:r w:rsidR="00445311" w:rsidRPr="009449F2">
              <w:rPr>
                <w:rFonts w:ascii="Verdana" w:hAnsi="Verdana"/>
                <w:sz w:val="20"/>
                <w:szCs w:val="20"/>
                <w:lang w:val="bg-BG"/>
              </w:rPr>
              <w:t xml:space="preserve"> могат да бъдат решени чрез </w:t>
            </w:r>
            <w:r w:rsidR="00B02295">
              <w:rPr>
                <w:rFonts w:ascii="Verdana" w:hAnsi="Verdana"/>
                <w:sz w:val="20"/>
                <w:szCs w:val="20"/>
                <w:lang w:val="bg-BG"/>
              </w:rPr>
              <w:t>актуализиране</w:t>
            </w:r>
            <w:r w:rsidR="00445311" w:rsidRPr="009449F2">
              <w:rPr>
                <w:rFonts w:ascii="Verdana" w:hAnsi="Verdana"/>
                <w:sz w:val="20"/>
                <w:szCs w:val="20"/>
                <w:lang w:val="bg-BG"/>
              </w:rPr>
              <w:t xml:space="preserve"> на уредбата и намаляване на изискуемите документи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,</w:t>
            </w:r>
            <w:r w:rsidR="00445311">
              <w:rPr>
                <w:rFonts w:ascii="Verdana" w:hAnsi="Verdana"/>
                <w:sz w:val="20"/>
                <w:szCs w:val="20"/>
                <w:lang w:val="bg-BG"/>
              </w:rPr>
              <w:t xml:space="preserve"> като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чрез деклариране на обстоятелствата за съответствие с изискванията към кандидатите, </w:t>
            </w:r>
            <w:r w:rsidR="00445311">
              <w:rPr>
                <w:rFonts w:ascii="Verdana" w:hAnsi="Verdana"/>
                <w:sz w:val="20"/>
                <w:szCs w:val="20"/>
                <w:lang w:val="bg-BG"/>
              </w:rPr>
              <w:t xml:space="preserve">ще се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намал</w:t>
            </w:r>
            <w:r w:rsidR="00445311">
              <w:rPr>
                <w:rFonts w:ascii="Verdana" w:hAnsi="Verdana"/>
                <w:sz w:val="20"/>
                <w:szCs w:val="20"/>
                <w:lang w:val="bg-BG"/>
              </w:rPr>
              <w:t>и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тежестта върху бизнеса, включително и чрез такси за издаване на удостоверения за текущото им </w:t>
            </w:r>
            <w:r w:rsidR="00B02295">
              <w:rPr>
                <w:rFonts w:ascii="Verdana" w:hAnsi="Verdana"/>
                <w:sz w:val="20"/>
                <w:szCs w:val="20"/>
                <w:lang w:val="bg-BG"/>
              </w:rPr>
              <w:t xml:space="preserve">актуално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състояние</w:t>
            </w:r>
            <w:r w:rsidR="00B02295">
              <w:rPr>
                <w:rFonts w:ascii="Verdana" w:hAnsi="Verdana"/>
                <w:sz w:val="20"/>
                <w:szCs w:val="20"/>
                <w:lang w:val="bg-BG"/>
              </w:rPr>
              <w:t xml:space="preserve"> и валидност</w:t>
            </w:r>
            <w:r w:rsidR="008E6AE9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  <w:r w:rsidR="00445311"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="008E6AE9">
              <w:rPr>
                <w:rFonts w:ascii="Verdana" w:hAnsi="Verdana"/>
                <w:sz w:val="20"/>
                <w:szCs w:val="20"/>
                <w:lang w:val="bg-BG"/>
              </w:rPr>
              <w:t>редлаганото намал</w:t>
            </w:r>
            <w:r w:rsidR="00B02295">
              <w:rPr>
                <w:rFonts w:ascii="Verdana" w:hAnsi="Verdana"/>
                <w:sz w:val="20"/>
                <w:szCs w:val="20"/>
                <w:lang w:val="bg-BG"/>
              </w:rPr>
              <w:t>яване</w:t>
            </w:r>
            <w:r w:rsidR="008E6AE9">
              <w:rPr>
                <w:rFonts w:ascii="Verdana" w:hAnsi="Verdana"/>
                <w:sz w:val="20"/>
                <w:szCs w:val="20"/>
                <w:lang w:val="bg-BG"/>
              </w:rPr>
              <w:t xml:space="preserve"> на състава на комисиите от минимум 3 души </w:t>
            </w:r>
            <w:r w:rsidR="00445311">
              <w:rPr>
                <w:rFonts w:ascii="Verdana" w:hAnsi="Verdana"/>
                <w:sz w:val="20"/>
                <w:szCs w:val="20"/>
                <w:lang w:val="bg-BG"/>
              </w:rPr>
              <w:t xml:space="preserve">ще подобри ефективността на експертния ресурс на възложителите, респективно </w:t>
            </w:r>
            <w:r w:rsidR="00325532">
              <w:rPr>
                <w:rFonts w:ascii="Verdana" w:hAnsi="Verdana"/>
                <w:sz w:val="20"/>
                <w:szCs w:val="20"/>
                <w:lang w:val="bg-BG"/>
              </w:rPr>
              <w:t xml:space="preserve">на </w:t>
            </w:r>
            <w:r w:rsidR="00445311">
              <w:rPr>
                <w:rFonts w:ascii="Verdana" w:hAnsi="Verdana"/>
                <w:sz w:val="20"/>
                <w:szCs w:val="20"/>
                <w:lang w:val="bg-BG"/>
              </w:rPr>
              <w:t>продавачите.</w:t>
            </w:r>
          </w:p>
          <w:p w:rsidR="00325532" w:rsidRPr="00D04E6D" w:rsidRDefault="005917C7" w:rsidP="00325532">
            <w:pPr>
              <w:tabs>
                <w:tab w:val="left" w:pos="709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   </w:t>
            </w:r>
            <w:r w:rsidR="00D04E6D"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4. </w:t>
            </w:r>
            <w:r w:rsidR="00325532">
              <w:rPr>
                <w:rFonts w:ascii="Verdana" w:hAnsi="Verdana"/>
                <w:sz w:val="20"/>
                <w:szCs w:val="20"/>
                <w:lang w:val="bg-BG"/>
              </w:rPr>
              <w:t xml:space="preserve">В момента се констатира </w:t>
            </w:r>
            <w:r w:rsidR="00B02295">
              <w:rPr>
                <w:rFonts w:ascii="Verdana" w:hAnsi="Verdana"/>
                <w:sz w:val="20"/>
                <w:szCs w:val="20"/>
                <w:lang w:val="bg-BG"/>
              </w:rPr>
              <w:t xml:space="preserve">тенденция към </w:t>
            </w:r>
            <w:r w:rsidR="00325532" w:rsidRPr="00325532">
              <w:rPr>
                <w:rFonts w:ascii="Verdana" w:hAnsi="Verdana"/>
                <w:sz w:val="20"/>
                <w:szCs w:val="20"/>
                <w:lang w:val="bg-BG"/>
              </w:rPr>
              <w:t>недостатъчно качествено и своевременно изпълнение на договорите при продажба на стояща дървесина на корен от страна на купувачите при гаранция за изпълнение от 5 на сто от стойността по договора</w:t>
            </w:r>
            <w:r w:rsidR="00325532">
              <w:rPr>
                <w:rFonts w:ascii="Verdana" w:hAnsi="Verdana"/>
                <w:sz w:val="20"/>
                <w:szCs w:val="20"/>
                <w:lang w:val="bg-BG"/>
              </w:rPr>
              <w:t xml:space="preserve">. Това положение може да се повлияе с </w:t>
            </w:r>
            <w:r w:rsidR="00D04E6D" w:rsidRPr="00D04E6D">
              <w:rPr>
                <w:rFonts w:ascii="Verdana" w:hAnsi="Verdana"/>
                <w:sz w:val="20"/>
                <w:szCs w:val="20"/>
                <w:lang w:val="bg-BG"/>
              </w:rPr>
              <w:t>увеличаване на гаранцията за изпълнение на договорите</w:t>
            </w:r>
            <w:r w:rsidR="00D04E6D" w:rsidRPr="007F1A32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D04E6D"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при продажба на стояща дървесина на корен </w:t>
            </w:r>
            <w:r w:rsidR="00B02295">
              <w:rPr>
                <w:rFonts w:ascii="Verdana" w:hAnsi="Verdana"/>
                <w:sz w:val="20"/>
                <w:szCs w:val="20"/>
                <w:lang w:val="bg-BG"/>
              </w:rPr>
              <w:t xml:space="preserve">от 5 </w:t>
            </w:r>
            <w:r w:rsidR="00D04E6D"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на 10 на сто </w:t>
            </w:r>
            <w:r w:rsidR="00325532">
              <w:rPr>
                <w:rFonts w:ascii="Verdana" w:hAnsi="Verdana"/>
                <w:sz w:val="20"/>
                <w:szCs w:val="20"/>
                <w:lang w:val="bg-BG"/>
              </w:rPr>
              <w:t>от стойността на договора. Експертно, финансовата т</w:t>
            </w:r>
            <w:r w:rsidR="00325532" w:rsidRPr="000C4C6F">
              <w:rPr>
                <w:rFonts w:ascii="Verdana" w:hAnsi="Verdana"/>
                <w:sz w:val="20"/>
                <w:szCs w:val="20"/>
                <w:lang w:val="bg-BG"/>
              </w:rPr>
              <w:t xml:space="preserve">ежест върху сключилите договори за продажба на стояща дървесина на корен </w:t>
            </w:r>
            <w:r w:rsidR="00325532">
              <w:rPr>
                <w:rFonts w:ascii="Verdana" w:hAnsi="Verdana"/>
                <w:sz w:val="20"/>
                <w:szCs w:val="20"/>
                <w:lang w:val="bg-BG"/>
              </w:rPr>
              <w:t xml:space="preserve">при увеличаване на </w:t>
            </w:r>
            <w:r w:rsidR="00325532" w:rsidRPr="000C4C6F">
              <w:rPr>
                <w:rFonts w:ascii="Verdana" w:hAnsi="Verdana"/>
                <w:sz w:val="20"/>
                <w:szCs w:val="20"/>
                <w:lang w:val="bg-BG"/>
              </w:rPr>
              <w:t xml:space="preserve">гаранцията за изпълнение на договорите, </w:t>
            </w:r>
            <w:r w:rsidR="00B02295">
              <w:rPr>
                <w:rFonts w:ascii="Verdana" w:hAnsi="Verdana"/>
                <w:sz w:val="20"/>
                <w:szCs w:val="20"/>
                <w:lang w:val="bg-BG"/>
              </w:rPr>
              <w:t xml:space="preserve">изчислена на база на отчетни </w:t>
            </w:r>
            <w:r w:rsidR="00325532" w:rsidRPr="000C4C6F">
              <w:rPr>
                <w:rFonts w:ascii="Verdana" w:hAnsi="Verdana"/>
                <w:sz w:val="20"/>
                <w:szCs w:val="20"/>
                <w:lang w:val="bg-BG"/>
              </w:rPr>
              <w:t xml:space="preserve">данни за 2018 г., е </w:t>
            </w:r>
            <w:r w:rsidR="00325532">
              <w:rPr>
                <w:rFonts w:ascii="Verdana" w:hAnsi="Verdana"/>
                <w:sz w:val="20"/>
                <w:szCs w:val="20"/>
                <w:lang w:val="bg-BG"/>
              </w:rPr>
              <w:t>около</w:t>
            </w:r>
            <w:r w:rsidR="00325532" w:rsidRPr="000C4C6F">
              <w:rPr>
                <w:rFonts w:ascii="Verdana" w:hAnsi="Verdana"/>
                <w:sz w:val="20"/>
                <w:szCs w:val="20"/>
                <w:lang w:val="bg-BG"/>
              </w:rPr>
              <w:t xml:space="preserve"> 4 </w:t>
            </w:r>
            <w:r w:rsidR="00325532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  <w:r w:rsidR="00325532" w:rsidRPr="000C4C6F">
              <w:rPr>
                <w:rFonts w:ascii="Verdana" w:hAnsi="Verdana"/>
                <w:sz w:val="20"/>
                <w:szCs w:val="20"/>
                <w:lang w:val="bg-BG"/>
              </w:rPr>
              <w:t>00 000 лв. го</w:t>
            </w:r>
            <w:r w:rsidR="00325532">
              <w:rPr>
                <w:rFonts w:ascii="Verdana" w:hAnsi="Verdana"/>
                <w:sz w:val="20"/>
                <w:szCs w:val="20"/>
                <w:lang w:val="bg-BG"/>
              </w:rPr>
              <w:t>дишно, но тези средства са възстановими при коректно изпълнение от тяхна страна.</w:t>
            </w:r>
          </w:p>
          <w:p w:rsidR="00D04E6D" w:rsidRPr="00D04E6D" w:rsidRDefault="00D04E6D" w:rsidP="008C65F8">
            <w:pPr>
              <w:spacing w:after="120"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5. С оглед прецизиране на текстовете се предлага да отпаднат някои ненужни повторения. Стремежът е към </w:t>
            </w:r>
            <w:proofErr w:type="spellStart"/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конкретика</w:t>
            </w:r>
            <w:proofErr w:type="spellEnd"/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и точност в терминологията, с което се повишава качеството на нормативния акт.</w:t>
            </w:r>
          </w:p>
          <w:p w:rsidR="00D04E6D" w:rsidRPr="00D04E6D" w:rsidRDefault="00D04E6D" w:rsidP="008C65F8">
            <w:pPr>
              <w:spacing w:before="120" w:after="120" w:line="360" w:lineRule="auto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i/>
                <w:sz w:val="20"/>
                <w:szCs w:val="20"/>
                <w:lang w:val="bg-BG"/>
              </w:rPr>
              <w:t>1.2. 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D04E6D" w:rsidRPr="007F1A32" w:rsidRDefault="00D04E6D" w:rsidP="008C65F8">
            <w:pPr>
              <w:spacing w:before="120" w:line="360" w:lineRule="auto"/>
              <w:ind w:firstLine="426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Продажбата на дървесина, добита от горските територии – държавна собственост, чрез електронни търгове е един нов начин за продажба, </w:t>
            </w:r>
            <w:r w:rsidR="00B02295">
              <w:rPr>
                <w:rFonts w:ascii="Verdana" w:hAnsi="Verdana"/>
                <w:sz w:val="20"/>
                <w:szCs w:val="20"/>
                <w:lang w:val="bg-BG"/>
              </w:rPr>
              <w:t>въведен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през 2016 г., независимо, че нормата е създадена в края на 2011 г. В хода на провеждането на немалък брой електронни търгове възник</w:t>
            </w:r>
            <w:r w:rsidR="000D156B">
              <w:rPr>
                <w:rFonts w:ascii="Verdana" w:hAnsi="Verdana"/>
                <w:sz w:val="20"/>
                <w:szCs w:val="20"/>
                <w:lang w:val="bg-BG"/>
              </w:rPr>
              <w:t>наха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и </w:t>
            </w:r>
            <w:r w:rsidR="000D156B">
              <w:rPr>
                <w:rFonts w:ascii="Verdana" w:hAnsi="Verdana"/>
                <w:sz w:val="20"/>
                <w:szCs w:val="20"/>
                <w:lang w:val="bg-BG"/>
              </w:rPr>
              <w:t>се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решава</w:t>
            </w:r>
            <w:r w:rsidR="000D156B">
              <w:rPr>
                <w:rFonts w:ascii="Verdana" w:hAnsi="Verdana"/>
                <w:sz w:val="20"/>
                <w:szCs w:val="20"/>
                <w:lang w:val="bg-BG"/>
              </w:rPr>
              <w:t>ха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оперативно множество въпроси, </w:t>
            </w:r>
            <w:r w:rsidR="000D156B">
              <w:rPr>
                <w:rFonts w:ascii="Verdana" w:hAnsi="Verdana"/>
                <w:sz w:val="20"/>
                <w:szCs w:val="20"/>
                <w:lang w:val="bg-BG"/>
              </w:rPr>
              <w:t>породени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от натрупването на практика, които е необходимо да бъдат обобщени и нормативно въведени за унифицирано приложение от всички продавачи по Наредбата.</w:t>
            </w:r>
          </w:p>
          <w:p w:rsidR="00D04E6D" w:rsidRPr="00D04E6D" w:rsidRDefault="00D04E6D" w:rsidP="008C65F8">
            <w:pPr>
              <w:spacing w:before="120" w:line="360" w:lineRule="auto"/>
              <w:ind w:firstLine="426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Изложените проблеми не могат да бъдат решени в рамките на съществуващото законодателство чрез промяна в организацията на работа и/или чрез въвеждане на нови технологични възможности.</w:t>
            </w:r>
          </w:p>
          <w:p w:rsidR="00D04E6D" w:rsidRPr="00D04E6D" w:rsidRDefault="00D04E6D" w:rsidP="008C65F8">
            <w:pPr>
              <w:spacing w:before="120" w:after="120" w:line="360" w:lineRule="auto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i/>
                <w:sz w:val="20"/>
                <w:szCs w:val="20"/>
                <w:lang w:val="bg-BG"/>
              </w:rPr>
              <w:lastRenderedPageBreak/>
              <w:t xml:space="preserve">1.3. Посочете дали са извършени </w:t>
            </w:r>
            <w:proofErr w:type="spellStart"/>
            <w:r w:rsidRPr="00D04E6D">
              <w:rPr>
                <w:rFonts w:ascii="Verdana" w:hAnsi="Verdana"/>
                <w:i/>
                <w:sz w:val="20"/>
                <w:szCs w:val="20"/>
                <w:lang w:val="bg-BG"/>
              </w:rPr>
              <w:t>последващи</w:t>
            </w:r>
            <w:proofErr w:type="spellEnd"/>
            <w:r w:rsidRPr="00D04E6D">
              <w:rPr>
                <w:rFonts w:ascii="Verdana" w:hAnsi="Verdana"/>
                <w:i/>
                <w:sz w:val="20"/>
                <w:szCs w:val="20"/>
                <w:lang w:val="bg-BG"/>
              </w:rPr>
              <w:t xml:space="preserve"> оценки на нормативния акт, или анализи за изпълнението на политиката и какви са резултатите от тях? </w:t>
            </w:r>
          </w:p>
          <w:p w:rsidR="00D04E6D" w:rsidRPr="00D04E6D" w:rsidRDefault="008C65F8" w:rsidP="000D156B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     </w:t>
            </w:r>
            <w:r w:rsidR="00D04E6D"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Не са извършвани </w:t>
            </w:r>
            <w:proofErr w:type="spellStart"/>
            <w:r w:rsidR="00D04E6D" w:rsidRPr="00D04E6D">
              <w:rPr>
                <w:rFonts w:ascii="Verdana" w:hAnsi="Verdana"/>
                <w:sz w:val="20"/>
                <w:szCs w:val="20"/>
                <w:lang w:val="bg-BG"/>
              </w:rPr>
              <w:t>последващи</w:t>
            </w:r>
            <w:proofErr w:type="spellEnd"/>
            <w:r w:rsidR="00D04E6D"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оценки на нормативния акт.</w:t>
            </w:r>
          </w:p>
        </w:tc>
      </w:tr>
      <w:tr w:rsidR="00D04E6D" w:rsidRPr="00D04E6D" w:rsidTr="0022081A">
        <w:tc>
          <w:tcPr>
            <w:tcW w:w="9606" w:type="dxa"/>
            <w:gridSpan w:val="2"/>
            <w:shd w:val="clear" w:color="auto" w:fill="auto"/>
          </w:tcPr>
          <w:p w:rsidR="001407D9" w:rsidRDefault="00D04E6D" w:rsidP="008C65F8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 xml:space="preserve">2. Цели:  </w:t>
            </w:r>
          </w:p>
          <w:p w:rsidR="00D04E6D" w:rsidRPr="00D04E6D" w:rsidRDefault="00D04E6D" w:rsidP="008C65F8">
            <w:pPr>
              <w:spacing w:before="12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Всички промени са подчинени на основната цел - облекчаване на бизнеса и създаване на стимули за инвестиции в съвременна и високопроизводителна горска техника. Тези цели са в съответствие с Програмата за управление на правителството на Република България, цел 164: Подкрепа за развитието на изоставащите и подобряване на качеството на живот в горските региони, чрез подобряване условията за развитие на малкия и средния бизнес в горската индустрия (дърводобив и дървопреработване), както и конкретните мерки</w:t>
            </w:r>
            <w:r w:rsidR="000D156B">
              <w:rPr>
                <w:rFonts w:ascii="Verdana" w:hAnsi="Verdana"/>
                <w:sz w:val="20"/>
                <w:szCs w:val="20"/>
                <w:lang w:val="bg-BG"/>
              </w:rPr>
              <w:t>: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0D156B">
              <w:rPr>
                <w:rFonts w:ascii="Verdana" w:hAnsi="Verdana"/>
                <w:sz w:val="20"/>
                <w:szCs w:val="20"/>
                <w:lang w:val="bg-BG"/>
              </w:rPr>
              <w:t xml:space="preserve">мярка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646</w:t>
            </w:r>
            <w:r w:rsidR="000D156B">
              <w:rPr>
                <w:rFonts w:ascii="Verdana" w:hAnsi="Verdana"/>
                <w:sz w:val="20"/>
                <w:szCs w:val="20"/>
                <w:lang w:val="bg-BG"/>
              </w:rPr>
              <w:t xml:space="preserve"> -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Продължаване на мерките за преференциално предоставяне на дървесна суровина на български и местни </w:t>
            </w:r>
            <w:proofErr w:type="spellStart"/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преработватели</w:t>
            </w:r>
            <w:proofErr w:type="spellEnd"/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с цел подкрепа на националната горска индустрия. Стимулиране на дългосрочното договаряне, и </w:t>
            </w:r>
            <w:r w:rsidR="000D156B">
              <w:rPr>
                <w:rFonts w:ascii="Verdana" w:hAnsi="Verdana"/>
                <w:sz w:val="20"/>
                <w:szCs w:val="20"/>
                <w:lang w:val="bg-BG"/>
              </w:rPr>
              <w:t xml:space="preserve">мярка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647</w:t>
            </w:r>
            <w:r w:rsidR="000D156B">
              <w:rPr>
                <w:rFonts w:ascii="Verdana" w:hAnsi="Verdana"/>
                <w:sz w:val="20"/>
                <w:szCs w:val="20"/>
                <w:lang w:val="bg-BG"/>
              </w:rPr>
              <w:t xml:space="preserve"> -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Увеличаване дела на продажбите на дървесина от обществените гори чрез електронен търг.</w:t>
            </w:r>
          </w:p>
          <w:p w:rsidR="00D04E6D" w:rsidRPr="00D04E6D" w:rsidRDefault="00D04E6D" w:rsidP="008C65F8">
            <w:pPr>
              <w:spacing w:before="120" w:line="360" w:lineRule="auto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i/>
                <w:sz w:val="20"/>
                <w:szCs w:val="20"/>
                <w:lang w:val="bg-BG"/>
              </w:rPr>
              <w:t>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</w:t>
            </w:r>
          </w:p>
        </w:tc>
      </w:tr>
      <w:tr w:rsidR="00D04E6D" w:rsidRPr="007F1A32" w:rsidTr="0022081A">
        <w:tc>
          <w:tcPr>
            <w:tcW w:w="9606" w:type="dxa"/>
            <w:gridSpan w:val="2"/>
            <w:shd w:val="clear" w:color="auto" w:fill="auto"/>
          </w:tcPr>
          <w:p w:rsidR="00D04E6D" w:rsidRPr="00D04E6D" w:rsidRDefault="00D04E6D" w:rsidP="008C65F8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3. Идентифициране на заинтересованите страни: </w:t>
            </w:r>
          </w:p>
          <w:p w:rsidR="00D04E6D" w:rsidRPr="00D04E6D" w:rsidRDefault="00D04E6D" w:rsidP="001407D9">
            <w:pPr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1. Държавните предприятия по чл. 163 от Закона за горите</w:t>
            </w:r>
            <w:r w:rsidR="00CE1C22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CE1C22" w:rsidRPr="00CE1C22">
              <w:rPr>
                <w:rFonts w:ascii="Verdana" w:hAnsi="Verdana"/>
                <w:sz w:val="20"/>
                <w:szCs w:val="20"/>
                <w:lang w:val="bg-BG"/>
              </w:rPr>
              <w:t>(</w:t>
            </w:r>
            <w:r w:rsidR="00CE1C22">
              <w:rPr>
                <w:rFonts w:ascii="Verdana" w:hAnsi="Verdana"/>
                <w:sz w:val="20"/>
                <w:szCs w:val="20"/>
                <w:lang w:val="bg-BG"/>
              </w:rPr>
              <w:t>ДП</w:t>
            </w:r>
            <w:r w:rsidR="00CE1C22" w:rsidRPr="00CE1C22">
              <w:rPr>
                <w:rFonts w:ascii="Verdana" w:hAnsi="Verdana"/>
                <w:sz w:val="20"/>
                <w:szCs w:val="20"/>
                <w:lang w:val="bg-BG"/>
              </w:rPr>
              <w:t>)</w:t>
            </w:r>
            <w:r w:rsidR="00CE1C22">
              <w:rPr>
                <w:rFonts w:ascii="Verdana" w:hAnsi="Verdana"/>
                <w:sz w:val="20"/>
                <w:szCs w:val="20"/>
                <w:lang w:val="bg-BG"/>
              </w:rPr>
              <w:t>, общини, собственици на гори, у</w:t>
            </w:r>
            <w:r w:rsidR="001407D9">
              <w:rPr>
                <w:rFonts w:ascii="Verdana" w:hAnsi="Verdana"/>
                <w:sz w:val="20"/>
                <w:szCs w:val="20"/>
                <w:lang w:val="bg-BG"/>
              </w:rPr>
              <w:t xml:space="preserve">чебно-опитните горски стопанства </w:t>
            </w:r>
            <w:r w:rsidR="001407D9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="001407D9">
              <w:rPr>
                <w:rFonts w:ascii="Verdana" w:hAnsi="Verdana"/>
                <w:sz w:val="20"/>
                <w:szCs w:val="20"/>
                <w:lang w:val="bg-BG"/>
              </w:rPr>
              <w:t>У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ОГС</w:t>
            </w:r>
            <w:r w:rsidR="001407D9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, министерства и ведомства, на които са предоставени за управление горски територии – държавна собственост</w:t>
            </w:r>
            <w:r w:rsidR="001407D9">
              <w:rPr>
                <w:rFonts w:ascii="Verdana" w:hAnsi="Verdana"/>
                <w:sz w:val="20"/>
                <w:szCs w:val="20"/>
                <w:lang w:val="bg-BG"/>
              </w:rPr>
              <w:t>, в качеството им на възложители, респ. продавачи</w:t>
            </w:r>
            <w:r w:rsidR="00CE1C22">
              <w:rPr>
                <w:rFonts w:ascii="Verdana" w:hAnsi="Verdana"/>
                <w:sz w:val="20"/>
                <w:szCs w:val="20"/>
                <w:lang w:val="bg-BG"/>
              </w:rPr>
              <w:t xml:space="preserve"> по Н</w:t>
            </w:r>
            <w:r w:rsidR="001407D9">
              <w:rPr>
                <w:rFonts w:ascii="Verdana" w:hAnsi="Verdana"/>
                <w:sz w:val="20"/>
                <w:szCs w:val="20"/>
                <w:lang w:val="bg-BG"/>
              </w:rPr>
              <w:t>аредбата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  <w:p w:rsidR="00D04E6D" w:rsidRPr="00D04E6D" w:rsidRDefault="00D04E6D" w:rsidP="001407D9">
            <w:pPr>
              <w:spacing w:before="120" w:after="120"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2. Юридически лица - горски предприемачи, добиващи дървесина, купувачи и </w:t>
            </w:r>
            <w:proofErr w:type="spellStart"/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преработватели</w:t>
            </w:r>
            <w:proofErr w:type="spellEnd"/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на дървесина – около 2000 фирми, извършващи търговска дейност в</w:t>
            </w:r>
            <w:r w:rsidR="001407D9">
              <w:rPr>
                <w:rFonts w:ascii="Verdana" w:hAnsi="Verdana"/>
                <w:sz w:val="20"/>
                <w:szCs w:val="20"/>
                <w:lang w:val="bg-BG"/>
              </w:rPr>
              <w:t xml:space="preserve"> сферата на горското стопанство, в качеството им на участници в процедурите за добив и за продажба на дървесина.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D04E6D" w:rsidRPr="00D04E6D" w:rsidRDefault="00D04E6D" w:rsidP="008C65F8">
            <w:pPr>
              <w:spacing w:before="120" w:after="120" w:line="360" w:lineRule="auto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i/>
                <w:sz w:val="20"/>
                <w:szCs w:val="20"/>
                <w:lang w:val="bg-BG"/>
              </w:rPr>
      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 област/всички предприемачи, неправителствени организации, граждани/техни представители, държавни органи, др.).</w:t>
            </w:r>
          </w:p>
        </w:tc>
      </w:tr>
      <w:tr w:rsidR="00D04E6D" w:rsidRPr="007F1A32" w:rsidTr="0022081A">
        <w:tc>
          <w:tcPr>
            <w:tcW w:w="9606" w:type="dxa"/>
            <w:gridSpan w:val="2"/>
            <w:shd w:val="clear" w:color="auto" w:fill="auto"/>
          </w:tcPr>
          <w:p w:rsidR="00D04E6D" w:rsidRPr="00D04E6D" w:rsidRDefault="00D04E6D" w:rsidP="00326587">
            <w:pPr>
              <w:spacing w:before="120" w:line="360" w:lineRule="auto"/>
              <w:ind w:firstLine="709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4. Варианти на действие: </w:t>
            </w:r>
          </w:p>
          <w:p w:rsidR="00D04E6D" w:rsidRPr="00D04E6D" w:rsidRDefault="00D04E6D" w:rsidP="008C65F8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Вариант 0: „Без действие”:</w:t>
            </w:r>
          </w:p>
          <w:p w:rsidR="00D04E6D" w:rsidRPr="00D04E6D" w:rsidRDefault="00D04E6D" w:rsidP="009D3875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line="360" w:lineRule="auto"/>
              <w:ind w:left="142" w:firstLine="14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Продължава провеждането на електронни търгове при липса на пълна и ясна нормативна рамка, което е предпоставка за прилагане на разнообразни практики от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различните възложители по Наредбата.</w:t>
            </w:r>
          </w:p>
          <w:p w:rsidR="00D04E6D" w:rsidRPr="00D04E6D" w:rsidRDefault="00D04E6D" w:rsidP="009D3875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line="360" w:lineRule="auto"/>
              <w:ind w:left="142" w:firstLine="14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Провеждането на процедурите за възлагане на дейности продължава по досегашния начин – основно чрез открит конкурс, на който е задължително присъствието на кандидатите.</w:t>
            </w:r>
          </w:p>
          <w:p w:rsidR="00D04E6D" w:rsidRPr="00D04E6D" w:rsidRDefault="00D04E6D" w:rsidP="009D3875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line="360" w:lineRule="auto"/>
              <w:ind w:left="142" w:firstLine="14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Броят на представяните документи от </w:t>
            </w:r>
            <w:r w:rsidR="006E1F6E">
              <w:rPr>
                <w:rFonts w:ascii="Verdana" w:hAnsi="Verdana"/>
                <w:sz w:val="20"/>
                <w:szCs w:val="20"/>
                <w:lang w:val="bg-BG"/>
              </w:rPr>
              <w:t xml:space="preserve">участниците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в процедури за добив на дървесина и за продажба на стояща дървесина на корен достига до 55 - 60 различни документа.</w:t>
            </w:r>
          </w:p>
          <w:p w:rsidR="00D04E6D" w:rsidRPr="00D04E6D" w:rsidRDefault="00D04E6D" w:rsidP="008C65F8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Вариант 1: „Приемане на проект на </w:t>
            </w:r>
            <w:r w:rsidR="001407D9" w:rsidRPr="001407D9">
              <w:rPr>
                <w:rFonts w:ascii="Verdana" w:hAnsi="Verdana"/>
                <w:b/>
                <w:sz w:val="20"/>
                <w:szCs w:val="20"/>
                <w:lang w:val="bg-BG"/>
              </w:rPr>
              <w:t>Постановление на Министерския съвет за изменение и допълнение на Наредбата за условията и реда за възлагане изпълнението  на дейности в горските територии – държавна и общинска собственост, и за ползването на дървесина и недървесни горски продукти, приета с Постановление № 316 на Министерския съвет от 2011 г.</w:t>
            </w: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“</w:t>
            </w:r>
          </w:p>
          <w:p w:rsidR="002E1254" w:rsidRPr="005605DC" w:rsidRDefault="00D04E6D" w:rsidP="005605DC">
            <w:pPr>
              <w:numPr>
                <w:ilvl w:val="0"/>
                <w:numId w:val="12"/>
              </w:numPr>
              <w:tabs>
                <w:tab w:val="left" w:pos="567"/>
              </w:tabs>
              <w:spacing w:before="120" w:line="360" w:lineRule="auto"/>
              <w:ind w:left="0" w:firstLine="284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Постепенно и поетапно увеличаване на </w:t>
            </w:r>
            <w:r w:rsidR="002E1254">
              <w:rPr>
                <w:rFonts w:ascii="Verdana" w:hAnsi="Verdana"/>
                <w:sz w:val="20"/>
                <w:szCs w:val="20"/>
                <w:lang w:val="bg-BG"/>
              </w:rPr>
              <w:t xml:space="preserve">продажбите на дървесина и възлагането на дейности чрез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електронни търгове и конкурси при наличие на ясен нормативен регламент, с което се облекчава участието на кандидатите като се пести време и финансови средства.</w:t>
            </w:r>
            <w:r w:rsidR="002E1254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6603C2">
              <w:rPr>
                <w:rFonts w:ascii="Verdana" w:hAnsi="Verdana"/>
                <w:sz w:val="20"/>
                <w:szCs w:val="20"/>
                <w:lang w:val="bg-BG"/>
              </w:rPr>
              <w:t xml:space="preserve">Неприсъствената електронна форма на провеждане на процедурите дава възможност за участие на заинтересовани лица от цялата страна, повишавайки достъпността без направа на транспортни и административни разходи. </w:t>
            </w:r>
            <w:r w:rsidR="005605DC" w:rsidRPr="006603C2">
              <w:rPr>
                <w:rFonts w:ascii="Verdana" w:hAnsi="Verdana"/>
                <w:sz w:val="20"/>
                <w:szCs w:val="20"/>
                <w:lang w:val="bg-BG"/>
              </w:rPr>
              <w:t>Присъствието на участниците в провежданите открити конкурси и търгове с тайно наддаване не е задължително условие за участие в процедурите,</w:t>
            </w:r>
            <w:r w:rsidR="006E1F6E">
              <w:rPr>
                <w:rFonts w:ascii="Verdana" w:hAnsi="Verdana"/>
                <w:sz w:val="20"/>
                <w:szCs w:val="20"/>
                <w:lang w:val="bg-BG"/>
              </w:rPr>
              <w:t xml:space="preserve"> което също намалява разходите з</w:t>
            </w:r>
            <w:r w:rsidR="005605DC" w:rsidRPr="006603C2">
              <w:rPr>
                <w:rFonts w:ascii="Verdana" w:hAnsi="Verdana"/>
                <w:sz w:val="20"/>
                <w:szCs w:val="20"/>
                <w:lang w:val="bg-BG"/>
              </w:rPr>
              <w:t xml:space="preserve">а участие. </w:t>
            </w:r>
          </w:p>
          <w:p w:rsidR="00014DAD" w:rsidRDefault="00D04E6D" w:rsidP="00014DAD">
            <w:pPr>
              <w:numPr>
                <w:ilvl w:val="0"/>
                <w:numId w:val="12"/>
              </w:numPr>
              <w:tabs>
                <w:tab w:val="left" w:pos="567"/>
              </w:tabs>
              <w:spacing w:before="120" w:line="360" w:lineRule="auto"/>
              <w:ind w:left="142" w:firstLine="14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Създаване на заинтересованост от страна на купувачите на </w:t>
            </w:r>
            <w:r w:rsidR="00206759">
              <w:rPr>
                <w:rFonts w:ascii="Verdana" w:hAnsi="Verdana"/>
                <w:sz w:val="20"/>
                <w:szCs w:val="20"/>
                <w:lang w:val="bg-BG"/>
              </w:rPr>
              <w:t xml:space="preserve">стояща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дървесина </w:t>
            </w:r>
            <w:r w:rsidR="00206759">
              <w:rPr>
                <w:rFonts w:ascii="Verdana" w:hAnsi="Verdana"/>
                <w:sz w:val="20"/>
                <w:szCs w:val="20"/>
                <w:lang w:val="bg-BG"/>
              </w:rPr>
              <w:t xml:space="preserve">на корен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към повишаване на качеството на работа </w:t>
            </w:r>
            <w:r w:rsidR="006D521A">
              <w:rPr>
                <w:rFonts w:ascii="Verdana" w:hAnsi="Verdana"/>
                <w:sz w:val="20"/>
                <w:szCs w:val="20"/>
                <w:lang w:val="bg-BG"/>
              </w:rPr>
              <w:t>в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горите, което е </w:t>
            </w:r>
            <w:r w:rsidR="006D521A">
              <w:rPr>
                <w:rFonts w:ascii="Verdana" w:hAnsi="Verdana"/>
                <w:sz w:val="20"/>
                <w:szCs w:val="20"/>
                <w:lang w:val="bg-BG"/>
              </w:rPr>
              <w:t xml:space="preserve">положителна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крачка в развитието на горската индустрия както в национален план, така и на регионално и местно ниво</w:t>
            </w:r>
            <w:r w:rsidR="00206759">
              <w:rPr>
                <w:rFonts w:ascii="Verdana" w:hAnsi="Verdana"/>
                <w:sz w:val="20"/>
                <w:szCs w:val="20"/>
                <w:lang w:val="bg-BG"/>
              </w:rPr>
              <w:t xml:space="preserve">, чрез удвояване на размера на гаранциите за изпълнение на сключените договори.  </w:t>
            </w:r>
          </w:p>
          <w:p w:rsidR="00014DAD" w:rsidRDefault="00D04E6D" w:rsidP="00014DAD">
            <w:pPr>
              <w:numPr>
                <w:ilvl w:val="0"/>
                <w:numId w:val="12"/>
              </w:numPr>
              <w:tabs>
                <w:tab w:val="left" w:pos="567"/>
              </w:tabs>
              <w:spacing w:before="120" w:after="120" w:line="360" w:lineRule="auto"/>
              <w:ind w:left="142" w:firstLine="284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14DAD">
              <w:rPr>
                <w:rFonts w:ascii="Verdana" w:hAnsi="Verdana"/>
                <w:sz w:val="20"/>
                <w:szCs w:val="20"/>
                <w:lang w:val="bg-BG"/>
              </w:rPr>
              <w:t xml:space="preserve">Облекчаване на административната тежест на кандидатите за възлагане на дейности и за продажба на дървесина чрез провеждане на бързи и </w:t>
            </w:r>
            <w:r w:rsidR="006D521A">
              <w:rPr>
                <w:rFonts w:ascii="Verdana" w:hAnsi="Verdana"/>
                <w:sz w:val="20"/>
                <w:szCs w:val="20"/>
                <w:lang w:val="bg-BG"/>
              </w:rPr>
              <w:t>облекчени</w:t>
            </w:r>
            <w:r w:rsidRPr="00014DAD">
              <w:rPr>
                <w:rFonts w:ascii="Verdana" w:hAnsi="Verdana"/>
                <w:sz w:val="20"/>
                <w:szCs w:val="20"/>
                <w:lang w:val="bg-BG"/>
              </w:rPr>
              <w:t xml:space="preserve"> процедури.</w:t>
            </w:r>
            <w:r w:rsidR="00014DAD" w:rsidRPr="00014DAD">
              <w:rPr>
                <w:rFonts w:ascii="Verdana" w:hAnsi="Verdana"/>
                <w:sz w:val="20"/>
                <w:szCs w:val="20"/>
                <w:lang w:val="bg-BG"/>
              </w:rPr>
              <w:t xml:space="preserve"> Реално намаляване на представяните от участниците документи, чиито брой в момента достига до 60, и заменянето им с декларация за изпълнение на техническите, професионалните и други изисквания на възложителите, респективно продавачите. Представяне на документи в подкрепа на декларираните обстоятелства единствено от определения за спечелил процедурата, преди сключването на договор. </w:t>
            </w:r>
          </w:p>
          <w:p w:rsidR="00014DAD" w:rsidRPr="00014DAD" w:rsidRDefault="00014DAD" w:rsidP="005605DC">
            <w:pPr>
              <w:numPr>
                <w:ilvl w:val="0"/>
                <w:numId w:val="12"/>
              </w:numPr>
              <w:tabs>
                <w:tab w:val="left" w:pos="567"/>
              </w:tabs>
              <w:spacing w:before="120" w:after="120" w:line="360" w:lineRule="auto"/>
              <w:ind w:left="142" w:firstLine="14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14DAD">
              <w:rPr>
                <w:rFonts w:ascii="Verdana" w:hAnsi="Verdana"/>
                <w:sz w:val="20"/>
                <w:szCs w:val="20"/>
                <w:lang w:val="bg-BG"/>
              </w:rPr>
              <w:t>Подобряване на ефективността на експертния ресурс на възложителите, респективно на продавачите, ангажирани в състава на комисиите, провеждащи процедурите. Намал</w:t>
            </w:r>
            <w:r w:rsidR="006D521A">
              <w:rPr>
                <w:rFonts w:ascii="Verdana" w:hAnsi="Verdana"/>
                <w:sz w:val="20"/>
                <w:szCs w:val="20"/>
                <w:lang w:val="bg-BG"/>
              </w:rPr>
              <w:t>яване</w:t>
            </w:r>
            <w:r w:rsidRPr="00014DAD">
              <w:rPr>
                <w:rFonts w:ascii="Verdana" w:hAnsi="Verdana"/>
                <w:sz w:val="20"/>
                <w:szCs w:val="20"/>
                <w:lang w:val="bg-BG"/>
              </w:rPr>
              <w:t xml:space="preserve"> на състава на комисиите</w:t>
            </w:r>
            <w:r w:rsidR="00C15E05">
              <w:rPr>
                <w:rFonts w:ascii="Verdana" w:hAnsi="Verdana"/>
                <w:sz w:val="20"/>
                <w:szCs w:val="20"/>
                <w:lang w:val="bg-BG"/>
              </w:rPr>
              <w:t xml:space="preserve"> от </w:t>
            </w:r>
            <w:r w:rsidR="00206759">
              <w:rPr>
                <w:rFonts w:ascii="Verdana" w:hAnsi="Verdana"/>
                <w:sz w:val="20"/>
                <w:szCs w:val="20"/>
                <w:lang w:val="bg-BG"/>
              </w:rPr>
              <w:t>минимум 5</w:t>
            </w:r>
            <w:r w:rsidR="00C15E05">
              <w:rPr>
                <w:rFonts w:ascii="Verdana" w:hAnsi="Verdana"/>
                <w:sz w:val="20"/>
                <w:szCs w:val="20"/>
                <w:lang w:val="bg-BG"/>
              </w:rPr>
              <w:t xml:space="preserve"> души</w:t>
            </w:r>
            <w:r w:rsidRPr="00014DAD">
              <w:rPr>
                <w:rFonts w:ascii="Verdana" w:hAnsi="Verdana"/>
                <w:sz w:val="20"/>
                <w:szCs w:val="20"/>
                <w:lang w:val="bg-BG"/>
              </w:rPr>
              <w:t xml:space="preserve"> на минимум 3 души, </w:t>
            </w:r>
            <w:r w:rsidR="006D521A">
              <w:rPr>
                <w:rFonts w:ascii="Verdana" w:hAnsi="Verdana"/>
                <w:sz w:val="20"/>
                <w:szCs w:val="20"/>
                <w:lang w:val="bg-BG"/>
              </w:rPr>
              <w:t xml:space="preserve">в </w:t>
            </w:r>
            <w:r w:rsidRPr="00014DAD">
              <w:rPr>
                <w:rFonts w:ascii="Verdana" w:hAnsi="Verdana"/>
                <w:sz w:val="20"/>
                <w:szCs w:val="20"/>
                <w:lang w:val="bg-BG"/>
              </w:rPr>
              <w:t>съ</w:t>
            </w:r>
            <w:r w:rsidR="006D521A">
              <w:rPr>
                <w:rFonts w:ascii="Verdana" w:hAnsi="Verdana"/>
                <w:sz w:val="20"/>
                <w:szCs w:val="20"/>
                <w:lang w:val="bg-BG"/>
              </w:rPr>
              <w:t xml:space="preserve">ответствие </w:t>
            </w:r>
            <w:r w:rsidRPr="00014DAD">
              <w:rPr>
                <w:rFonts w:ascii="Verdana" w:hAnsi="Verdana"/>
                <w:sz w:val="20"/>
                <w:szCs w:val="20"/>
                <w:lang w:val="bg-BG"/>
              </w:rPr>
              <w:t xml:space="preserve">с </w:t>
            </w:r>
            <w:r w:rsidR="006D521A">
              <w:rPr>
                <w:rFonts w:ascii="Verdana" w:hAnsi="Verdana"/>
                <w:sz w:val="20"/>
                <w:szCs w:val="20"/>
                <w:lang w:val="bg-BG"/>
              </w:rPr>
              <w:t>по-малкия брой</w:t>
            </w:r>
            <w:r w:rsidRPr="00014DAD">
              <w:rPr>
                <w:rFonts w:ascii="Verdana" w:hAnsi="Verdana"/>
                <w:sz w:val="20"/>
                <w:szCs w:val="20"/>
                <w:lang w:val="bg-BG"/>
              </w:rPr>
              <w:t xml:space="preserve"> представяни документи</w:t>
            </w:r>
            <w:r w:rsidR="006D521A">
              <w:rPr>
                <w:rFonts w:ascii="Verdana" w:hAnsi="Verdana"/>
                <w:sz w:val="20"/>
                <w:szCs w:val="20"/>
                <w:lang w:val="bg-BG"/>
              </w:rPr>
              <w:t xml:space="preserve"> от участниците</w:t>
            </w:r>
            <w:r w:rsidRPr="00014DAD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</w:p>
          <w:p w:rsidR="00D04E6D" w:rsidRPr="00014DAD" w:rsidRDefault="00014DAD" w:rsidP="00014DAD">
            <w:pPr>
              <w:numPr>
                <w:ilvl w:val="0"/>
                <w:numId w:val="12"/>
              </w:numPr>
              <w:tabs>
                <w:tab w:val="left" w:pos="567"/>
              </w:tabs>
              <w:spacing w:before="120" w:line="360" w:lineRule="auto"/>
              <w:ind w:left="142" w:firstLine="14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Осъвременяване на някои текстове от нормативната уредба</w:t>
            </w:r>
            <w:r w:rsidR="002A7CB7">
              <w:rPr>
                <w:rFonts w:ascii="Verdana" w:hAnsi="Verdana"/>
                <w:sz w:val="20"/>
                <w:szCs w:val="20"/>
                <w:lang w:val="bg-BG"/>
              </w:rPr>
              <w:t xml:space="preserve"> в съответствие с тези </w:t>
            </w:r>
            <w:r w:rsidR="002A7CB7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на Закона за обществените поръчки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и п</w:t>
            </w:r>
            <w:r w:rsidR="00D04E6D" w:rsidRPr="00014DAD">
              <w:rPr>
                <w:rFonts w:ascii="Verdana" w:hAnsi="Verdana"/>
                <w:sz w:val="20"/>
                <w:szCs w:val="20"/>
                <w:lang w:val="bg-BG"/>
              </w:rPr>
              <w:t>одобряване качеството на нормативния документ.</w:t>
            </w:r>
          </w:p>
          <w:p w:rsidR="00D04E6D" w:rsidRPr="00D04E6D" w:rsidRDefault="00D04E6D" w:rsidP="008C65F8">
            <w:pPr>
              <w:spacing w:before="120" w:after="120" w:line="360" w:lineRule="auto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i/>
                <w:sz w:val="20"/>
                <w:szCs w:val="20"/>
                <w:lang w:val="bg-BG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„без действие“.</w:t>
            </w:r>
          </w:p>
        </w:tc>
      </w:tr>
      <w:tr w:rsidR="00D04E6D" w:rsidRPr="007F1A32" w:rsidTr="0022081A">
        <w:tc>
          <w:tcPr>
            <w:tcW w:w="9606" w:type="dxa"/>
            <w:gridSpan w:val="2"/>
            <w:shd w:val="clear" w:color="auto" w:fill="auto"/>
          </w:tcPr>
          <w:p w:rsidR="00D04E6D" w:rsidRPr="00D04E6D" w:rsidRDefault="00D04E6D" w:rsidP="008C65F8">
            <w:pPr>
              <w:spacing w:before="120" w:after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 xml:space="preserve">5. Негативни въздействия: </w:t>
            </w:r>
          </w:p>
          <w:p w:rsidR="00CE1C22" w:rsidRDefault="00D04E6D" w:rsidP="00CE1C22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Вариант 0: „Без действие”:</w:t>
            </w:r>
          </w:p>
          <w:p w:rsidR="00CE1C22" w:rsidRPr="00CE1C22" w:rsidRDefault="00CE1C22" w:rsidP="009D3875">
            <w:pPr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0" w:firstLine="426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За </w:t>
            </w:r>
            <w:r w:rsidRPr="00CE1C22">
              <w:rPr>
                <w:rFonts w:ascii="Verdana" w:hAnsi="Verdana"/>
                <w:b/>
                <w:sz w:val="20"/>
                <w:szCs w:val="20"/>
                <w:lang w:val="bg-BG"/>
              </w:rPr>
              <w:t>възложители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те</w:t>
            </w:r>
            <w:r w:rsidRPr="00CE1C22">
              <w:rPr>
                <w:rFonts w:ascii="Verdana" w:hAnsi="Verdana"/>
                <w:b/>
                <w:sz w:val="20"/>
                <w:szCs w:val="20"/>
                <w:lang w:val="bg-BG"/>
              </w:rPr>
              <w:t>, респ. продавачи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те по Н</w:t>
            </w:r>
            <w:r w:rsidRPr="00CE1C22">
              <w:rPr>
                <w:rFonts w:ascii="Verdana" w:hAnsi="Verdana"/>
                <w:b/>
                <w:sz w:val="20"/>
                <w:szCs w:val="20"/>
                <w:lang w:val="bg-BG"/>
              </w:rPr>
              <w:t>аредбата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-</w:t>
            </w:r>
            <w:r w:rsidRPr="00CE1C22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ДП</w:t>
            </w:r>
            <w:r w:rsidRPr="00CE1C22">
              <w:rPr>
                <w:rFonts w:ascii="Verdana" w:hAnsi="Verdana"/>
                <w:b/>
                <w:sz w:val="20"/>
                <w:szCs w:val="20"/>
                <w:lang w:val="bg-BG"/>
              </w:rPr>
              <w:t>, общини, собственици на гори, УОГС, министерства и ведомства, на които са предоставени за управление горски територии – държавна собственост</w:t>
            </w:r>
            <w:r w:rsidR="001A2F27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  <w:p w:rsidR="001A2F27" w:rsidRDefault="001A2F27" w:rsidP="001A2F27">
            <w:pPr>
              <w:tabs>
                <w:tab w:val="left" w:pos="567"/>
              </w:tabs>
              <w:spacing w:before="12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     Изр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азходване на </w:t>
            </w:r>
            <w:r w:rsidR="003928EB">
              <w:rPr>
                <w:rFonts w:ascii="Verdana" w:hAnsi="Verdana"/>
                <w:sz w:val="20"/>
                <w:szCs w:val="20"/>
                <w:lang w:val="bg-BG"/>
              </w:rPr>
              <w:t xml:space="preserve">голям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административен капацитет от страна на възложителите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/</w:t>
            </w:r>
            <w:r w:rsidR="003928EB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продавачите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при провеждането на процедурите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за преглед на всеки един от приложените документи от участниците.</w:t>
            </w:r>
          </w:p>
          <w:p w:rsidR="001A2F27" w:rsidRPr="00CE1C22" w:rsidRDefault="001A2F27" w:rsidP="009D3875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360" w:lineRule="auto"/>
              <w:ind w:left="0" w:firstLine="426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За участниците в процедурите -</w:t>
            </w:r>
            <w:r w:rsidRPr="00CE1C22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928EB">
              <w:rPr>
                <w:rFonts w:ascii="Verdana" w:hAnsi="Verdana"/>
                <w:b/>
                <w:sz w:val="20"/>
                <w:szCs w:val="20"/>
                <w:lang w:val="bg-BG"/>
              </w:rPr>
              <w:t>ю</w:t>
            </w:r>
            <w:r w:rsidRPr="001A2F27">
              <w:rPr>
                <w:rFonts w:ascii="Verdana" w:hAnsi="Verdana"/>
                <w:b/>
                <w:sz w:val="20"/>
                <w:szCs w:val="20"/>
                <w:lang w:val="bg-BG"/>
              </w:rPr>
              <w:t>идически</w:t>
            </w:r>
            <w:proofErr w:type="spellEnd"/>
            <w:r w:rsidRPr="001A2F27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лица - горски предприемачи, добиващи дървесина, купувачи и </w:t>
            </w:r>
            <w:proofErr w:type="spellStart"/>
            <w:r w:rsidRPr="001A2F27">
              <w:rPr>
                <w:rFonts w:ascii="Verdana" w:hAnsi="Verdana"/>
                <w:b/>
                <w:sz w:val="20"/>
                <w:szCs w:val="20"/>
                <w:lang w:val="bg-BG"/>
              </w:rPr>
              <w:t>преработватели</w:t>
            </w:r>
            <w:proofErr w:type="spellEnd"/>
            <w:r w:rsidRPr="001A2F27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на дървесина – около 2000 фирми, извършващи търговска дейност в сферата на горското стопанство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  <w:p w:rsidR="00D04E6D" w:rsidRPr="00D04E6D" w:rsidRDefault="001A2F27" w:rsidP="009D3875">
            <w:pPr>
              <w:numPr>
                <w:ilvl w:val="0"/>
                <w:numId w:val="3"/>
              </w:numPr>
              <w:tabs>
                <w:tab w:val="left" w:pos="567"/>
              </w:tabs>
              <w:spacing w:before="120" w:line="360" w:lineRule="auto"/>
              <w:ind w:left="142" w:firstLine="284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D04E6D" w:rsidRPr="00D04E6D">
              <w:rPr>
                <w:rFonts w:ascii="Verdana" w:hAnsi="Verdana"/>
                <w:sz w:val="20"/>
                <w:szCs w:val="20"/>
                <w:lang w:val="bg-BG"/>
              </w:rPr>
              <w:t>Продължава провеждането на електронни търгове при липса н</w:t>
            </w:r>
            <w:r w:rsidR="003928EB">
              <w:rPr>
                <w:rFonts w:ascii="Verdana" w:hAnsi="Verdana"/>
                <w:sz w:val="20"/>
                <w:szCs w:val="20"/>
                <w:lang w:val="bg-BG"/>
              </w:rPr>
              <w:t>а пълна и ясна нормативна рамка</w:t>
            </w:r>
            <w:r w:rsidR="00D04E6D" w:rsidRPr="00D04E6D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  <w:p w:rsidR="00D04E6D" w:rsidRPr="00D04E6D" w:rsidRDefault="00D04E6D" w:rsidP="009D3875">
            <w:pPr>
              <w:numPr>
                <w:ilvl w:val="0"/>
                <w:numId w:val="3"/>
              </w:numPr>
              <w:tabs>
                <w:tab w:val="left" w:pos="567"/>
              </w:tabs>
              <w:spacing w:before="120" w:line="360" w:lineRule="auto"/>
              <w:ind w:left="142" w:firstLine="284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Провеждането на процедурите за възлагане на дейности продължава по досегашния начин – основно чрез открит конкурс, на който е задължително присъствието на кандидатите.</w:t>
            </w:r>
          </w:p>
          <w:p w:rsidR="00D04E6D" w:rsidRPr="00D04E6D" w:rsidRDefault="00D04E6D" w:rsidP="009D3875">
            <w:pPr>
              <w:numPr>
                <w:ilvl w:val="0"/>
                <w:numId w:val="3"/>
              </w:numPr>
              <w:tabs>
                <w:tab w:val="left" w:pos="567"/>
              </w:tabs>
              <w:spacing w:before="120" w:line="360" w:lineRule="auto"/>
              <w:ind w:left="142" w:firstLine="284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Изискуеми</w:t>
            </w:r>
            <w:r w:rsidRPr="007F1A32">
              <w:rPr>
                <w:rFonts w:ascii="Verdana" w:hAnsi="Verdana"/>
                <w:sz w:val="20"/>
                <w:szCs w:val="20"/>
                <w:lang w:val="ru-RU"/>
              </w:rPr>
              <w:t>те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документи, които кандидатите за участие в процедури за добив на дървесина и за продажба на стояща дървесина на корен трябва да представят</w:t>
            </w:r>
            <w:r w:rsidR="003928EB">
              <w:rPr>
                <w:rFonts w:ascii="Verdana" w:hAnsi="Verdana"/>
                <w:sz w:val="20"/>
                <w:szCs w:val="20"/>
                <w:lang w:val="bg-BG"/>
              </w:rPr>
              <w:t>,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достигат до </w:t>
            </w:r>
            <w:r w:rsidR="003928EB">
              <w:rPr>
                <w:rFonts w:ascii="Verdana" w:hAnsi="Verdana"/>
                <w:sz w:val="20"/>
                <w:szCs w:val="20"/>
                <w:lang w:val="bg-BG"/>
              </w:rPr>
              <w:t>25-30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броя, </w:t>
            </w:r>
            <w:r w:rsidR="003928EB">
              <w:rPr>
                <w:rFonts w:ascii="Verdana" w:hAnsi="Verdana"/>
                <w:sz w:val="20"/>
                <w:szCs w:val="20"/>
                <w:lang w:val="bg-BG"/>
              </w:rPr>
              <w:t xml:space="preserve">и тяхната подготовка е свързана със загуба на финансови средства и </w:t>
            </w:r>
            <w:r w:rsidR="006D521A">
              <w:rPr>
                <w:rFonts w:ascii="Verdana" w:hAnsi="Verdana"/>
                <w:sz w:val="20"/>
                <w:szCs w:val="20"/>
                <w:lang w:val="bg-BG"/>
              </w:rPr>
              <w:t>експертен капацитет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  <w:p w:rsidR="00DB3015" w:rsidRDefault="00D04E6D" w:rsidP="008C65F8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Икономически въздействия: </w:t>
            </w:r>
          </w:p>
          <w:p w:rsidR="00DB3015" w:rsidRDefault="00DB3015" w:rsidP="003E6C36">
            <w:pPr>
              <w:numPr>
                <w:ilvl w:val="0"/>
                <w:numId w:val="6"/>
              </w:num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За </w:t>
            </w:r>
            <w:r w:rsidRPr="00CE1C22">
              <w:rPr>
                <w:rFonts w:ascii="Verdana" w:hAnsi="Verdana"/>
                <w:b/>
                <w:sz w:val="20"/>
                <w:szCs w:val="20"/>
                <w:lang w:val="bg-BG"/>
              </w:rPr>
              <w:t>възложители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те</w:t>
            </w:r>
            <w:r w:rsidRPr="00CE1C22">
              <w:rPr>
                <w:rFonts w:ascii="Verdana" w:hAnsi="Verdana"/>
                <w:b/>
                <w:sz w:val="20"/>
                <w:szCs w:val="20"/>
                <w:lang w:val="bg-BG"/>
              </w:rPr>
              <w:t>, респ. продавачи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те по Н</w:t>
            </w:r>
            <w:r w:rsidRPr="00CE1C22">
              <w:rPr>
                <w:rFonts w:ascii="Verdana" w:hAnsi="Verdana"/>
                <w:b/>
                <w:sz w:val="20"/>
                <w:szCs w:val="20"/>
                <w:lang w:val="bg-BG"/>
              </w:rPr>
              <w:t>аредбата</w:t>
            </w:r>
          </w:p>
          <w:p w:rsidR="003E6C36" w:rsidRPr="003E6C36" w:rsidRDefault="003E6C36" w:rsidP="00DB3015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ab/>
              <w:t>Сформирането на 5-членни комисии от страна на възложителя/продавача вместо предлаганото намаление на състава на комисиите от минимум 3 души води до изразходване на голям административен капацитет.</w:t>
            </w:r>
            <w:r w:rsidRPr="003E6C36">
              <w:rPr>
                <w:rFonts w:ascii="Verdana" w:hAnsi="Verdana"/>
                <w:sz w:val="20"/>
                <w:szCs w:val="20"/>
                <w:lang w:val="bg-BG"/>
              </w:rPr>
              <w:t xml:space="preserve"> Чрез използване на интерактивния калкулатор на Портала за обществени консултации тези разходи са </w:t>
            </w:r>
            <w:proofErr w:type="spellStart"/>
            <w:r w:rsidRPr="003E6C36">
              <w:rPr>
                <w:rFonts w:ascii="Verdana" w:hAnsi="Verdana"/>
                <w:sz w:val="20"/>
                <w:szCs w:val="20"/>
                <w:lang w:val="bg-BG"/>
              </w:rPr>
              <w:t>остойностени</w:t>
            </w:r>
            <w:proofErr w:type="spellEnd"/>
            <w:r w:rsidRPr="003E6C36">
              <w:rPr>
                <w:rFonts w:ascii="Verdana" w:hAnsi="Verdana"/>
                <w:sz w:val="20"/>
                <w:szCs w:val="20"/>
                <w:lang w:val="bg-BG"/>
              </w:rPr>
              <w:t xml:space="preserve"> и са изчислени в размер на </w:t>
            </w:r>
            <w:r w:rsidR="00441E87">
              <w:rPr>
                <w:rFonts w:ascii="Verdana" w:hAnsi="Verdana"/>
                <w:sz w:val="20"/>
                <w:szCs w:val="20"/>
                <w:lang w:val="bg-BG"/>
              </w:rPr>
              <w:t>73 764</w:t>
            </w:r>
            <w:r w:rsidRPr="003E6C36">
              <w:rPr>
                <w:rFonts w:ascii="Verdana" w:hAnsi="Verdana"/>
                <w:sz w:val="20"/>
                <w:szCs w:val="20"/>
                <w:lang w:val="bg-BG"/>
              </w:rPr>
              <w:t xml:space="preserve"> лв.</w:t>
            </w:r>
            <w:r w:rsidR="003C4F98">
              <w:rPr>
                <w:rFonts w:ascii="Verdana" w:hAnsi="Verdana"/>
                <w:sz w:val="20"/>
                <w:szCs w:val="20"/>
                <w:lang w:val="bg-BG"/>
              </w:rPr>
              <w:t xml:space="preserve"> годишно. </w:t>
            </w:r>
          </w:p>
          <w:p w:rsidR="003E6C36" w:rsidRPr="003E6C36" w:rsidRDefault="003E6C36" w:rsidP="003E6C36">
            <w:pPr>
              <w:numPr>
                <w:ilvl w:val="0"/>
                <w:numId w:val="6"/>
              </w:numPr>
              <w:tabs>
                <w:tab w:val="left" w:pos="1134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E6C36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За участниците в процедурите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бизнеса</w:t>
            </w:r>
          </w:p>
          <w:p w:rsidR="003E6C36" w:rsidRDefault="00D04E6D" w:rsidP="003E6C36">
            <w:pPr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0" w:firstLine="60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Продължават финансовите разходи на </w:t>
            </w:r>
            <w:r w:rsidR="006D521A">
              <w:rPr>
                <w:rFonts w:ascii="Verdana" w:hAnsi="Verdana"/>
                <w:sz w:val="20"/>
                <w:szCs w:val="20"/>
                <w:lang w:val="bg-BG"/>
              </w:rPr>
              <w:t>участниците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за заплащане на административни такси за издаване на удостоверения и копия на документи, доказващи състоянието </w:t>
            </w:r>
            <w:r w:rsidR="003C4F98">
              <w:rPr>
                <w:rFonts w:ascii="Verdana" w:hAnsi="Verdana"/>
                <w:sz w:val="20"/>
                <w:szCs w:val="20"/>
                <w:lang w:val="bg-BG"/>
              </w:rPr>
              <w:t>им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и други изисквания за техническа и кадрова обезпеченост. </w:t>
            </w:r>
            <w:r w:rsidR="00E6416F">
              <w:rPr>
                <w:rFonts w:ascii="Verdana" w:hAnsi="Verdana"/>
                <w:sz w:val="20"/>
                <w:szCs w:val="20"/>
                <w:lang w:val="bg-BG"/>
              </w:rPr>
              <w:t xml:space="preserve">Чрез използване на интерактивния калкулатор на Портала за обществени консултации </w:t>
            </w:r>
            <w:r w:rsidR="00DB3015">
              <w:rPr>
                <w:rFonts w:ascii="Verdana" w:hAnsi="Verdana"/>
                <w:sz w:val="20"/>
                <w:szCs w:val="20"/>
                <w:lang w:val="bg-BG"/>
              </w:rPr>
              <w:t xml:space="preserve">тези </w:t>
            </w:r>
            <w:r w:rsidR="00DB3015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разходи са </w:t>
            </w:r>
            <w:proofErr w:type="spellStart"/>
            <w:r w:rsidR="00DB3015">
              <w:rPr>
                <w:rFonts w:ascii="Verdana" w:hAnsi="Verdana"/>
                <w:sz w:val="20"/>
                <w:szCs w:val="20"/>
                <w:lang w:val="bg-BG"/>
              </w:rPr>
              <w:t>остойностени</w:t>
            </w:r>
            <w:proofErr w:type="spellEnd"/>
            <w:r w:rsidR="00DB3015">
              <w:rPr>
                <w:rFonts w:ascii="Verdana" w:hAnsi="Verdana"/>
                <w:sz w:val="20"/>
                <w:szCs w:val="20"/>
                <w:lang w:val="bg-BG"/>
              </w:rPr>
              <w:t xml:space="preserve"> и са изчи</w:t>
            </w:r>
            <w:r w:rsidR="003C4F98">
              <w:rPr>
                <w:rFonts w:ascii="Verdana" w:hAnsi="Verdana"/>
                <w:sz w:val="20"/>
                <w:szCs w:val="20"/>
                <w:lang w:val="bg-BG"/>
              </w:rPr>
              <w:t>слени в размер на 4 912 914 лв. годишно.</w:t>
            </w:r>
          </w:p>
          <w:p w:rsidR="00D04E6D" w:rsidRPr="00D04E6D" w:rsidRDefault="00D04E6D" w:rsidP="003E6C36">
            <w:pPr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0" w:firstLine="60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Загуби на време за подаване на документи за участие и за присъствие при провеждане на процедурите.</w:t>
            </w:r>
          </w:p>
          <w:p w:rsidR="00D04E6D" w:rsidRPr="00D04E6D" w:rsidRDefault="00D04E6D" w:rsidP="008C65F8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Социални въздействия: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Не са идентифицирани.</w:t>
            </w:r>
          </w:p>
          <w:p w:rsidR="00D04E6D" w:rsidRPr="00D04E6D" w:rsidRDefault="00D04E6D" w:rsidP="008C65F8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Екологични въздействия: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Не са идентифицирани.</w:t>
            </w:r>
          </w:p>
          <w:p w:rsidR="001407D9" w:rsidRDefault="00D04E6D" w:rsidP="008C65F8">
            <w:pPr>
              <w:spacing w:before="120" w:line="360" w:lineRule="auto"/>
              <w:ind w:firstLine="709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Вариант 1: </w:t>
            </w:r>
            <w:r w:rsidR="001407D9" w:rsidRPr="001407D9">
              <w:rPr>
                <w:rFonts w:ascii="Verdana" w:hAnsi="Verdana"/>
                <w:b/>
                <w:sz w:val="20"/>
                <w:szCs w:val="20"/>
                <w:lang w:val="bg-BG"/>
              </w:rPr>
              <w:t>„Приемане на проект на Постановление на Министерския съвет за изменение и допълнение на Наредбата за условията и реда за възлагане изпълнението  на дейности в горските територии – държавна и общинска собственост, и за ползването на дървесина и недървесни горски продукти, приета с Постановление № 316 на Министерския съвет от 2011 г.“</w:t>
            </w:r>
          </w:p>
          <w:p w:rsidR="003E6C36" w:rsidRPr="003E6C36" w:rsidRDefault="003E6C36" w:rsidP="003E6C36">
            <w:pPr>
              <w:numPr>
                <w:ilvl w:val="0"/>
                <w:numId w:val="7"/>
              </w:numPr>
              <w:tabs>
                <w:tab w:val="left" w:pos="993"/>
              </w:tabs>
              <w:spacing w:before="120" w:line="360" w:lineRule="auto"/>
              <w:ind w:left="0"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За </w:t>
            </w:r>
            <w:r w:rsidRPr="00CE1C22">
              <w:rPr>
                <w:rFonts w:ascii="Verdana" w:hAnsi="Verdana"/>
                <w:b/>
                <w:sz w:val="20"/>
                <w:szCs w:val="20"/>
                <w:lang w:val="bg-BG"/>
              </w:rPr>
              <w:t>възложители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те</w:t>
            </w:r>
            <w:r w:rsidRPr="00CE1C22">
              <w:rPr>
                <w:rFonts w:ascii="Verdana" w:hAnsi="Verdana"/>
                <w:b/>
                <w:sz w:val="20"/>
                <w:szCs w:val="20"/>
                <w:lang w:val="bg-BG"/>
              </w:rPr>
              <w:t>, респ. продавачи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те по Н</w:t>
            </w:r>
            <w:r w:rsidRPr="00CE1C22">
              <w:rPr>
                <w:rFonts w:ascii="Verdana" w:hAnsi="Verdana"/>
                <w:b/>
                <w:sz w:val="20"/>
                <w:szCs w:val="20"/>
                <w:lang w:val="bg-BG"/>
              </w:rPr>
              <w:t>аредбата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не са идентифицирани.</w:t>
            </w:r>
          </w:p>
          <w:p w:rsidR="003E6C36" w:rsidRPr="003E6C36" w:rsidRDefault="003E6C36" w:rsidP="003E6C36">
            <w:pPr>
              <w:numPr>
                <w:ilvl w:val="0"/>
                <w:numId w:val="7"/>
              </w:numPr>
              <w:ind w:left="1134" w:hanging="425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E6C36">
              <w:rPr>
                <w:rFonts w:ascii="Verdana" w:hAnsi="Verdana"/>
                <w:b/>
                <w:sz w:val="20"/>
                <w:szCs w:val="20"/>
                <w:lang w:val="bg-BG"/>
              </w:rPr>
              <w:t>За участниците в процедурите - бизнеса</w:t>
            </w:r>
          </w:p>
          <w:p w:rsidR="00D04E6D" w:rsidRPr="00D04E6D" w:rsidRDefault="00D04E6D" w:rsidP="008C65F8">
            <w:pPr>
              <w:spacing w:before="120"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Увеличава се тежестта върху </w:t>
            </w:r>
            <w:r w:rsidR="003C4F98">
              <w:rPr>
                <w:rFonts w:ascii="Verdana" w:hAnsi="Verdana"/>
                <w:sz w:val="20"/>
                <w:szCs w:val="20"/>
                <w:lang w:val="bg-BG"/>
              </w:rPr>
              <w:t>купувачите на с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тояща дървесина на корен като гаранцията за изпълнение на </w:t>
            </w:r>
            <w:r w:rsidR="003C4F98">
              <w:rPr>
                <w:rFonts w:ascii="Verdana" w:hAnsi="Verdana"/>
                <w:sz w:val="20"/>
                <w:szCs w:val="20"/>
                <w:lang w:val="bg-BG"/>
              </w:rPr>
              <w:t xml:space="preserve">сключените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договори са увеличава от 5 на 10 на сто от стойността на договор</w:t>
            </w:r>
            <w:r w:rsidR="003C4F98">
              <w:rPr>
                <w:rFonts w:ascii="Verdana" w:hAnsi="Verdana"/>
                <w:sz w:val="20"/>
                <w:szCs w:val="20"/>
                <w:lang w:val="bg-BG"/>
              </w:rPr>
              <w:t>а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  <w:p w:rsidR="00D04E6D" w:rsidRDefault="00D04E6D" w:rsidP="008C65F8">
            <w:pPr>
              <w:spacing w:before="120" w:after="120" w:line="360" w:lineRule="auto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i/>
                <w:sz w:val="20"/>
                <w:szCs w:val="20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 и кои да са значителни.</w:t>
            </w:r>
          </w:p>
          <w:p w:rsidR="00DF0572" w:rsidRDefault="00DF0572" w:rsidP="00DF0572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Икономически въздействия: </w:t>
            </w:r>
          </w:p>
          <w:p w:rsidR="00DF0572" w:rsidRDefault="00DF0572" w:rsidP="00DF0572">
            <w:pPr>
              <w:numPr>
                <w:ilvl w:val="0"/>
                <w:numId w:val="9"/>
              </w:numPr>
              <w:tabs>
                <w:tab w:val="left" w:pos="851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За </w:t>
            </w:r>
            <w:r w:rsidRPr="00CE1C22">
              <w:rPr>
                <w:rFonts w:ascii="Verdana" w:hAnsi="Verdana"/>
                <w:b/>
                <w:sz w:val="20"/>
                <w:szCs w:val="20"/>
                <w:lang w:val="bg-BG"/>
              </w:rPr>
              <w:t>възложители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те</w:t>
            </w:r>
            <w:r w:rsidRPr="00CE1C22">
              <w:rPr>
                <w:rFonts w:ascii="Verdana" w:hAnsi="Verdana"/>
                <w:b/>
                <w:sz w:val="20"/>
                <w:szCs w:val="20"/>
                <w:lang w:val="bg-BG"/>
              </w:rPr>
              <w:t>, респ. продавачи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те по Н</w:t>
            </w:r>
            <w:r w:rsidRPr="00CE1C22">
              <w:rPr>
                <w:rFonts w:ascii="Verdana" w:hAnsi="Verdana"/>
                <w:b/>
                <w:sz w:val="20"/>
                <w:szCs w:val="20"/>
                <w:lang w:val="bg-BG"/>
              </w:rPr>
              <w:t>аредбата</w:t>
            </w:r>
          </w:p>
          <w:p w:rsidR="00391C23" w:rsidRDefault="00391C23" w:rsidP="00391C23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са идентифицирани</w:t>
            </w:r>
            <w:r w:rsidR="00DF0572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="00DF0572" w:rsidRPr="003E6C36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DF0572" w:rsidRPr="003E6C36" w:rsidRDefault="00DF0572" w:rsidP="000C4C6F">
            <w:pPr>
              <w:numPr>
                <w:ilvl w:val="0"/>
                <w:numId w:val="9"/>
              </w:numPr>
              <w:tabs>
                <w:tab w:val="left" w:pos="851"/>
              </w:tabs>
              <w:spacing w:line="360" w:lineRule="auto"/>
              <w:ind w:left="851" w:hanging="425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E6C36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За участниците в процедурите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бизнеса</w:t>
            </w:r>
          </w:p>
          <w:p w:rsidR="00DF0572" w:rsidRPr="00D04E6D" w:rsidRDefault="000C4C6F" w:rsidP="000C4C6F">
            <w:pPr>
              <w:tabs>
                <w:tab w:val="left" w:pos="709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Финансовата т</w:t>
            </w:r>
            <w:r w:rsidRPr="000C4C6F">
              <w:rPr>
                <w:rFonts w:ascii="Verdana" w:hAnsi="Verdana"/>
                <w:sz w:val="20"/>
                <w:szCs w:val="20"/>
                <w:lang w:val="bg-BG"/>
              </w:rPr>
              <w:t xml:space="preserve">ежест върху </w:t>
            </w:r>
            <w:r w:rsidR="003C4F98">
              <w:rPr>
                <w:rFonts w:ascii="Verdana" w:hAnsi="Verdana"/>
                <w:sz w:val="20"/>
                <w:szCs w:val="20"/>
                <w:lang w:val="bg-BG"/>
              </w:rPr>
              <w:t>купувачите</w:t>
            </w:r>
            <w:r w:rsidRPr="000C4C6F">
              <w:rPr>
                <w:rFonts w:ascii="Verdana" w:hAnsi="Verdana"/>
                <w:sz w:val="20"/>
                <w:szCs w:val="20"/>
                <w:lang w:val="bg-BG"/>
              </w:rPr>
              <w:t xml:space="preserve"> на стояща дървесина на корен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при увеличаване на </w:t>
            </w:r>
            <w:r w:rsidRPr="000C4C6F">
              <w:rPr>
                <w:rFonts w:ascii="Verdana" w:hAnsi="Verdana"/>
                <w:sz w:val="20"/>
                <w:szCs w:val="20"/>
                <w:lang w:val="bg-BG"/>
              </w:rPr>
              <w:t xml:space="preserve">гаранцията за изпълнение на </w:t>
            </w:r>
            <w:r w:rsidR="003C4F98">
              <w:rPr>
                <w:rFonts w:ascii="Verdana" w:hAnsi="Verdana"/>
                <w:sz w:val="20"/>
                <w:szCs w:val="20"/>
                <w:lang w:val="bg-BG"/>
              </w:rPr>
              <w:t xml:space="preserve">сключените </w:t>
            </w:r>
            <w:r w:rsidRPr="000C4C6F">
              <w:rPr>
                <w:rFonts w:ascii="Verdana" w:hAnsi="Verdana"/>
                <w:sz w:val="20"/>
                <w:szCs w:val="20"/>
                <w:lang w:val="bg-BG"/>
              </w:rPr>
              <w:t xml:space="preserve">договори от 5 на 10 на сто от стойността на договора,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определена като</w:t>
            </w:r>
            <w:r w:rsidRPr="000C4C6F">
              <w:rPr>
                <w:rFonts w:ascii="Verdana" w:hAnsi="Verdana"/>
                <w:sz w:val="20"/>
                <w:szCs w:val="20"/>
                <w:lang w:val="bg-BG"/>
              </w:rPr>
              <w:t xml:space="preserve"> приблизителна стойност, изчислена на база на оперативни данни за 2018 г., е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около</w:t>
            </w:r>
            <w:r w:rsidRPr="000C4C6F">
              <w:rPr>
                <w:rFonts w:ascii="Verdana" w:hAnsi="Verdana"/>
                <w:sz w:val="20"/>
                <w:szCs w:val="20"/>
                <w:lang w:val="bg-BG"/>
              </w:rPr>
              <w:t xml:space="preserve"> 4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4</w:t>
            </w:r>
            <w:r w:rsidRPr="000C4C6F">
              <w:rPr>
                <w:rFonts w:ascii="Verdana" w:hAnsi="Verdana"/>
                <w:sz w:val="20"/>
                <w:szCs w:val="20"/>
                <w:lang w:val="bg-BG"/>
              </w:rPr>
              <w:t>00 000 лв. годишно.</w:t>
            </w:r>
          </w:p>
          <w:p w:rsidR="00DF0572" w:rsidRPr="00D04E6D" w:rsidRDefault="00DF0572" w:rsidP="00DF0572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Социални въздействия: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Не са идентифицирани.</w:t>
            </w:r>
          </w:p>
          <w:p w:rsidR="00DF0572" w:rsidRPr="00F527DB" w:rsidRDefault="00DF0572" w:rsidP="00F527DB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Екологични въздействия: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Не са идентифицирани.</w:t>
            </w:r>
          </w:p>
        </w:tc>
      </w:tr>
      <w:tr w:rsidR="00D04E6D" w:rsidRPr="00D04E6D" w:rsidTr="0022081A">
        <w:tc>
          <w:tcPr>
            <w:tcW w:w="9606" w:type="dxa"/>
            <w:gridSpan w:val="2"/>
            <w:shd w:val="clear" w:color="auto" w:fill="auto"/>
          </w:tcPr>
          <w:p w:rsidR="006F60AC" w:rsidRDefault="00D04E6D" w:rsidP="00BB36DB">
            <w:pPr>
              <w:numPr>
                <w:ilvl w:val="0"/>
                <w:numId w:val="11"/>
              </w:numPr>
              <w:spacing w:before="120" w:line="360" w:lineRule="auto"/>
              <w:ind w:left="426" w:hanging="284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 xml:space="preserve">Положителни въздействия: </w:t>
            </w:r>
          </w:p>
          <w:p w:rsidR="00D04E6D" w:rsidRPr="00D04E6D" w:rsidRDefault="00D04E6D" w:rsidP="00BB36DB">
            <w:pPr>
              <w:spacing w:before="120" w:line="360" w:lineRule="auto"/>
              <w:ind w:firstLine="426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Вариант 0: „Без действие”</w:t>
            </w:r>
          </w:p>
          <w:p w:rsidR="00D04E6D" w:rsidRPr="00D04E6D" w:rsidRDefault="00D04E6D" w:rsidP="00BB36DB">
            <w:pPr>
              <w:spacing w:line="360" w:lineRule="auto"/>
              <w:ind w:firstLine="426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Няма положителни въздействия.</w:t>
            </w:r>
          </w:p>
          <w:p w:rsidR="001407D9" w:rsidRDefault="00D04E6D" w:rsidP="00BB36DB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Вариант 1: </w:t>
            </w:r>
            <w:r w:rsidR="001407D9" w:rsidRPr="001407D9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„Приемане на проект на Постановление на Министерския съвет за изменение и допълнение на Наредбата за условията и реда за възлагане изпълнението  на дейности в горските територии – държавна и общинска </w:t>
            </w:r>
            <w:r w:rsidR="001407D9" w:rsidRPr="001407D9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собственост, и за ползването на дървесина и недървесни горски продукти, приета с Постановление № 316 на Министерския съвет от 2011 г.“</w:t>
            </w:r>
          </w:p>
          <w:p w:rsidR="0065622A" w:rsidRPr="0065622A" w:rsidRDefault="0065622A" w:rsidP="00BB36DB">
            <w:pPr>
              <w:numPr>
                <w:ilvl w:val="0"/>
                <w:numId w:val="4"/>
              </w:numPr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5622A">
              <w:rPr>
                <w:rFonts w:ascii="Verdana" w:hAnsi="Verdana"/>
                <w:sz w:val="20"/>
                <w:szCs w:val="20"/>
                <w:lang w:val="bg-BG"/>
              </w:rPr>
              <w:t xml:space="preserve">Облекчаване на административната тежест </w:t>
            </w:r>
            <w:r w:rsidR="003C4F98">
              <w:rPr>
                <w:rFonts w:ascii="Verdana" w:hAnsi="Verdana"/>
                <w:sz w:val="20"/>
                <w:szCs w:val="20"/>
                <w:lang w:val="bg-BG"/>
              </w:rPr>
              <w:t>върху</w:t>
            </w:r>
            <w:r w:rsidRPr="0065622A">
              <w:rPr>
                <w:rFonts w:ascii="Verdana" w:hAnsi="Verdana"/>
                <w:sz w:val="20"/>
                <w:szCs w:val="20"/>
                <w:lang w:val="bg-BG"/>
              </w:rPr>
              <w:t xml:space="preserve"> юридическите лица, участващи в процедури за възлагане на дейности и за продажба на дървесина чрез намаляване на необходимите документи за участие и провеждане на бързи и опростени процедури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  <w:p w:rsidR="0065622A" w:rsidRPr="00DE4018" w:rsidRDefault="0065622A" w:rsidP="00BB36DB">
            <w:pPr>
              <w:numPr>
                <w:ilvl w:val="0"/>
                <w:numId w:val="4"/>
              </w:numPr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5622A">
              <w:rPr>
                <w:rFonts w:ascii="Verdana" w:hAnsi="Verdana"/>
                <w:sz w:val="20"/>
                <w:szCs w:val="20"/>
                <w:lang w:val="bg-BG"/>
              </w:rPr>
              <w:t xml:space="preserve">Увеличаване на приложното поле на електронните процедури, включително </w:t>
            </w:r>
            <w:r w:rsidR="003C4F98">
              <w:rPr>
                <w:rFonts w:ascii="Verdana" w:hAnsi="Verdana"/>
                <w:sz w:val="20"/>
                <w:szCs w:val="20"/>
                <w:lang w:val="bg-BG"/>
              </w:rPr>
              <w:t xml:space="preserve">чрез въвеждане на </w:t>
            </w:r>
            <w:r w:rsidRPr="0065622A">
              <w:rPr>
                <w:rFonts w:ascii="Verdana" w:hAnsi="Verdana"/>
                <w:sz w:val="20"/>
                <w:szCs w:val="20"/>
                <w:lang w:val="bg-BG"/>
              </w:rPr>
              <w:t>електронен конкурс, с които максимално се гарантира постигането на основните принципи на нормативния документ за прозрачност и равнопоставеност.</w:t>
            </w:r>
          </w:p>
          <w:p w:rsidR="00DE4018" w:rsidRPr="00DE4018" w:rsidRDefault="00DE4018" w:rsidP="00BB36DB">
            <w:pPr>
              <w:numPr>
                <w:ilvl w:val="0"/>
                <w:numId w:val="4"/>
              </w:numPr>
              <w:tabs>
                <w:tab w:val="left" w:pos="709"/>
              </w:tabs>
              <w:spacing w:line="360" w:lineRule="auto"/>
              <w:ind w:left="0" w:firstLine="426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E4018">
              <w:rPr>
                <w:rFonts w:ascii="Verdana" w:hAnsi="Verdana"/>
                <w:sz w:val="20"/>
                <w:szCs w:val="20"/>
                <w:lang w:val="bg-BG"/>
              </w:rPr>
              <w:t>Създаване на заинтересованост от страна на купувачите на стояща дървесина на корен към повишаване на качественото и срочно изпълнение на дейностите в горите, допринасящо за развитието на горската индустрия на регионално и местно ниво.</w:t>
            </w:r>
          </w:p>
          <w:p w:rsidR="0065622A" w:rsidRPr="0065622A" w:rsidRDefault="0065622A" w:rsidP="00BB36DB">
            <w:pPr>
              <w:numPr>
                <w:ilvl w:val="0"/>
                <w:numId w:val="4"/>
              </w:numPr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46F47">
              <w:rPr>
                <w:rFonts w:ascii="Verdana" w:hAnsi="Verdana"/>
                <w:sz w:val="20"/>
                <w:szCs w:val="20"/>
                <w:lang w:val="bg-BG"/>
              </w:rPr>
              <w:t>Подобряване качеството на нормативния документ.</w:t>
            </w:r>
          </w:p>
          <w:p w:rsidR="0084116B" w:rsidRDefault="00D04E6D" w:rsidP="00BB36DB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5622A">
              <w:rPr>
                <w:rFonts w:ascii="Verdana" w:hAnsi="Verdana"/>
                <w:b/>
                <w:sz w:val="20"/>
                <w:szCs w:val="20"/>
                <w:lang w:val="bg-BG"/>
              </w:rPr>
              <w:t>Икономически въздействия:</w:t>
            </w:r>
            <w:r w:rsidRPr="0065622A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6F60AC" w:rsidRPr="007A66C5" w:rsidRDefault="006F60AC" w:rsidP="006F60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За </w:t>
            </w:r>
            <w:r w:rsidRPr="00CE1C22">
              <w:rPr>
                <w:rFonts w:ascii="Verdana" w:hAnsi="Verdana"/>
                <w:b/>
                <w:sz w:val="20"/>
                <w:szCs w:val="20"/>
                <w:lang w:val="bg-BG"/>
              </w:rPr>
              <w:t>възложители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те</w:t>
            </w:r>
            <w:r w:rsidRPr="00CE1C22">
              <w:rPr>
                <w:rFonts w:ascii="Verdana" w:hAnsi="Verdana"/>
                <w:b/>
                <w:sz w:val="20"/>
                <w:szCs w:val="20"/>
                <w:lang w:val="bg-BG"/>
              </w:rPr>
              <w:t>, респ. продавачи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те по Н</w:t>
            </w:r>
            <w:r w:rsidRPr="00CE1C22">
              <w:rPr>
                <w:rFonts w:ascii="Verdana" w:hAnsi="Verdana"/>
                <w:b/>
                <w:sz w:val="20"/>
                <w:szCs w:val="20"/>
                <w:lang w:val="bg-BG"/>
              </w:rPr>
              <w:t>аредбата</w:t>
            </w:r>
          </w:p>
          <w:p w:rsidR="007A66C5" w:rsidRPr="007A66C5" w:rsidRDefault="007A66C5" w:rsidP="007A66C5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Намаляване на административния ресурс, участващ в комисиите, провеждащи процедурите по Наредбата. </w:t>
            </w:r>
            <w:r w:rsidRPr="007A66C5">
              <w:rPr>
                <w:rFonts w:ascii="Verdana" w:hAnsi="Verdana"/>
                <w:sz w:val="20"/>
                <w:szCs w:val="20"/>
                <w:lang w:val="bg-BG"/>
              </w:rPr>
              <w:t>Чрез използване на интерактивния калкулатор на Портала за обществени консултации разходи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те на възложителите/продавачите по Наредбата, които ще бъдат спестени,</w:t>
            </w:r>
            <w:r w:rsidRPr="007A66C5">
              <w:rPr>
                <w:rFonts w:ascii="Verdana" w:hAnsi="Verdana"/>
                <w:sz w:val="20"/>
                <w:szCs w:val="20"/>
                <w:lang w:val="bg-BG"/>
              </w:rPr>
              <w:t xml:space="preserve"> са </w:t>
            </w:r>
            <w:proofErr w:type="spellStart"/>
            <w:r w:rsidRPr="007A66C5">
              <w:rPr>
                <w:rFonts w:ascii="Verdana" w:hAnsi="Verdana"/>
                <w:sz w:val="20"/>
                <w:szCs w:val="20"/>
                <w:lang w:val="bg-BG"/>
              </w:rPr>
              <w:t>остойностени</w:t>
            </w:r>
            <w:proofErr w:type="spellEnd"/>
            <w:r w:rsidRPr="007A66C5">
              <w:rPr>
                <w:rFonts w:ascii="Verdana" w:hAnsi="Verdana"/>
                <w:sz w:val="20"/>
                <w:szCs w:val="20"/>
                <w:lang w:val="bg-BG"/>
              </w:rPr>
              <w:t xml:space="preserve"> и са изчислени в размер на </w:t>
            </w:r>
            <w:r w:rsidR="00C2506D">
              <w:rPr>
                <w:rFonts w:ascii="Verdana" w:hAnsi="Verdana"/>
                <w:sz w:val="20"/>
                <w:szCs w:val="20"/>
                <w:lang w:val="bg-BG"/>
              </w:rPr>
              <w:t xml:space="preserve">73 764 </w:t>
            </w:r>
            <w:r w:rsidRPr="007A66C5">
              <w:rPr>
                <w:rFonts w:ascii="Verdana" w:hAnsi="Verdana"/>
                <w:sz w:val="20"/>
                <w:szCs w:val="20"/>
                <w:lang w:val="bg-BG"/>
              </w:rPr>
              <w:t>лв.</w:t>
            </w:r>
          </w:p>
          <w:p w:rsidR="006F60AC" w:rsidRPr="006F60AC" w:rsidRDefault="006F60AC" w:rsidP="006F60AC">
            <w:pPr>
              <w:numPr>
                <w:ilvl w:val="0"/>
                <w:numId w:val="10"/>
              </w:num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F60AC">
              <w:rPr>
                <w:rFonts w:ascii="Verdana" w:hAnsi="Verdana"/>
                <w:b/>
                <w:sz w:val="20"/>
                <w:szCs w:val="20"/>
                <w:lang w:val="bg-BG"/>
              </w:rPr>
              <w:t>За участниците в процедурите - бизнеса</w:t>
            </w:r>
          </w:p>
          <w:p w:rsidR="0084116B" w:rsidRPr="00646F47" w:rsidRDefault="0084116B" w:rsidP="0065622A">
            <w:pPr>
              <w:tabs>
                <w:tab w:val="left" w:pos="709"/>
              </w:tabs>
              <w:spacing w:before="80" w:after="60" w:line="360" w:lineRule="auto"/>
              <w:ind w:firstLine="357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46F47">
              <w:rPr>
                <w:rFonts w:ascii="Verdana" w:hAnsi="Verdana"/>
                <w:sz w:val="20"/>
                <w:szCs w:val="20"/>
                <w:lang w:val="bg-BG"/>
              </w:rPr>
              <w:t xml:space="preserve">1.  </w:t>
            </w:r>
            <w:r w:rsidR="0065622A">
              <w:rPr>
                <w:rFonts w:ascii="Verdana" w:hAnsi="Verdana"/>
                <w:sz w:val="20"/>
                <w:szCs w:val="20"/>
                <w:lang w:val="bg-BG"/>
              </w:rPr>
              <w:t>Намаляване на разходите на</w:t>
            </w:r>
            <w:r>
              <w:t xml:space="preserve"> </w:t>
            </w:r>
            <w:r w:rsidRPr="0084116B">
              <w:rPr>
                <w:rFonts w:ascii="Verdana" w:hAnsi="Verdana"/>
                <w:sz w:val="20"/>
                <w:szCs w:val="20"/>
                <w:lang w:val="bg-BG"/>
              </w:rPr>
              <w:t>юридически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те</w:t>
            </w:r>
            <w:r w:rsidRPr="0084116B">
              <w:rPr>
                <w:rFonts w:ascii="Verdana" w:hAnsi="Verdana"/>
                <w:sz w:val="20"/>
                <w:szCs w:val="20"/>
                <w:lang w:val="bg-BG"/>
              </w:rPr>
              <w:t xml:space="preserve"> лица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,</w:t>
            </w:r>
            <w: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участващи в процедури</w:t>
            </w:r>
            <w:r w:rsidRPr="00646F47">
              <w:rPr>
                <w:rFonts w:ascii="Verdana" w:hAnsi="Verdana"/>
                <w:sz w:val="20"/>
                <w:szCs w:val="20"/>
                <w:lang w:val="bg-BG"/>
              </w:rPr>
              <w:t xml:space="preserve"> за възлагане на дейности и за продажба на дървесина </w:t>
            </w:r>
            <w:r w:rsidR="0065622A">
              <w:rPr>
                <w:rFonts w:ascii="Verdana" w:hAnsi="Verdana"/>
                <w:sz w:val="20"/>
                <w:szCs w:val="20"/>
                <w:lang w:val="bg-BG"/>
              </w:rPr>
              <w:t>за такси за издаване на удостоверения за текущото им състояние</w:t>
            </w:r>
            <w:r w:rsidRPr="00646F47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="007A66C5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7A66C5" w:rsidRPr="007A66C5">
              <w:rPr>
                <w:rFonts w:ascii="Verdana" w:hAnsi="Verdana"/>
                <w:sz w:val="20"/>
                <w:szCs w:val="20"/>
                <w:lang w:val="bg-BG"/>
              </w:rPr>
              <w:t xml:space="preserve">Чрез използване на интерактивния калкулатор на Портала за обществени консултации разходите на </w:t>
            </w:r>
            <w:r w:rsidR="007A66C5">
              <w:rPr>
                <w:rFonts w:ascii="Verdana" w:hAnsi="Verdana"/>
                <w:sz w:val="20"/>
                <w:szCs w:val="20"/>
                <w:lang w:val="bg-BG"/>
              </w:rPr>
              <w:t>участниците в процедурите</w:t>
            </w:r>
            <w:r w:rsidR="007A66C5" w:rsidRPr="007A66C5">
              <w:rPr>
                <w:rFonts w:ascii="Verdana" w:hAnsi="Verdana"/>
                <w:sz w:val="20"/>
                <w:szCs w:val="20"/>
                <w:lang w:val="bg-BG"/>
              </w:rPr>
              <w:t xml:space="preserve">, които ще бъдат спестени, са </w:t>
            </w:r>
            <w:proofErr w:type="spellStart"/>
            <w:r w:rsidR="007A66C5" w:rsidRPr="007A66C5">
              <w:rPr>
                <w:rFonts w:ascii="Verdana" w:hAnsi="Verdana"/>
                <w:sz w:val="20"/>
                <w:szCs w:val="20"/>
                <w:lang w:val="bg-BG"/>
              </w:rPr>
              <w:t>остойностени</w:t>
            </w:r>
            <w:proofErr w:type="spellEnd"/>
            <w:r w:rsidR="007A66C5" w:rsidRPr="007A66C5">
              <w:rPr>
                <w:rFonts w:ascii="Verdana" w:hAnsi="Verdana"/>
                <w:sz w:val="20"/>
                <w:szCs w:val="20"/>
                <w:lang w:val="bg-BG"/>
              </w:rPr>
              <w:t xml:space="preserve"> и са изчислени в размер на </w:t>
            </w:r>
            <w:r w:rsidR="007A66C5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  <w:r w:rsidR="00C2506D">
              <w:rPr>
                <w:rFonts w:ascii="Verdana" w:hAnsi="Verdana"/>
                <w:sz w:val="20"/>
                <w:szCs w:val="20"/>
                <w:lang w:val="bg-BG"/>
              </w:rPr>
              <w:t>54 </w:t>
            </w:r>
            <w:r w:rsidR="007A66C5">
              <w:rPr>
                <w:rFonts w:ascii="Verdana" w:hAnsi="Verdana"/>
                <w:sz w:val="20"/>
                <w:szCs w:val="20"/>
                <w:lang w:val="bg-BG"/>
              </w:rPr>
              <w:t>118</w:t>
            </w:r>
            <w:r w:rsidR="007A66C5" w:rsidRPr="007A66C5">
              <w:rPr>
                <w:rFonts w:ascii="Verdana" w:hAnsi="Verdana"/>
                <w:sz w:val="20"/>
                <w:szCs w:val="20"/>
                <w:lang w:val="bg-BG"/>
              </w:rPr>
              <w:t xml:space="preserve"> лв.</w:t>
            </w:r>
            <w:r w:rsidR="007624DD">
              <w:rPr>
                <w:rFonts w:ascii="Verdana" w:hAnsi="Verdana"/>
                <w:sz w:val="20"/>
                <w:szCs w:val="20"/>
                <w:lang w:val="bg-BG"/>
              </w:rPr>
              <w:t xml:space="preserve"> годишно.</w:t>
            </w:r>
          </w:p>
          <w:p w:rsidR="0084116B" w:rsidRPr="00646F47" w:rsidRDefault="0084116B" w:rsidP="0065622A">
            <w:pPr>
              <w:tabs>
                <w:tab w:val="left" w:pos="709"/>
              </w:tabs>
              <w:spacing w:before="80" w:after="60" w:line="360" w:lineRule="auto"/>
              <w:ind w:firstLine="357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46F47">
              <w:rPr>
                <w:rFonts w:ascii="Verdana" w:hAnsi="Verdana"/>
                <w:sz w:val="20"/>
                <w:szCs w:val="20"/>
                <w:lang w:val="bg-BG"/>
              </w:rPr>
              <w:t>2.</w:t>
            </w:r>
            <w:r w:rsidRPr="00646F47">
              <w:rPr>
                <w:rFonts w:ascii="Verdana" w:hAnsi="Verdana"/>
                <w:sz w:val="20"/>
                <w:szCs w:val="20"/>
                <w:lang w:val="bg-BG"/>
              </w:rPr>
              <w:tab/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="007624DD">
              <w:rPr>
                <w:rFonts w:ascii="Verdana" w:hAnsi="Verdana"/>
                <w:sz w:val="20"/>
                <w:szCs w:val="20"/>
                <w:lang w:val="bg-BG"/>
              </w:rPr>
              <w:t xml:space="preserve">остепенно </w:t>
            </w:r>
            <w:r w:rsidRPr="00646F47">
              <w:rPr>
                <w:rFonts w:ascii="Verdana" w:hAnsi="Verdana"/>
                <w:sz w:val="20"/>
                <w:szCs w:val="20"/>
                <w:lang w:val="bg-BG"/>
              </w:rPr>
              <w:t xml:space="preserve">увеличаване на </w:t>
            </w:r>
            <w:r w:rsidR="007624DD">
              <w:rPr>
                <w:rFonts w:ascii="Verdana" w:hAnsi="Verdana"/>
                <w:sz w:val="20"/>
                <w:szCs w:val="20"/>
                <w:lang w:val="bg-BG"/>
              </w:rPr>
              <w:t xml:space="preserve">дела на електронните процедури </w:t>
            </w:r>
            <w:r w:rsidRPr="00646F47">
              <w:rPr>
                <w:rFonts w:ascii="Verdana" w:hAnsi="Verdana"/>
                <w:sz w:val="20"/>
                <w:szCs w:val="20"/>
                <w:lang w:val="bg-BG"/>
              </w:rPr>
              <w:t xml:space="preserve">при наличие на ясен нормативен регламент, с което се облекчава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и улеснява </w:t>
            </w:r>
            <w:r w:rsidRPr="00646F47">
              <w:rPr>
                <w:rFonts w:ascii="Verdana" w:hAnsi="Verdana"/>
                <w:sz w:val="20"/>
                <w:szCs w:val="20"/>
                <w:lang w:val="bg-BG"/>
              </w:rPr>
              <w:t>участието на кандидатите като се пести време и финансови средства.</w:t>
            </w:r>
            <w:r w:rsidR="007A66C5">
              <w:t xml:space="preserve"> </w:t>
            </w:r>
            <w:r w:rsidR="007A66C5" w:rsidRPr="007A66C5">
              <w:rPr>
                <w:rFonts w:ascii="Verdana" w:hAnsi="Verdana"/>
                <w:sz w:val="20"/>
                <w:szCs w:val="20"/>
                <w:lang w:val="bg-BG"/>
              </w:rPr>
              <w:t xml:space="preserve">Чрез използване на интерактивния калкулатор на Портала за обществени консултации разходите на </w:t>
            </w:r>
            <w:r w:rsidR="007A66C5">
              <w:rPr>
                <w:rFonts w:ascii="Verdana" w:hAnsi="Verdana"/>
                <w:sz w:val="20"/>
                <w:szCs w:val="20"/>
                <w:lang w:val="bg-BG"/>
              </w:rPr>
              <w:t>участниците в процедурите</w:t>
            </w:r>
            <w:r w:rsidR="007A66C5" w:rsidRPr="007A66C5">
              <w:rPr>
                <w:rFonts w:ascii="Verdana" w:hAnsi="Verdana"/>
                <w:sz w:val="20"/>
                <w:szCs w:val="20"/>
                <w:lang w:val="bg-BG"/>
              </w:rPr>
              <w:t xml:space="preserve">, които ще бъдат спестени, са </w:t>
            </w:r>
            <w:proofErr w:type="spellStart"/>
            <w:r w:rsidR="007A66C5" w:rsidRPr="007A66C5">
              <w:rPr>
                <w:rFonts w:ascii="Verdana" w:hAnsi="Verdana"/>
                <w:sz w:val="20"/>
                <w:szCs w:val="20"/>
                <w:lang w:val="bg-BG"/>
              </w:rPr>
              <w:t>остойност</w:t>
            </w:r>
            <w:r w:rsidR="007A66C5">
              <w:rPr>
                <w:rFonts w:ascii="Verdana" w:hAnsi="Verdana"/>
                <w:sz w:val="20"/>
                <w:szCs w:val="20"/>
                <w:lang w:val="bg-BG"/>
              </w:rPr>
              <w:t>ени</w:t>
            </w:r>
            <w:proofErr w:type="spellEnd"/>
            <w:r w:rsidR="007A66C5">
              <w:rPr>
                <w:rFonts w:ascii="Verdana" w:hAnsi="Verdana"/>
                <w:sz w:val="20"/>
                <w:szCs w:val="20"/>
                <w:lang w:val="bg-BG"/>
              </w:rPr>
              <w:t xml:space="preserve"> и са изчислени в размер на </w:t>
            </w:r>
            <w:r w:rsidR="00BB36DB">
              <w:rPr>
                <w:rFonts w:ascii="Verdana" w:hAnsi="Verdana"/>
                <w:sz w:val="20"/>
                <w:szCs w:val="20"/>
                <w:lang w:val="bg-BG"/>
              </w:rPr>
              <w:t>3 388 235</w:t>
            </w:r>
            <w:r w:rsidR="007A66C5" w:rsidRPr="007A66C5">
              <w:rPr>
                <w:rFonts w:ascii="Verdana" w:hAnsi="Verdana"/>
                <w:sz w:val="20"/>
                <w:szCs w:val="20"/>
                <w:lang w:val="bg-BG"/>
              </w:rPr>
              <w:t xml:space="preserve"> лв.</w:t>
            </w:r>
            <w:r w:rsidR="007624DD">
              <w:rPr>
                <w:rFonts w:ascii="Verdana" w:hAnsi="Verdana"/>
                <w:sz w:val="20"/>
                <w:szCs w:val="20"/>
                <w:lang w:val="bg-BG"/>
              </w:rPr>
              <w:t xml:space="preserve"> годишно.</w:t>
            </w:r>
          </w:p>
          <w:p w:rsidR="00D04E6D" w:rsidRPr="00D04E6D" w:rsidRDefault="00D04E6D" w:rsidP="008C65F8">
            <w:pPr>
              <w:spacing w:before="120"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Социални въздействия: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Не са идентифицирани.</w:t>
            </w:r>
          </w:p>
          <w:p w:rsidR="0065622A" w:rsidRDefault="00D04E6D" w:rsidP="0065622A">
            <w:pPr>
              <w:spacing w:before="120"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Екологични въздействия: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65622A">
              <w:rPr>
                <w:rFonts w:ascii="Verdana" w:hAnsi="Verdana"/>
                <w:sz w:val="20"/>
                <w:szCs w:val="20"/>
                <w:lang w:val="bg-BG"/>
              </w:rPr>
              <w:t>С увеличаване на гаранциите за изпълнение на сключените договори за продажба на стояща дървесина на корен се гарантира изпълнението на планираните приходи на продавачите - д</w:t>
            </w:r>
            <w:r w:rsidR="0065622A" w:rsidRPr="00F60321">
              <w:rPr>
                <w:rFonts w:ascii="Verdana" w:hAnsi="Verdana"/>
                <w:sz w:val="20"/>
                <w:szCs w:val="20"/>
                <w:lang w:val="bg-BG"/>
              </w:rPr>
              <w:t>ържавните предприятия по чл. 163 от Закона за горите, общини, собственици на гори, УОГС, министерства и ведомства, на които са предоставени за управление горски територии – държавна собственост</w:t>
            </w:r>
            <w:r w:rsidR="0065622A">
              <w:rPr>
                <w:rFonts w:ascii="Verdana" w:hAnsi="Verdana"/>
                <w:sz w:val="20"/>
                <w:szCs w:val="20"/>
                <w:lang w:val="bg-BG"/>
              </w:rPr>
              <w:t>, обезпечаващи дейностите по създаване и опазване на горите</w:t>
            </w:r>
            <w:r w:rsidR="0065622A" w:rsidRPr="00646F47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="0065622A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785E8E" w:rsidRPr="007624DD" w:rsidRDefault="00D04E6D" w:rsidP="007624DD">
            <w:pPr>
              <w:spacing w:before="120" w:line="360" w:lineRule="auto"/>
              <w:ind w:firstLine="709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i/>
                <w:sz w:val="20"/>
                <w:szCs w:val="20"/>
                <w:lang w:val="bg-BG"/>
              </w:rPr>
              <w:t xml:space="preserve">Опишете качествено (при възможност – и количествено) всички значителни </w:t>
            </w:r>
            <w:r w:rsidRPr="00D04E6D">
              <w:rPr>
                <w:rFonts w:ascii="Verdana" w:hAnsi="Verdana"/>
                <w:i/>
                <w:sz w:val="20"/>
                <w:szCs w:val="20"/>
                <w:lang w:val="bg-BG"/>
              </w:rPr>
              <w:lastRenderedPageBreak/>
              <w:t>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</w:tc>
      </w:tr>
      <w:tr w:rsidR="00D04E6D" w:rsidRPr="007F1A32" w:rsidTr="0022081A">
        <w:tc>
          <w:tcPr>
            <w:tcW w:w="9606" w:type="dxa"/>
            <w:gridSpan w:val="2"/>
            <w:shd w:val="clear" w:color="auto" w:fill="auto"/>
          </w:tcPr>
          <w:p w:rsidR="00D04E6D" w:rsidRPr="00D04E6D" w:rsidRDefault="00D04E6D" w:rsidP="00446ED8">
            <w:pPr>
              <w:spacing w:before="12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7. Потенциални рискове: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Не са идентифицирани потенциални рискове. Проектът се изготвя с участието на широк кръг заинтересовани страни – представители на браншови организации в горския сектор по чл. 215 от Закона за горите и ползватели на дървесина и е отражение на постигнат консенсус в хода на обсъждане на промените.</w:t>
            </w:r>
          </w:p>
          <w:p w:rsidR="00D04E6D" w:rsidRPr="00D04E6D" w:rsidRDefault="00D04E6D" w:rsidP="008C65F8">
            <w:pPr>
              <w:spacing w:before="120" w:after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i/>
                <w:sz w:val="20"/>
                <w:szCs w:val="20"/>
                <w:lang w:val="bg-BG"/>
              </w:rPr>
              <w:t>Посочете възможните рискове от приемането на нормативната промяна, включително възникване на съдебни спорове.</w:t>
            </w:r>
          </w:p>
        </w:tc>
      </w:tr>
      <w:tr w:rsidR="00D04E6D" w:rsidRPr="007F1A32" w:rsidTr="0022081A">
        <w:tc>
          <w:tcPr>
            <w:tcW w:w="9606" w:type="dxa"/>
            <w:gridSpan w:val="2"/>
            <w:shd w:val="clear" w:color="auto" w:fill="auto"/>
          </w:tcPr>
          <w:p w:rsidR="00D04E6D" w:rsidRPr="00D04E6D" w:rsidRDefault="00D04E6D" w:rsidP="00326587">
            <w:pPr>
              <w:spacing w:before="120"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8.1. Административната тежест за физическите и юридическите лица:</w:t>
            </w:r>
          </w:p>
          <w:p w:rsidR="00D04E6D" w:rsidRPr="00D04E6D" w:rsidRDefault="00D04E6D" w:rsidP="008C65F8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MS Gothic" w:eastAsia="MS Gothic" w:hAnsi="MS Gothic" w:cs="MS Gothic" w:hint="eastAsia"/>
                <w:sz w:val="20"/>
                <w:szCs w:val="20"/>
                <w:lang w:val="bg-BG"/>
              </w:rPr>
              <w:t>☐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 Ще се повиши</w:t>
            </w:r>
          </w:p>
          <w:p w:rsidR="00D04E6D" w:rsidRPr="00D04E6D" w:rsidRDefault="00D04E6D" w:rsidP="008C65F8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MS Gothic" w:eastAsia="MS Gothic" w:hAnsi="MS Gothic" w:cs="MS Gothic" w:hint="eastAsia"/>
                <w:sz w:val="20"/>
                <w:szCs w:val="20"/>
                <w:lang w:val="bg-BG"/>
              </w:rPr>
              <w:t>☒</w:t>
            </w:r>
            <w:r w:rsidRPr="00D04E6D">
              <w:rPr>
                <w:rFonts w:ascii="Verdana" w:eastAsia="MS Gothic" w:hAnsi="Verdana" w:cs="MS Gothic"/>
                <w:sz w:val="20"/>
                <w:szCs w:val="20"/>
                <w:lang w:val="bg-BG"/>
              </w:rPr>
              <w:t xml:space="preserve">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Ще се намали</w:t>
            </w:r>
          </w:p>
          <w:p w:rsidR="00D04E6D" w:rsidRDefault="00D04E6D" w:rsidP="008C65F8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MS Gothic" w:eastAsia="MS Gothic" w:hAnsi="MS Gothic" w:cs="MS Gothic" w:hint="eastAsia"/>
                <w:sz w:val="20"/>
                <w:szCs w:val="20"/>
                <w:lang w:val="bg-BG"/>
              </w:rPr>
              <w:t>☐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Няма ефект</w:t>
            </w:r>
          </w:p>
          <w:p w:rsidR="0048232E" w:rsidRPr="0048232E" w:rsidRDefault="0048232E" w:rsidP="008C65F8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С предлаганите промени общата административна тежест за юридическите лица, които участват в процедурите за възлагане на дейности и за продажба на дървесина чрез използване на интерактивния калкулатор на Портала за обществени консултации е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bg-BG"/>
              </w:rPr>
              <w:t>остойностена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на 8 301 176 лв.</w:t>
            </w:r>
            <w:r w:rsidR="007624DD">
              <w:rPr>
                <w:rFonts w:ascii="Verdana" w:hAnsi="Verdana"/>
                <w:sz w:val="20"/>
                <w:szCs w:val="20"/>
                <w:lang w:val="bg-BG"/>
              </w:rPr>
              <w:t xml:space="preserve"> годишно.</w:t>
            </w:r>
          </w:p>
          <w:p w:rsidR="00D04E6D" w:rsidRPr="00D04E6D" w:rsidRDefault="00D04E6D" w:rsidP="008C65F8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8.2. Създават ли се нови регулаторни режими? Засягат ли се съществуващи режими и услуги?</w:t>
            </w:r>
          </w:p>
          <w:p w:rsidR="00D04E6D" w:rsidRPr="00D04E6D" w:rsidRDefault="00D04E6D" w:rsidP="008C65F8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Не се създават нови регулаторни режими.</w:t>
            </w:r>
          </w:p>
        </w:tc>
      </w:tr>
      <w:tr w:rsidR="00D04E6D" w:rsidRPr="007F1A32" w:rsidTr="0022081A">
        <w:tc>
          <w:tcPr>
            <w:tcW w:w="9606" w:type="dxa"/>
            <w:gridSpan w:val="2"/>
            <w:shd w:val="clear" w:color="auto" w:fill="auto"/>
          </w:tcPr>
          <w:p w:rsidR="00D04E6D" w:rsidRPr="00D04E6D" w:rsidRDefault="00D04E6D" w:rsidP="00326587">
            <w:pPr>
              <w:spacing w:before="120"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9. Създават ли се нови регистри?</w:t>
            </w:r>
          </w:p>
          <w:p w:rsidR="00D04E6D" w:rsidRPr="00D04E6D" w:rsidRDefault="008C65F8" w:rsidP="008C65F8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Не.</w:t>
            </w:r>
          </w:p>
          <w:p w:rsidR="00D04E6D" w:rsidRPr="00D04E6D" w:rsidRDefault="00D04E6D" w:rsidP="008C65F8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отговорът е „да“, посочете колко и кои са те.</w:t>
            </w:r>
          </w:p>
        </w:tc>
      </w:tr>
      <w:tr w:rsidR="00D04E6D" w:rsidRPr="00D04E6D" w:rsidTr="0022081A">
        <w:tc>
          <w:tcPr>
            <w:tcW w:w="9606" w:type="dxa"/>
            <w:gridSpan w:val="2"/>
            <w:shd w:val="clear" w:color="auto" w:fill="auto"/>
          </w:tcPr>
          <w:p w:rsidR="00D04E6D" w:rsidRPr="00D04E6D" w:rsidRDefault="00D04E6D" w:rsidP="00326587">
            <w:pPr>
              <w:spacing w:before="120"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10. Как въздейства актът върху </w:t>
            </w:r>
            <w:proofErr w:type="spellStart"/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микро-</w:t>
            </w:r>
            <w:proofErr w:type="spellEnd"/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, малките и средните предприятия (МСП)?</w:t>
            </w:r>
          </w:p>
          <w:p w:rsidR="00D04E6D" w:rsidRPr="00D04E6D" w:rsidRDefault="00D04E6D" w:rsidP="008C65F8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MS Gothic" w:eastAsia="MS Gothic" w:hAnsi="MS Gothic" w:cs="MS Gothic" w:hint="eastAsia"/>
                <w:sz w:val="20"/>
                <w:szCs w:val="20"/>
                <w:lang w:val="bg-BG"/>
              </w:rPr>
              <w:t>☒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Актът засяга пряко МСП</w:t>
            </w:r>
          </w:p>
          <w:p w:rsidR="00D04E6D" w:rsidRPr="00D04E6D" w:rsidRDefault="00D04E6D" w:rsidP="008C65F8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MS Gothic" w:eastAsia="MS Gothic" w:hAnsi="MS Gothic" w:cs="MS Gothic" w:hint="eastAsia"/>
                <w:sz w:val="20"/>
                <w:szCs w:val="20"/>
                <w:lang w:val="bg-BG"/>
              </w:rPr>
              <w:t>☐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 Актът не засяга МСП</w:t>
            </w:r>
          </w:p>
          <w:p w:rsidR="00D04E6D" w:rsidRDefault="00D04E6D" w:rsidP="008C65F8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MS Gothic" w:eastAsia="MS Gothic" w:hAnsi="MS Gothic" w:cs="MS Gothic" w:hint="eastAsia"/>
                <w:sz w:val="20"/>
                <w:szCs w:val="20"/>
                <w:lang w:val="bg-BG"/>
              </w:rPr>
              <w:t>☐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 Няма ефект</w:t>
            </w:r>
          </w:p>
          <w:p w:rsidR="004D736B" w:rsidRPr="00D04E6D" w:rsidRDefault="004D736B" w:rsidP="004D736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Преобладаващата част от участниците в процедурите за възлагане на дейности и за продажбата на дървесина – над 95%, са юридически лица, отговарящи на определението за МСП, съгласно Закона за малки </w:t>
            </w:r>
            <w:r w:rsidR="002161FE">
              <w:rPr>
                <w:rFonts w:ascii="Verdana" w:hAnsi="Verdana"/>
                <w:sz w:val="20"/>
                <w:szCs w:val="20"/>
                <w:lang w:val="bg-BG"/>
              </w:rPr>
              <w:t>и средни предприятия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="00101104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101104" w:rsidRPr="00101104">
              <w:rPr>
                <w:rFonts w:ascii="Verdana" w:hAnsi="Verdana"/>
                <w:sz w:val="20"/>
                <w:szCs w:val="20"/>
                <w:lang w:val="bg-BG"/>
              </w:rPr>
              <w:t xml:space="preserve">С предлаганите промени </w:t>
            </w:r>
            <w:r w:rsidR="00101104">
              <w:rPr>
                <w:rFonts w:ascii="Verdana" w:hAnsi="Verdana"/>
                <w:sz w:val="20"/>
                <w:szCs w:val="20"/>
                <w:lang w:val="bg-BG"/>
              </w:rPr>
              <w:t xml:space="preserve">се предвижда намаляване на </w:t>
            </w:r>
            <w:r w:rsidR="00101104" w:rsidRPr="00101104">
              <w:rPr>
                <w:rFonts w:ascii="Verdana" w:hAnsi="Verdana"/>
                <w:sz w:val="20"/>
                <w:szCs w:val="20"/>
                <w:lang w:val="bg-BG"/>
              </w:rPr>
              <w:t>общата административна тежест за юридическите лица, които участват в процедурите за възлагане на дейности и за продажба на дървесина</w:t>
            </w:r>
            <w:r w:rsidR="00101104">
              <w:rPr>
                <w:rFonts w:ascii="Verdana" w:hAnsi="Verdana"/>
                <w:sz w:val="20"/>
                <w:szCs w:val="20"/>
                <w:lang w:val="bg-BG"/>
              </w:rPr>
              <w:t xml:space="preserve"> с посочената т. 8.1 стойност</w:t>
            </w:r>
            <w:r w:rsidR="00060045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</w:tr>
      <w:tr w:rsidR="00D04E6D" w:rsidRPr="00D04E6D" w:rsidTr="0022081A">
        <w:tc>
          <w:tcPr>
            <w:tcW w:w="9606" w:type="dxa"/>
            <w:gridSpan w:val="2"/>
            <w:shd w:val="clear" w:color="auto" w:fill="auto"/>
          </w:tcPr>
          <w:p w:rsidR="00D04E6D" w:rsidRPr="00D04E6D" w:rsidRDefault="00D04E6D" w:rsidP="00326587">
            <w:pPr>
              <w:spacing w:before="120"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11.  Проектът на нормативен акт изисква ли цялостна оценка на въздействието?</w:t>
            </w:r>
          </w:p>
          <w:p w:rsidR="00D04E6D" w:rsidRPr="00D04E6D" w:rsidRDefault="00D04E6D" w:rsidP="008C65F8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MS Gothic" w:eastAsia="MS Gothic" w:hAnsi="MS Gothic" w:cs="MS Gothic" w:hint="eastAsia"/>
                <w:sz w:val="20"/>
                <w:szCs w:val="20"/>
                <w:lang w:val="bg-BG"/>
              </w:rPr>
              <w:lastRenderedPageBreak/>
              <w:t>☐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Да</w:t>
            </w:r>
          </w:p>
          <w:p w:rsidR="00D04E6D" w:rsidRPr="00D04E6D" w:rsidRDefault="00D04E6D" w:rsidP="008C65F8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MS Gothic" w:eastAsia="MS Gothic" w:hAnsi="MS Gothic" w:cs="MS Gothic" w:hint="eastAsia"/>
                <w:sz w:val="20"/>
                <w:szCs w:val="20"/>
                <w:lang w:val="bg-BG"/>
              </w:rPr>
              <w:t>☒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 Не</w:t>
            </w:r>
          </w:p>
        </w:tc>
      </w:tr>
      <w:tr w:rsidR="00D04E6D" w:rsidRPr="007F1A32" w:rsidTr="0022081A">
        <w:tc>
          <w:tcPr>
            <w:tcW w:w="9606" w:type="dxa"/>
            <w:gridSpan w:val="2"/>
            <w:shd w:val="clear" w:color="auto" w:fill="auto"/>
          </w:tcPr>
          <w:p w:rsidR="00D04E6D" w:rsidRPr="00D04E6D" w:rsidRDefault="00D04E6D" w:rsidP="00326587">
            <w:pPr>
              <w:spacing w:before="12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12. Обществени консултации: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Проектът на Постановление за </w:t>
            </w:r>
            <w:r w:rsidR="007624DD">
              <w:rPr>
                <w:rFonts w:ascii="Verdana" w:hAnsi="Verdana"/>
                <w:sz w:val="20"/>
                <w:szCs w:val="20"/>
                <w:lang w:val="bg-BG"/>
              </w:rPr>
              <w:t xml:space="preserve">изменение и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допълнение на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на Министерския съвет ще бъде публикуван на </w:t>
            </w:r>
            <w:r w:rsidR="00441E87"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ортала за обществени консултации и на интернет страницата на Министерството на земеделието, храните и горите, за срок от един месец.</w:t>
            </w:r>
          </w:p>
          <w:p w:rsidR="00D04E6D" w:rsidRPr="00D04E6D" w:rsidRDefault="00D04E6D" w:rsidP="008C65F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i/>
                <w:sz w:val="20"/>
                <w:szCs w:val="20"/>
                <w:lang w:val="bg-BG"/>
              </w:rPr>
              <w:t>Обобщете най-важните въпроси за  консултации в случай на извършване на цялостна оценка на въздействието или за обществените консултации по чл. 26 от Закона за нормативните актове. Посочете индикативен график за тяхното провеждане и видовете консултационни процедури.</w:t>
            </w:r>
          </w:p>
        </w:tc>
      </w:tr>
      <w:tr w:rsidR="00D04E6D" w:rsidRPr="007F1A32" w:rsidTr="0022081A">
        <w:tc>
          <w:tcPr>
            <w:tcW w:w="9606" w:type="dxa"/>
            <w:gridSpan w:val="2"/>
            <w:shd w:val="clear" w:color="auto" w:fill="auto"/>
          </w:tcPr>
          <w:p w:rsidR="00D04E6D" w:rsidRPr="00D04E6D" w:rsidRDefault="00D04E6D" w:rsidP="00326587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13. Приемането на нормативния акт произтича ли от правото на Европейския съюз?</w:t>
            </w:r>
          </w:p>
          <w:p w:rsidR="00D04E6D" w:rsidRPr="00D04E6D" w:rsidRDefault="00D04E6D" w:rsidP="008C65F8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MS Gothic" w:eastAsia="MS Gothic" w:hAnsi="MS Gothic" w:cs="MS Gothic" w:hint="eastAsia"/>
                <w:sz w:val="20"/>
                <w:szCs w:val="20"/>
                <w:lang w:val="bg-BG"/>
              </w:rPr>
              <w:t>☐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Да</w:t>
            </w:r>
          </w:p>
          <w:p w:rsidR="00D04E6D" w:rsidRPr="00D04E6D" w:rsidRDefault="00D04E6D" w:rsidP="008C65F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MS Gothic" w:eastAsia="MS Gothic" w:hAnsi="MS Gothic" w:cs="MS Gothic" w:hint="eastAsia"/>
                <w:sz w:val="20"/>
                <w:szCs w:val="20"/>
                <w:lang w:val="bg-BG"/>
              </w:rPr>
              <w:t>☒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 xml:space="preserve">  Не</w:t>
            </w:r>
          </w:p>
          <w:p w:rsidR="00D04E6D" w:rsidRPr="00D04E6D" w:rsidRDefault="00D04E6D" w:rsidP="008C65F8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i/>
                <w:sz w:val="20"/>
                <w:szCs w:val="20"/>
                <w:lang w:val="bg-BG"/>
              </w:rPr>
              <w:t>Моля посочете изискванията на правото на Европейския съюз, включително информацията по т. 8.1 и 8.2, дали е извършена оценка на въздействието на ниво Европейски съюз, и я приложете (или посочете връзка към източник).</w:t>
            </w:r>
          </w:p>
        </w:tc>
      </w:tr>
      <w:tr w:rsidR="00D04E6D" w:rsidRPr="00D04E6D" w:rsidTr="0022081A">
        <w:tc>
          <w:tcPr>
            <w:tcW w:w="9606" w:type="dxa"/>
            <w:gridSpan w:val="2"/>
            <w:shd w:val="clear" w:color="auto" w:fill="auto"/>
          </w:tcPr>
          <w:p w:rsidR="00D04E6D" w:rsidRDefault="00D04E6D" w:rsidP="00326587">
            <w:pPr>
              <w:spacing w:before="120"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14. Име, длъжност, дата и подпис на директора на дирекцията, отговорна за изработването на нормативния акт:</w:t>
            </w:r>
          </w:p>
          <w:p w:rsidR="00D04E6D" w:rsidRDefault="00D04E6D" w:rsidP="008C65F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Име и длъжност:</w:t>
            </w:r>
            <w:r w:rsidRPr="007F1A32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04E6D">
              <w:rPr>
                <w:rFonts w:ascii="Verdana" w:hAnsi="Verdana"/>
                <w:sz w:val="20"/>
                <w:szCs w:val="20"/>
                <w:lang w:val="bg-BG"/>
              </w:rPr>
              <w:t>инж. Борислав Симеонов – директор на дирекция „Търговски дружества и държавни предприятия“, Министерство на земеделието, храните и горите</w:t>
            </w:r>
          </w:p>
          <w:p w:rsidR="00D04E6D" w:rsidRPr="00206759" w:rsidRDefault="000175E7" w:rsidP="008C65F8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Дата:  </w:t>
            </w:r>
            <w:r w:rsidR="00B677E8">
              <w:rPr>
                <w:rFonts w:ascii="Verdana" w:hAnsi="Verdana"/>
                <w:b/>
                <w:sz w:val="20"/>
                <w:szCs w:val="20"/>
                <w:lang w:val="bg-BG"/>
              </w:rPr>
              <w:t>01</w:t>
            </w:r>
            <w:r w:rsidR="00D04E6D" w:rsidRPr="00206759">
              <w:rPr>
                <w:rFonts w:ascii="Verdana" w:hAnsi="Verdana"/>
                <w:b/>
                <w:sz w:val="20"/>
                <w:szCs w:val="20"/>
                <w:lang w:val="bg-BG"/>
              </w:rPr>
              <w:t>.</w:t>
            </w:r>
            <w:r w:rsidR="00B677E8">
              <w:rPr>
                <w:rFonts w:ascii="Verdana" w:hAnsi="Verdana"/>
                <w:b/>
                <w:sz w:val="20"/>
                <w:szCs w:val="20"/>
                <w:lang w:val="bg-BG"/>
              </w:rPr>
              <w:t>11</w:t>
            </w:r>
            <w:bookmarkStart w:id="0" w:name="_GoBack"/>
            <w:bookmarkEnd w:id="0"/>
            <w:r w:rsidR="00D04E6D" w:rsidRPr="00206759">
              <w:rPr>
                <w:rFonts w:ascii="Verdana" w:hAnsi="Verdana"/>
                <w:b/>
                <w:sz w:val="20"/>
                <w:szCs w:val="20"/>
                <w:lang w:val="bg-BG"/>
              </w:rPr>
              <w:t>.2018 г.</w:t>
            </w:r>
          </w:p>
          <w:p w:rsidR="00D04E6D" w:rsidRDefault="00D04E6D" w:rsidP="008C65F8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D04E6D">
              <w:rPr>
                <w:rFonts w:ascii="Verdana" w:hAnsi="Verdana"/>
                <w:b/>
                <w:sz w:val="20"/>
                <w:szCs w:val="20"/>
                <w:lang w:val="bg-BG"/>
              </w:rPr>
              <w:t>Подпис:</w:t>
            </w:r>
          </w:p>
          <w:p w:rsidR="00326587" w:rsidRDefault="00326587" w:rsidP="008C65F8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326587" w:rsidRDefault="00326587" w:rsidP="008C65F8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A44ABD" w:rsidRDefault="00A44ABD" w:rsidP="008C65F8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A44ABD" w:rsidRDefault="00A44ABD" w:rsidP="008C65F8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A44ABD" w:rsidRPr="00A44ABD" w:rsidRDefault="00A44ABD" w:rsidP="008C65F8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</w:tbl>
    <w:p w:rsidR="000D62D0" w:rsidRPr="008C65F8" w:rsidRDefault="000D62D0" w:rsidP="008C65F8">
      <w:pPr>
        <w:rPr>
          <w:rFonts w:ascii="Verdana" w:hAnsi="Verdana"/>
          <w:sz w:val="20"/>
          <w:szCs w:val="20"/>
          <w:highlight w:val="white"/>
          <w:lang w:val="bg-BG"/>
        </w:rPr>
      </w:pPr>
    </w:p>
    <w:sectPr w:rsidR="000D62D0" w:rsidRPr="008C65F8" w:rsidSect="000B3676">
      <w:footerReference w:type="even" r:id="rId9"/>
      <w:footerReference w:type="default" r:id="rId10"/>
      <w:pgSz w:w="11906" w:h="16838" w:code="9"/>
      <w:pgMar w:top="1077" w:right="1021" w:bottom="45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5E" w:rsidRDefault="002F175E">
      <w:r>
        <w:separator/>
      </w:r>
    </w:p>
  </w:endnote>
  <w:endnote w:type="continuationSeparator" w:id="0">
    <w:p w:rsidR="002F175E" w:rsidRDefault="002F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1D" w:rsidRDefault="00F5761D" w:rsidP="00F576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61D" w:rsidRDefault="00F5761D" w:rsidP="00F576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76" w:rsidRPr="0022081A" w:rsidRDefault="000B3676" w:rsidP="000B3676">
    <w:pPr>
      <w:pStyle w:val="Footer"/>
      <w:jc w:val="right"/>
      <w:rPr>
        <w:sz w:val="16"/>
        <w:szCs w:val="16"/>
      </w:rPr>
    </w:pPr>
    <w:r w:rsidRPr="0022081A">
      <w:rPr>
        <w:rFonts w:ascii="Verdana" w:hAnsi="Verdana"/>
        <w:sz w:val="16"/>
        <w:szCs w:val="16"/>
      </w:rPr>
      <w:fldChar w:fldCharType="begin"/>
    </w:r>
    <w:r w:rsidRPr="0022081A">
      <w:rPr>
        <w:rFonts w:ascii="Verdana" w:hAnsi="Verdana"/>
        <w:sz w:val="16"/>
        <w:szCs w:val="16"/>
      </w:rPr>
      <w:instrText xml:space="preserve"> PAGE   \* MERGEFORMAT </w:instrText>
    </w:r>
    <w:r w:rsidRPr="0022081A">
      <w:rPr>
        <w:rFonts w:ascii="Verdana" w:hAnsi="Verdana"/>
        <w:sz w:val="16"/>
        <w:szCs w:val="16"/>
      </w:rPr>
      <w:fldChar w:fldCharType="separate"/>
    </w:r>
    <w:r w:rsidR="00B677E8">
      <w:rPr>
        <w:rFonts w:ascii="Verdana" w:hAnsi="Verdana"/>
        <w:noProof/>
        <w:sz w:val="16"/>
        <w:szCs w:val="16"/>
      </w:rPr>
      <w:t>10</w:t>
    </w:r>
    <w:r w:rsidRPr="0022081A">
      <w:rPr>
        <w:rFonts w:ascii="Verdana" w:hAnsi="Verdana"/>
        <w:noProof/>
        <w:sz w:val="16"/>
        <w:szCs w:val="16"/>
      </w:rPr>
      <w:fldChar w:fldCharType="end"/>
    </w:r>
    <w:r w:rsidRPr="0022081A">
      <w:rPr>
        <w:rFonts w:ascii="Verdana" w:hAnsi="Verdana"/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5E" w:rsidRDefault="002F175E">
      <w:r>
        <w:separator/>
      </w:r>
    </w:p>
  </w:footnote>
  <w:footnote w:type="continuationSeparator" w:id="0">
    <w:p w:rsidR="002F175E" w:rsidRDefault="002F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8DD"/>
    <w:multiLevelType w:val="hybridMultilevel"/>
    <w:tmpl w:val="8926FD0E"/>
    <w:lvl w:ilvl="0" w:tplc="2474F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709F6"/>
    <w:multiLevelType w:val="hybridMultilevel"/>
    <w:tmpl w:val="56B85390"/>
    <w:lvl w:ilvl="0" w:tplc="BC0221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2D5C29"/>
    <w:multiLevelType w:val="hybridMultilevel"/>
    <w:tmpl w:val="85FA3996"/>
    <w:lvl w:ilvl="0" w:tplc="627A4C1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7A4E17"/>
    <w:multiLevelType w:val="hybridMultilevel"/>
    <w:tmpl w:val="CF5EEA94"/>
    <w:lvl w:ilvl="0" w:tplc="BC2ECBCC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4B630B9"/>
    <w:multiLevelType w:val="hybridMultilevel"/>
    <w:tmpl w:val="D6481F80"/>
    <w:lvl w:ilvl="0" w:tplc="3092B9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E00221"/>
    <w:multiLevelType w:val="hybridMultilevel"/>
    <w:tmpl w:val="90E2A222"/>
    <w:lvl w:ilvl="0" w:tplc="7EE6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16ADB"/>
    <w:multiLevelType w:val="hybridMultilevel"/>
    <w:tmpl w:val="2D988188"/>
    <w:lvl w:ilvl="0" w:tplc="D97297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E64136"/>
    <w:multiLevelType w:val="hybridMultilevel"/>
    <w:tmpl w:val="6DBAF9D4"/>
    <w:lvl w:ilvl="0" w:tplc="E5CEC8D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584367"/>
    <w:multiLevelType w:val="hybridMultilevel"/>
    <w:tmpl w:val="0D886DCC"/>
    <w:lvl w:ilvl="0" w:tplc="F82EC2F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B316A"/>
    <w:multiLevelType w:val="hybridMultilevel"/>
    <w:tmpl w:val="B2D4FB6E"/>
    <w:lvl w:ilvl="0" w:tplc="072436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13C592D"/>
    <w:multiLevelType w:val="hybridMultilevel"/>
    <w:tmpl w:val="97BA370E"/>
    <w:lvl w:ilvl="0" w:tplc="2474F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5B491B"/>
    <w:multiLevelType w:val="hybridMultilevel"/>
    <w:tmpl w:val="C2B88C78"/>
    <w:lvl w:ilvl="0" w:tplc="E782F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6D"/>
    <w:rsid w:val="00001BB2"/>
    <w:rsid w:val="00003303"/>
    <w:rsid w:val="00010E3D"/>
    <w:rsid w:val="00010F8F"/>
    <w:rsid w:val="00013C16"/>
    <w:rsid w:val="00014DAD"/>
    <w:rsid w:val="000175E7"/>
    <w:rsid w:val="000204D4"/>
    <w:rsid w:val="000208C6"/>
    <w:rsid w:val="00021717"/>
    <w:rsid w:val="00022B7F"/>
    <w:rsid w:val="00023C80"/>
    <w:rsid w:val="00024844"/>
    <w:rsid w:val="000266A6"/>
    <w:rsid w:val="000268EE"/>
    <w:rsid w:val="0003003E"/>
    <w:rsid w:val="0003146D"/>
    <w:rsid w:val="0003167E"/>
    <w:rsid w:val="000334D5"/>
    <w:rsid w:val="0005483F"/>
    <w:rsid w:val="00055E5E"/>
    <w:rsid w:val="0005602A"/>
    <w:rsid w:val="0005753F"/>
    <w:rsid w:val="00060045"/>
    <w:rsid w:val="000612B8"/>
    <w:rsid w:val="0006452B"/>
    <w:rsid w:val="00066BE0"/>
    <w:rsid w:val="00066EFC"/>
    <w:rsid w:val="00067248"/>
    <w:rsid w:val="00067F36"/>
    <w:rsid w:val="000706A0"/>
    <w:rsid w:val="000709F3"/>
    <w:rsid w:val="00070E1F"/>
    <w:rsid w:val="00071B38"/>
    <w:rsid w:val="00080711"/>
    <w:rsid w:val="00081E1C"/>
    <w:rsid w:val="00086257"/>
    <w:rsid w:val="000929A3"/>
    <w:rsid w:val="00096A10"/>
    <w:rsid w:val="00096C16"/>
    <w:rsid w:val="000A17C7"/>
    <w:rsid w:val="000A17D8"/>
    <w:rsid w:val="000A3D62"/>
    <w:rsid w:val="000A5B35"/>
    <w:rsid w:val="000A6185"/>
    <w:rsid w:val="000B13F5"/>
    <w:rsid w:val="000B3676"/>
    <w:rsid w:val="000B537B"/>
    <w:rsid w:val="000B614C"/>
    <w:rsid w:val="000C18FB"/>
    <w:rsid w:val="000C19CC"/>
    <w:rsid w:val="000C38D0"/>
    <w:rsid w:val="000C4C6F"/>
    <w:rsid w:val="000C514F"/>
    <w:rsid w:val="000C6413"/>
    <w:rsid w:val="000C7E0C"/>
    <w:rsid w:val="000D10B3"/>
    <w:rsid w:val="000D156B"/>
    <w:rsid w:val="000D62D0"/>
    <w:rsid w:val="000D7932"/>
    <w:rsid w:val="000E0344"/>
    <w:rsid w:val="000E166E"/>
    <w:rsid w:val="000E2142"/>
    <w:rsid w:val="000E256B"/>
    <w:rsid w:val="000E3931"/>
    <w:rsid w:val="000F1A10"/>
    <w:rsid w:val="000F2D55"/>
    <w:rsid w:val="000F3646"/>
    <w:rsid w:val="000F4CAF"/>
    <w:rsid w:val="001006A1"/>
    <w:rsid w:val="00101104"/>
    <w:rsid w:val="00102D1E"/>
    <w:rsid w:val="001125DC"/>
    <w:rsid w:val="00115A50"/>
    <w:rsid w:val="00123A65"/>
    <w:rsid w:val="00125175"/>
    <w:rsid w:val="00126FB7"/>
    <w:rsid w:val="00130CED"/>
    <w:rsid w:val="00132BC9"/>
    <w:rsid w:val="00133435"/>
    <w:rsid w:val="0013369D"/>
    <w:rsid w:val="00137E0D"/>
    <w:rsid w:val="00140110"/>
    <w:rsid w:val="001407D9"/>
    <w:rsid w:val="00141C12"/>
    <w:rsid w:val="0015317B"/>
    <w:rsid w:val="00154E69"/>
    <w:rsid w:val="001578C7"/>
    <w:rsid w:val="0016509B"/>
    <w:rsid w:val="00166B7C"/>
    <w:rsid w:val="0017077F"/>
    <w:rsid w:val="001719CE"/>
    <w:rsid w:val="00171C37"/>
    <w:rsid w:val="00173847"/>
    <w:rsid w:val="00173C98"/>
    <w:rsid w:val="001759AA"/>
    <w:rsid w:val="00180C68"/>
    <w:rsid w:val="001816D9"/>
    <w:rsid w:val="00186D00"/>
    <w:rsid w:val="001878A6"/>
    <w:rsid w:val="001A11BE"/>
    <w:rsid w:val="001A2A3B"/>
    <w:rsid w:val="001A2F27"/>
    <w:rsid w:val="001B235C"/>
    <w:rsid w:val="001B5641"/>
    <w:rsid w:val="001B5815"/>
    <w:rsid w:val="001B620E"/>
    <w:rsid w:val="001B7F4C"/>
    <w:rsid w:val="001C013E"/>
    <w:rsid w:val="001C1479"/>
    <w:rsid w:val="001C2E10"/>
    <w:rsid w:val="001C5B97"/>
    <w:rsid w:val="001D5498"/>
    <w:rsid w:val="001D5FD0"/>
    <w:rsid w:val="001E02CE"/>
    <w:rsid w:val="001E2FB0"/>
    <w:rsid w:val="001E32B2"/>
    <w:rsid w:val="001E3E94"/>
    <w:rsid w:val="001E6D61"/>
    <w:rsid w:val="001E6FC2"/>
    <w:rsid w:val="001F5AAC"/>
    <w:rsid w:val="001F6D5E"/>
    <w:rsid w:val="001F6D8B"/>
    <w:rsid w:val="00202795"/>
    <w:rsid w:val="0020545F"/>
    <w:rsid w:val="00206759"/>
    <w:rsid w:val="00211745"/>
    <w:rsid w:val="00213827"/>
    <w:rsid w:val="00213C75"/>
    <w:rsid w:val="002161FE"/>
    <w:rsid w:val="0022081A"/>
    <w:rsid w:val="002228BC"/>
    <w:rsid w:val="00226008"/>
    <w:rsid w:val="0022664C"/>
    <w:rsid w:val="00226728"/>
    <w:rsid w:val="00227BB0"/>
    <w:rsid w:val="002303F3"/>
    <w:rsid w:val="00231985"/>
    <w:rsid w:val="00232D27"/>
    <w:rsid w:val="00237C75"/>
    <w:rsid w:val="002402D1"/>
    <w:rsid w:val="00241595"/>
    <w:rsid w:val="00250E53"/>
    <w:rsid w:val="00251298"/>
    <w:rsid w:val="00251318"/>
    <w:rsid w:val="00252A1C"/>
    <w:rsid w:val="00256441"/>
    <w:rsid w:val="00261AAF"/>
    <w:rsid w:val="00264F7E"/>
    <w:rsid w:val="002671A5"/>
    <w:rsid w:val="00270EBB"/>
    <w:rsid w:val="00274B8A"/>
    <w:rsid w:val="00276D82"/>
    <w:rsid w:val="002809DC"/>
    <w:rsid w:val="002822E6"/>
    <w:rsid w:val="00285673"/>
    <w:rsid w:val="00291F03"/>
    <w:rsid w:val="00292052"/>
    <w:rsid w:val="00292DDC"/>
    <w:rsid w:val="002952BD"/>
    <w:rsid w:val="002978B3"/>
    <w:rsid w:val="002A3D7D"/>
    <w:rsid w:val="002A4AF9"/>
    <w:rsid w:val="002A6B60"/>
    <w:rsid w:val="002A6F72"/>
    <w:rsid w:val="002A76E8"/>
    <w:rsid w:val="002A7CB7"/>
    <w:rsid w:val="002B0190"/>
    <w:rsid w:val="002B3C53"/>
    <w:rsid w:val="002C2C42"/>
    <w:rsid w:val="002C350B"/>
    <w:rsid w:val="002C363C"/>
    <w:rsid w:val="002D1B50"/>
    <w:rsid w:val="002D2B09"/>
    <w:rsid w:val="002E1254"/>
    <w:rsid w:val="002E18E6"/>
    <w:rsid w:val="002E1AFF"/>
    <w:rsid w:val="002E2184"/>
    <w:rsid w:val="002E4538"/>
    <w:rsid w:val="002E5100"/>
    <w:rsid w:val="002E7494"/>
    <w:rsid w:val="002E7E36"/>
    <w:rsid w:val="002F175E"/>
    <w:rsid w:val="002F2279"/>
    <w:rsid w:val="00311F4C"/>
    <w:rsid w:val="0031563B"/>
    <w:rsid w:val="003157A5"/>
    <w:rsid w:val="00317A38"/>
    <w:rsid w:val="0032302F"/>
    <w:rsid w:val="00323404"/>
    <w:rsid w:val="00324A69"/>
    <w:rsid w:val="00325027"/>
    <w:rsid w:val="00325532"/>
    <w:rsid w:val="00325EBD"/>
    <w:rsid w:val="00326587"/>
    <w:rsid w:val="0033050F"/>
    <w:rsid w:val="00330957"/>
    <w:rsid w:val="00336196"/>
    <w:rsid w:val="00340D97"/>
    <w:rsid w:val="00340F74"/>
    <w:rsid w:val="0034403B"/>
    <w:rsid w:val="0034525D"/>
    <w:rsid w:val="00345532"/>
    <w:rsid w:val="00346317"/>
    <w:rsid w:val="00347DA4"/>
    <w:rsid w:val="00351380"/>
    <w:rsid w:val="00364021"/>
    <w:rsid w:val="003711CC"/>
    <w:rsid w:val="00373A73"/>
    <w:rsid w:val="003874F5"/>
    <w:rsid w:val="00391C23"/>
    <w:rsid w:val="003928EB"/>
    <w:rsid w:val="0039379D"/>
    <w:rsid w:val="003968A3"/>
    <w:rsid w:val="00397D61"/>
    <w:rsid w:val="003A11D2"/>
    <w:rsid w:val="003A33E1"/>
    <w:rsid w:val="003A3E01"/>
    <w:rsid w:val="003B1AD0"/>
    <w:rsid w:val="003B1E99"/>
    <w:rsid w:val="003C3CAC"/>
    <w:rsid w:val="003C45CD"/>
    <w:rsid w:val="003C4F98"/>
    <w:rsid w:val="003D1303"/>
    <w:rsid w:val="003D7AC4"/>
    <w:rsid w:val="003E11EB"/>
    <w:rsid w:val="003E3358"/>
    <w:rsid w:val="003E4095"/>
    <w:rsid w:val="003E460B"/>
    <w:rsid w:val="003E6814"/>
    <w:rsid w:val="003E6C36"/>
    <w:rsid w:val="003F5B92"/>
    <w:rsid w:val="003F7106"/>
    <w:rsid w:val="0040161A"/>
    <w:rsid w:val="00406CFF"/>
    <w:rsid w:val="00410EF1"/>
    <w:rsid w:val="0041310A"/>
    <w:rsid w:val="004143B2"/>
    <w:rsid w:val="00414F16"/>
    <w:rsid w:val="004151A0"/>
    <w:rsid w:val="004179E6"/>
    <w:rsid w:val="00420663"/>
    <w:rsid w:val="00424602"/>
    <w:rsid w:val="00425DB2"/>
    <w:rsid w:val="00437167"/>
    <w:rsid w:val="00441E87"/>
    <w:rsid w:val="00445311"/>
    <w:rsid w:val="00446ED8"/>
    <w:rsid w:val="004476C0"/>
    <w:rsid w:val="004537FC"/>
    <w:rsid w:val="00457C1B"/>
    <w:rsid w:val="00461255"/>
    <w:rsid w:val="004636AF"/>
    <w:rsid w:val="00464CE4"/>
    <w:rsid w:val="004753F1"/>
    <w:rsid w:val="00477A27"/>
    <w:rsid w:val="0048232E"/>
    <w:rsid w:val="004A37C1"/>
    <w:rsid w:val="004A731A"/>
    <w:rsid w:val="004B1F6B"/>
    <w:rsid w:val="004B336B"/>
    <w:rsid w:val="004C286B"/>
    <w:rsid w:val="004C3834"/>
    <w:rsid w:val="004C51FB"/>
    <w:rsid w:val="004D086F"/>
    <w:rsid w:val="004D1B62"/>
    <w:rsid w:val="004D6337"/>
    <w:rsid w:val="004D736B"/>
    <w:rsid w:val="004E1460"/>
    <w:rsid w:val="004E588F"/>
    <w:rsid w:val="004E6139"/>
    <w:rsid w:val="004F32F8"/>
    <w:rsid w:val="004F5099"/>
    <w:rsid w:val="00500A0A"/>
    <w:rsid w:val="00502221"/>
    <w:rsid w:val="005110DF"/>
    <w:rsid w:val="005117E9"/>
    <w:rsid w:val="0051673C"/>
    <w:rsid w:val="00534B23"/>
    <w:rsid w:val="00535C86"/>
    <w:rsid w:val="00541A6A"/>
    <w:rsid w:val="00545EA7"/>
    <w:rsid w:val="00552DBF"/>
    <w:rsid w:val="00560051"/>
    <w:rsid w:val="005605DC"/>
    <w:rsid w:val="005607B2"/>
    <w:rsid w:val="005670EA"/>
    <w:rsid w:val="00576420"/>
    <w:rsid w:val="00576589"/>
    <w:rsid w:val="00577D13"/>
    <w:rsid w:val="00581C83"/>
    <w:rsid w:val="00582BA2"/>
    <w:rsid w:val="005831CC"/>
    <w:rsid w:val="005905C4"/>
    <w:rsid w:val="005917C7"/>
    <w:rsid w:val="00591928"/>
    <w:rsid w:val="005961A6"/>
    <w:rsid w:val="00597BB0"/>
    <w:rsid w:val="005A00FF"/>
    <w:rsid w:val="005A22CA"/>
    <w:rsid w:val="005A2F72"/>
    <w:rsid w:val="005A3691"/>
    <w:rsid w:val="005A608D"/>
    <w:rsid w:val="005B0B3A"/>
    <w:rsid w:val="005B0D11"/>
    <w:rsid w:val="005B1CA0"/>
    <w:rsid w:val="005B1E23"/>
    <w:rsid w:val="005C72BC"/>
    <w:rsid w:val="005C78CC"/>
    <w:rsid w:val="005D355A"/>
    <w:rsid w:val="005E1211"/>
    <w:rsid w:val="005E2B81"/>
    <w:rsid w:val="005E4BCE"/>
    <w:rsid w:val="005E5D98"/>
    <w:rsid w:val="005F51D0"/>
    <w:rsid w:val="005F7625"/>
    <w:rsid w:val="00600550"/>
    <w:rsid w:val="00601DAD"/>
    <w:rsid w:val="0060296E"/>
    <w:rsid w:val="00602A45"/>
    <w:rsid w:val="00604784"/>
    <w:rsid w:val="00610171"/>
    <w:rsid w:val="006142B5"/>
    <w:rsid w:val="00617115"/>
    <w:rsid w:val="006202B3"/>
    <w:rsid w:val="00624232"/>
    <w:rsid w:val="00624442"/>
    <w:rsid w:val="00624FD6"/>
    <w:rsid w:val="0063162E"/>
    <w:rsid w:val="00642330"/>
    <w:rsid w:val="00643236"/>
    <w:rsid w:val="00644205"/>
    <w:rsid w:val="00644FD6"/>
    <w:rsid w:val="00646F47"/>
    <w:rsid w:val="006506C4"/>
    <w:rsid w:val="0065622A"/>
    <w:rsid w:val="00657397"/>
    <w:rsid w:val="006603C2"/>
    <w:rsid w:val="00661050"/>
    <w:rsid w:val="0066520C"/>
    <w:rsid w:val="006728E7"/>
    <w:rsid w:val="006802E6"/>
    <w:rsid w:val="006817F3"/>
    <w:rsid w:val="00682300"/>
    <w:rsid w:val="00696A1C"/>
    <w:rsid w:val="006975C1"/>
    <w:rsid w:val="006A09FB"/>
    <w:rsid w:val="006A221E"/>
    <w:rsid w:val="006A38F6"/>
    <w:rsid w:val="006A6341"/>
    <w:rsid w:val="006A6AE1"/>
    <w:rsid w:val="006B0A9B"/>
    <w:rsid w:val="006B1049"/>
    <w:rsid w:val="006B4A66"/>
    <w:rsid w:val="006B5A39"/>
    <w:rsid w:val="006B5ABE"/>
    <w:rsid w:val="006C57B1"/>
    <w:rsid w:val="006C58E6"/>
    <w:rsid w:val="006C5AFC"/>
    <w:rsid w:val="006C6FBB"/>
    <w:rsid w:val="006D521A"/>
    <w:rsid w:val="006D74E3"/>
    <w:rsid w:val="006E1F6E"/>
    <w:rsid w:val="006E3F64"/>
    <w:rsid w:val="006E587A"/>
    <w:rsid w:val="006E670E"/>
    <w:rsid w:val="006F0343"/>
    <w:rsid w:val="006F0704"/>
    <w:rsid w:val="006F1558"/>
    <w:rsid w:val="006F60AC"/>
    <w:rsid w:val="007047C1"/>
    <w:rsid w:val="00707E9F"/>
    <w:rsid w:val="007104FE"/>
    <w:rsid w:val="00712854"/>
    <w:rsid w:val="00715BCD"/>
    <w:rsid w:val="0072094D"/>
    <w:rsid w:val="0072268D"/>
    <w:rsid w:val="00725164"/>
    <w:rsid w:val="00733E54"/>
    <w:rsid w:val="00734AAC"/>
    <w:rsid w:val="0074024F"/>
    <w:rsid w:val="007438E5"/>
    <w:rsid w:val="0074529D"/>
    <w:rsid w:val="0074664E"/>
    <w:rsid w:val="00746B3E"/>
    <w:rsid w:val="00750565"/>
    <w:rsid w:val="00750662"/>
    <w:rsid w:val="007520DB"/>
    <w:rsid w:val="00752450"/>
    <w:rsid w:val="0075542E"/>
    <w:rsid w:val="007624DD"/>
    <w:rsid w:val="00765479"/>
    <w:rsid w:val="00765706"/>
    <w:rsid w:val="00771208"/>
    <w:rsid w:val="00772B36"/>
    <w:rsid w:val="0077416C"/>
    <w:rsid w:val="00774D0F"/>
    <w:rsid w:val="00781A66"/>
    <w:rsid w:val="00783EC8"/>
    <w:rsid w:val="00784CAB"/>
    <w:rsid w:val="00785E8E"/>
    <w:rsid w:val="007877E3"/>
    <w:rsid w:val="00793711"/>
    <w:rsid w:val="00793799"/>
    <w:rsid w:val="00793D15"/>
    <w:rsid w:val="007943F8"/>
    <w:rsid w:val="007A0117"/>
    <w:rsid w:val="007A0705"/>
    <w:rsid w:val="007A087B"/>
    <w:rsid w:val="007A654C"/>
    <w:rsid w:val="007A66C5"/>
    <w:rsid w:val="007A6C24"/>
    <w:rsid w:val="007A6E6E"/>
    <w:rsid w:val="007B106D"/>
    <w:rsid w:val="007B1B0B"/>
    <w:rsid w:val="007B2A6C"/>
    <w:rsid w:val="007C46EB"/>
    <w:rsid w:val="007C485F"/>
    <w:rsid w:val="007C622E"/>
    <w:rsid w:val="007C62B9"/>
    <w:rsid w:val="007D6934"/>
    <w:rsid w:val="007E0C73"/>
    <w:rsid w:val="007E1EFF"/>
    <w:rsid w:val="007E3B45"/>
    <w:rsid w:val="007E5653"/>
    <w:rsid w:val="007E7893"/>
    <w:rsid w:val="007F1326"/>
    <w:rsid w:val="007F1A32"/>
    <w:rsid w:val="007F4AFE"/>
    <w:rsid w:val="007F60BD"/>
    <w:rsid w:val="008009A2"/>
    <w:rsid w:val="008033CC"/>
    <w:rsid w:val="00803E2C"/>
    <w:rsid w:val="00805BC2"/>
    <w:rsid w:val="00805DC2"/>
    <w:rsid w:val="00806BC5"/>
    <w:rsid w:val="00812BCC"/>
    <w:rsid w:val="00817ED7"/>
    <w:rsid w:val="00823F3C"/>
    <w:rsid w:val="00825B3C"/>
    <w:rsid w:val="008318C6"/>
    <w:rsid w:val="00833166"/>
    <w:rsid w:val="00833A87"/>
    <w:rsid w:val="008373DA"/>
    <w:rsid w:val="008375D5"/>
    <w:rsid w:val="0084116B"/>
    <w:rsid w:val="00844D6F"/>
    <w:rsid w:val="008475DA"/>
    <w:rsid w:val="00847FCE"/>
    <w:rsid w:val="00855A98"/>
    <w:rsid w:val="00855E3D"/>
    <w:rsid w:val="00863B4E"/>
    <w:rsid w:val="00864C83"/>
    <w:rsid w:val="0087022F"/>
    <w:rsid w:val="00872385"/>
    <w:rsid w:val="00880147"/>
    <w:rsid w:val="00881553"/>
    <w:rsid w:val="008857DC"/>
    <w:rsid w:val="00885EBC"/>
    <w:rsid w:val="0089022B"/>
    <w:rsid w:val="008927EC"/>
    <w:rsid w:val="0089304E"/>
    <w:rsid w:val="00894523"/>
    <w:rsid w:val="0089528E"/>
    <w:rsid w:val="00895657"/>
    <w:rsid w:val="00895D1C"/>
    <w:rsid w:val="00897B2A"/>
    <w:rsid w:val="008A0246"/>
    <w:rsid w:val="008A1AAD"/>
    <w:rsid w:val="008A4742"/>
    <w:rsid w:val="008A54EE"/>
    <w:rsid w:val="008A622E"/>
    <w:rsid w:val="008A6B08"/>
    <w:rsid w:val="008B36F2"/>
    <w:rsid w:val="008B663A"/>
    <w:rsid w:val="008C0900"/>
    <w:rsid w:val="008C0F36"/>
    <w:rsid w:val="008C3F48"/>
    <w:rsid w:val="008C4EBC"/>
    <w:rsid w:val="008C52BA"/>
    <w:rsid w:val="008C5481"/>
    <w:rsid w:val="008C5EA4"/>
    <w:rsid w:val="008C65F8"/>
    <w:rsid w:val="008D0862"/>
    <w:rsid w:val="008D2F3C"/>
    <w:rsid w:val="008D4BFA"/>
    <w:rsid w:val="008D55F3"/>
    <w:rsid w:val="008D5DBC"/>
    <w:rsid w:val="008D73DF"/>
    <w:rsid w:val="008E23E3"/>
    <w:rsid w:val="008E5B80"/>
    <w:rsid w:val="008E6AE9"/>
    <w:rsid w:val="008F1BAE"/>
    <w:rsid w:val="008F7D8B"/>
    <w:rsid w:val="00900255"/>
    <w:rsid w:val="009017DA"/>
    <w:rsid w:val="0090282A"/>
    <w:rsid w:val="00902AE0"/>
    <w:rsid w:val="009062CC"/>
    <w:rsid w:val="00907B90"/>
    <w:rsid w:val="00910D65"/>
    <w:rsid w:val="00915770"/>
    <w:rsid w:val="00917BD7"/>
    <w:rsid w:val="00927C2D"/>
    <w:rsid w:val="00927ED0"/>
    <w:rsid w:val="00931076"/>
    <w:rsid w:val="009344BF"/>
    <w:rsid w:val="009362F1"/>
    <w:rsid w:val="009366E5"/>
    <w:rsid w:val="009449F2"/>
    <w:rsid w:val="00944CA3"/>
    <w:rsid w:val="00954021"/>
    <w:rsid w:val="0096509D"/>
    <w:rsid w:val="00971981"/>
    <w:rsid w:val="00973CA5"/>
    <w:rsid w:val="0097559E"/>
    <w:rsid w:val="0097597B"/>
    <w:rsid w:val="0097630F"/>
    <w:rsid w:val="00976D56"/>
    <w:rsid w:val="00977359"/>
    <w:rsid w:val="00982A7C"/>
    <w:rsid w:val="009850BF"/>
    <w:rsid w:val="00997E0A"/>
    <w:rsid w:val="009A3CB2"/>
    <w:rsid w:val="009D3400"/>
    <w:rsid w:val="009D3875"/>
    <w:rsid w:val="009D489B"/>
    <w:rsid w:val="009E4D1B"/>
    <w:rsid w:val="009E592B"/>
    <w:rsid w:val="009F5655"/>
    <w:rsid w:val="009F5B78"/>
    <w:rsid w:val="009F5BF0"/>
    <w:rsid w:val="00A02993"/>
    <w:rsid w:val="00A04A04"/>
    <w:rsid w:val="00A067B1"/>
    <w:rsid w:val="00A07240"/>
    <w:rsid w:val="00A131B9"/>
    <w:rsid w:val="00A1392B"/>
    <w:rsid w:val="00A17B3D"/>
    <w:rsid w:val="00A20055"/>
    <w:rsid w:val="00A27742"/>
    <w:rsid w:val="00A3171D"/>
    <w:rsid w:val="00A328F3"/>
    <w:rsid w:val="00A3620D"/>
    <w:rsid w:val="00A4465C"/>
    <w:rsid w:val="00A44ABD"/>
    <w:rsid w:val="00A47738"/>
    <w:rsid w:val="00A519CD"/>
    <w:rsid w:val="00A51CD5"/>
    <w:rsid w:val="00A51E41"/>
    <w:rsid w:val="00A53C67"/>
    <w:rsid w:val="00A54ACC"/>
    <w:rsid w:val="00A54DF4"/>
    <w:rsid w:val="00A66678"/>
    <w:rsid w:val="00A73511"/>
    <w:rsid w:val="00A82651"/>
    <w:rsid w:val="00A853EE"/>
    <w:rsid w:val="00A87B69"/>
    <w:rsid w:val="00A9166F"/>
    <w:rsid w:val="00A9327D"/>
    <w:rsid w:val="00AA300E"/>
    <w:rsid w:val="00AA3526"/>
    <w:rsid w:val="00AA43CE"/>
    <w:rsid w:val="00AA51AB"/>
    <w:rsid w:val="00AB1985"/>
    <w:rsid w:val="00AB61DB"/>
    <w:rsid w:val="00AB6252"/>
    <w:rsid w:val="00AC31E7"/>
    <w:rsid w:val="00AC46F1"/>
    <w:rsid w:val="00AD05CA"/>
    <w:rsid w:val="00AD7FBE"/>
    <w:rsid w:val="00AE043E"/>
    <w:rsid w:val="00AE1547"/>
    <w:rsid w:val="00AE1BC8"/>
    <w:rsid w:val="00AE23C5"/>
    <w:rsid w:val="00AE3CC0"/>
    <w:rsid w:val="00AE6CBB"/>
    <w:rsid w:val="00AF27AE"/>
    <w:rsid w:val="00B00167"/>
    <w:rsid w:val="00B01D92"/>
    <w:rsid w:val="00B02295"/>
    <w:rsid w:val="00B02FFA"/>
    <w:rsid w:val="00B03855"/>
    <w:rsid w:val="00B06181"/>
    <w:rsid w:val="00B06492"/>
    <w:rsid w:val="00B12E7F"/>
    <w:rsid w:val="00B14256"/>
    <w:rsid w:val="00B16B13"/>
    <w:rsid w:val="00B20CB1"/>
    <w:rsid w:val="00B2393D"/>
    <w:rsid w:val="00B309AD"/>
    <w:rsid w:val="00B30C38"/>
    <w:rsid w:val="00B33A8C"/>
    <w:rsid w:val="00B3603E"/>
    <w:rsid w:val="00B40277"/>
    <w:rsid w:val="00B404B1"/>
    <w:rsid w:val="00B44892"/>
    <w:rsid w:val="00B45DC9"/>
    <w:rsid w:val="00B46729"/>
    <w:rsid w:val="00B46C1C"/>
    <w:rsid w:val="00B529DA"/>
    <w:rsid w:val="00B60C01"/>
    <w:rsid w:val="00B66917"/>
    <w:rsid w:val="00B677E8"/>
    <w:rsid w:val="00B71FEC"/>
    <w:rsid w:val="00B745C3"/>
    <w:rsid w:val="00B81A3E"/>
    <w:rsid w:val="00B826E1"/>
    <w:rsid w:val="00B8660E"/>
    <w:rsid w:val="00B8756B"/>
    <w:rsid w:val="00B91A0A"/>
    <w:rsid w:val="00B94D79"/>
    <w:rsid w:val="00BA175E"/>
    <w:rsid w:val="00BA21B2"/>
    <w:rsid w:val="00BA2AA2"/>
    <w:rsid w:val="00BB0568"/>
    <w:rsid w:val="00BB0E2F"/>
    <w:rsid w:val="00BB36DB"/>
    <w:rsid w:val="00BC247B"/>
    <w:rsid w:val="00BC2B95"/>
    <w:rsid w:val="00BC3FC3"/>
    <w:rsid w:val="00BC70E9"/>
    <w:rsid w:val="00BD7B32"/>
    <w:rsid w:val="00BE065A"/>
    <w:rsid w:val="00BE0A8F"/>
    <w:rsid w:val="00BE31D1"/>
    <w:rsid w:val="00BF3349"/>
    <w:rsid w:val="00BF3BE2"/>
    <w:rsid w:val="00BF4CB0"/>
    <w:rsid w:val="00BF51E6"/>
    <w:rsid w:val="00C01EE1"/>
    <w:rsid w:val="00C02EBF"/>
    <w:rsid w:val="00C0550B"/>
    <w:rsid w:val="00C10D5D"/>
    <w:rsid w:val="00C121B4"/>
    <w:rsid w:val="00C14DA3"/>
    <w:rsid w:val="00C15E05"/>
    <w:rsid w:val="00C16AA0"/>
    <w:rsid w:val="00C2506D"/>
    <w:rsid w:val="00C27BDA"/>
    <w:rsid w:val="00C308D4"/>
    <w:rsid w:val="00C30F7F"/>
    <w:rsid w:val="00C33AC2"/>
    <w:rsid w:val="00C435B3"/>
    <w:rsid w:val="00C44096"/>
    <w:rsid w:val="00C44D00"/>
    <w:rsid w:val="00C464B5"/>
    <w:rsid w:val="00C476F8"/>
    <w:rsid w:val="00C51311"/>
    <w:rsid w:val="00C5274A"/>
    <w:rsid w:val="00C53BA9"/>
    <w:rsid w:val="00C5683C"/>
    <w:rsid w:val="00C56F64"/>
    <w:rsid w:val="00C60BEE"/>
    <w:rsid w:val="00C71170"/>
    <w:rsid w:val="00C75F17"/>
    <w:rsid w:val="00C75FF2"/>
    <w:rsid w:val="00C77F9F"/>
    <w:rsid w:val="00C80B54"/>
    <w:rsid w:val="00C80C5F"/>
    <w:rsid w:val="00C816A2"/>
    <w:rsid w:val="00C83313"/>
    <w:rsid w:val="00C91888"/>
    <w:rsid w:val="00C93BA0"/>
    <w:rsid w:val="00C958A4"/>
    <w:rsid w:val="00C96F7F"/>
    <w:rsid w:val="00CA34C6"/>
    <w:rsid w:val="00CA5F54"/>
    <w:rsid w:val="00CA7C29"/>
    <w:rsid w:val="00CB1B9F"/>
    <w:rsid w:val="00CB1BEE"/>
    <w:rsid w:val="00CB2F94"/>
    <w:rsid w:val="00CB2FE5"/>
    <w:rsid w:val="00CC0BE5"/>
    <w:rsid w:val="00CC3670"/>
    <w:rsid w:val="00CD20E7"/>
    <w:rsid w:val="00CD6C0E"/>
    <w:rsid w:val="00CE1C22"/>
    <w:rsid w:val="00CE1CA0"/>
    <w:rsid w:val="00CE43F4"/>
    <w:rsid w:val="00CE44B6"/>
    <w:rsid w:val="00CF4EAE"/>
    <w:rsid w:val="00CF7807"/>
    <w:rsid w:val="00D04E6D"/>
    <w:rsid w:val="00D059ED"/>
    <w:rsid w:val="00D073CA"/>
    <w:rsid w:val="00D0750D"/>
    <w:rsid w:val="00D141BD"/>
    <w:rsid w:val="00D243E8"/>
    <w:rsid w:val="00D25C6F"/>
    <w:rsid w:val="00D270AD"/>
    <w:rsid w:val="00D4521F"/>
    <w:rsid w:val="00D45AE9"/>
    <w:rsid w:val="00D466F2"/>
    <w:rsid w:val="00D50E62"/>
    <w:rsid w:val="00D51C70"/>
    <w:rsid w:val="00D52B40"/>
    <w:rsid w:val="00D54FD3"/>
    <w:rsid w:val="00D56EA4"/>
    <w:rsid w:val="00D602D1"/>
    <w:rsid w:val="00D60707"/>
    <w:rsid w:val="00D62152"/>
    <w:rsid w:val="00D62E12"/>
    <w:rsid w:val="00D63F50"/>
    <w:rsid w:val="00D673AF"/>
    <w:rsid w:val="00D72968"/>
    <w:rsid w:val="00D72A93"/>
    <w:rsid w:val="00D8111D"/>
    <w:rsid w:val="00D820CE"/>
    <w:rsid w:val="00D826FB"/>
    <w:rsid w:val="00D97750"/>
    <w:rsid w:val="00DA4076"/>
    <w:rsid w:val="00DA703E"/>
    <w:rsid w:val="00DB3015"/>
    <w:rsid w:val="00DB3C27"/>
    <w:rsid w:val="00DB4C53"/>
    <w:rsid w:val="00DB6822"/>
    <w:rsid w:val="00DC1D85"/>
    <w:rsid w:val="00DC77C2"/>
    <w:rsid w:val="00DC7CDB"/>
    <w:rsid w:val="00DD2CBA"/>
    <w:rsid w:val="00DD470A"/>
    <w:rsid w:val="00DE0A4A"/>
    <w:rsid w:val="00DE4018"/>
    <w:rsid w:val="00DF0572"/>
    <w:rsid w:val="00DF6821"/>
    <w:rsid w:val="00E00BBB"/>
    <w:rsid w:val="00E01ED8"/>
    <w:rsid w:val="00E0369F"/>
    <w:rsid w:val="00E07160"/>
    <w:rsid w:val="00E078BB"/>
    <w:rsid w:val="00E11892"/>
    <w:rsid w:val="00E13A64"/>
    <w:rsid w:val="00E160EB"/>
    <w:rsid w:val="00E17ECF"/>
    <w:rsid w:val="00E23A78"/>
    <w:rsid w:val="00E27A23"/>
    <w:rsid w:val="00E31F9B"/>
    <w:rsid w:val="00E34437"/>
    <w:rsid w:val="00E402A4"/>
    <w:rsid w:val="00E42D7D"/>
    <w:rsid w:val="00E43201"/>
    <w:rsid w:val="00E45777"/>
    <w:rsid w:val="00E45BC7"/>
    <w:rsid w:val="00E47651"/>
    <w:rsid w:val="00E50A8F"/>
    <w:rsid w:val="00E5352F"/>
    <w:rsid w:val="00E57F52"/>
    <w:rsid w:val="00E62514"/>
    <w:rsid w:val="00E625AF"/>
    <w:rsid w:val="00E6416F"/>
    <w:rsid w:val="00E6490B"/>
    <w:rsid w:val="00E6783D"/>
    <w:rsid w:val="00E708D3"/>
    <w:rsid w:val="00E7345B"/>
    <w:rsid w:val="00E74B87"/>
    <w:rsid w:val="00E76BF2"/>
    <w:rsid w:val="00E8056B"/>
    <w:rsid w:val="00E83490"/>
    <w:rsid w:val="00E83FD5"/>
    <w:rsid w:val="00E844CF"/>
    <w:rsid w:val="00E851EE"/>
    <w:rsid w:val="00E9177E"/>
    <w:rsid w:val="00E95B63"/>
    <w:rsid w:val="00E95E67"/>
    <w:rsid w:val="00EA23A8"/>
    <w:rsid w:val="00EA392B"/>
    <w:rsid w:val="00EA5415"/>
    <w:rsid w:val="00EA57A1"/>
    <w:rsid w:val="00EA6D57"/>
    <w:rsid w:val="00EB20D4"/>
    <w:rsid w:val="00EB3E3A"/>
    <w:rsid w:val="00EB46E6"/>
    <w:rsid w:val="00EB7748"/>
    <w:rsid w:val="00EC0E61"/>
    <w:rsid w:val="00EC342B"/>
    <w:rsid w:val="00EC45CF"/>
    <w:rsid w:val="00EC49D1"/>
    <w:rsid w:val="00EC4B50"/>
    <w:rsid w:val="00EC69CD"/>
    <w:rsid w:val="00ED2C7D"/>
    <w:rsid w:val="00ED6171"/>
    <w:rsid w:val="00EE108A"/>
    <w:rsid w:val="00EE72FC"/>
    <w:rsid w:val="00EF1C68"/>
    <w:rsid w:val="00EF615F"/>
    <w:rsid w:val="00EF6AF2"/>
    <w:rsid w:val="00F025D6"/>
    <w:rsid w:val="00F0323D"/>
    <w:rsid w:val="00F04FF9"/>
    <w:rsid w:val="00F07842"/>
    <w:rsid w:val="00F07FAD"/>
    <w:rsid w:val="00F11E05"/>
    <w:rsid w:val="00F21659"/>
    <w:rsid w:val="00F21FE1"/>
    <w:rsid w:val="00F223B2"/>
    <w:rsid w:val="00F22EAC"/>
    <w:rsid w:val="00F24287"/>
    <w:rsid w:val="00F311AD"/>
    <w:rsid w:val="00F34337"/>
    <w:rsid w:val="00F372FB"/>
    <w:rsid w:val="00F4083E"/>
    <w:rsid w:val="00F44C96"/>
    <w:rsid w:val="00F45C32"/>
    <w:rsid w:val="00F527DB"/>
    <w:rsid w:val="00F5556E"/>
    <w:rsid w:val="00F56629"/>
    <w:rsid w:val="00F5761D"/>
    <w:rsid w:val="00F60321"/>
    <w:rsid w:val="00F60AAB"/>
    <w:rsid w:val="00F6324B"/>
    <w:rsid w:val="00F67821"/>
    <w:rsid w:val="00F80B8D"/>
    <w:rsid w:val="00F872EE"/>
    <w:rsid w:val="00F875AB"/>
    <w:rsid w:val="00F913B2"/>
    <w:rsid w:val="00F931AD"/>
    <w:rsid w:val="00F9581C"/>
    <w:rsid w:val="00F96C71"/>
    <w:rsid w:val="00FA0724"/>
    <w:rsid w:val="00FA48E2"/>
    <w:rsid w:val="00FA4A6C"/>
    <w:rsid w:val="00FB00AE"/>
    <w:rsid w:val="00FB214C"/>
    <w:rsid w:val="00FB25E6"/>
    <w:rsid w:val="00FB7928"/>
    <w:rsid w:val="00FC2AD3"/>
    <w:rsid w:val="00FD08F7"/>
    <w:rsid w:val="00FD14C9"/>
    <w:rsid w:val="00FD7CE8"/>
    <w:rsid w:val="00FE4A69"/>
    <w:rsid w:val="00FF657E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64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2880" w:firstLine="720"/>
      <w:outlineLvl w:val="0"/>
    </w:pPr>
    <w:rPr>
      <w:b/>
      <w:sz w:val="22"/>
      <w:lang w:val="bg-BG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lang w:val="bg-BG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jc w:val="both"/>
      <w:outlineLvl w:val="3"/>
    </w:pPr>
    <w:rPr>
      <w:b/>
      <w:sz w:val="20"/>
      <w:lang w:val="bg-BG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2"/>
      <w:lang w:val="bg-BG"/>
    </w:rPr>
  </w:style>
  <w:style w:type="paragraph" w:styleId="Heading6">
    <w:name w:val="heading 6"/>
    <w:basedOn w:val="Normal"/>
    <w:next w:val="Normal"/>
    <w:qFormat/>
    <w:pPr>
      <w:keepNext/>
      <w:ind w:right="-180"/>
      <w:jc w:val="both"/>
      <w:outlineLvl w:val="5"/>
    </w:pPr>
    <w:rPr>
      <w:b/>
      <w:bCs/>
      <w:sz w:val="22"/>
      <w:lang w:val="bg-BG"/>
    </w:rPr>
  </w:style>
  <w:style w:type="paragraph" w:styleId="Heading7">
    <w:name w:val="heading 7"/>
    <w:basedOn w:val="Normal"/>
    <w:next w:val="Normal"/>
    <w:qFormat/>
    <w:pPr>
      <w:keepNext/>
      <w:ind w:right="-540"/>
      <w:jc w:val="both"/>
      <w:outlineLvl w:val="6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bCs/>
      <w:i/>
      <w:iCs/>
      <w:sz w:val="22"/>
      <w:lang w:val="bg-BG"/>
    </w:rPr>
  </w:style>
  <w:style w:type="paragraph" w:styleId="BodyText2">
    <w:name w:val="Body Text 2"/>
    <w:basedOn w:val="Normal"/>
    <w:rPr>
      <w:sz w:val="28"/>
      <w:lang w:val="bg-BG"/>
    </w:rPr>
  </w:style>
  <w:style w:type="paragraph" w:customStyle="1" w:styleId="1">
    <w:name w:val="Изнесен текст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har1CharChar">
    <w:name w:val="Char1 Знак Знак Char Знак Char Знак"/>
    <w:basedOn w:val="Normal"/>
    <w:rsid w:val="003E33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rsid w:val="00B8756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">
    <w:name w:val="Char Char Char Знак Знак Char Знак Знак Char Знак Знак"/>
    <w:basedOn w:val="Normal"/>
    <w:rsid w:val="006A6341"/>
    <w:rPr>
      <w:lang w:val="pl-PL" w:eastAsia="pl-PL"/>
    </w:rPr>
  </w:style>
  <w:style w:type="paragraph" w:styleId="BalloonText">
    <w:name w:val="Balloon Text"/>
    <w:basedOn w:val="Normal"/>
    <w:semiHidden/>
    <w:rsid w:val="006A6341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5B0D11"/>
    <w:pPr>
      <w:spacing w:line="240" w:lineRule="atLeast"/>
      <w:ind w:firstLine="640"/>
      <w:jc w:val="both"/>
    </w:pPr>
    <w:rPr>
      <w:rFonts w:ascii="Arial" w:hAnsi="Arial" w:cs="Arial"/>
      <w:color w:val="000000"/>
      <w:lang w:val="bg-BG" w:eastAsia="bg-BG"/>
    </w:rPr>
  </w:style>
  <w:style w:type="paragraph" w:styleId="BodyTextIndent">
    <w:name w:val="Body Text Indent"/>
    <w:basedOn w:val="Normal"/>
    <w:rsid w:val="002F2279"/>
    <w:pPr>
      <w:spacing w:after="120"/>
      <w:ind w:left="283"/>
    </w:pPr>
  </w:style>
  <w:style w:type="paragraph" w:customStyle="1" w:styleId="Char1">
    <w:name w:val="Char1"/>
    <w:basedOn w:val="Normal"/>
    <w:rsid w:val="00141C12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92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6B3E"/>
    <w:pPr>
      <w:tabs>
        <w:tab w:val="center" w:pos="4153"/>
        <w:tab w:val="right" w:pos="8306"/>
      </w:tabs>
    </w:pPr>
    <w:rPr>
      <w:sz w:val="20"/>
      <w:szCs w:val="20"/>
      <w:lang w:eastAsia="bg-BG"/>
    </w:rPr>
  </w:style>
  <w:style w:type="paragraph" w:customStyle="1" w:styleId="Char">
    <w:name w:val="Char Знак"/>
    <w:basedOn w:val="Normal"/>
    <w:rsid w:val="00746B3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">
    <w:name w:val="Char Знак Char Char1 Знак Знак Char Char Знак Знак Char Char Знак Знак"/>
    <w:basedOn w:val="Normal"/>
    <w:rsid w:val="00B02FF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8A0246"/>
    <w:pPr>
      <w:tabs>
        <w:tab w:val="center" w:pos="4536"/>
        <w:tab w:val="right" w:pos="9072"/>
      </w:tabs>
    </w:pPr>
    <w:rPr>
      <w:sz w:val="28"/>
      <w:szCs w:val="28"/>
      <w:lang w:val="bg-BG" w:eastAsia="bg-BG"/>
    </w:rPr>
  </w:style>
  <w:style w:type="character" w:styleId="PageNumber">
    <w:name w:val="page number"/>
    <w:basedOn w:val="DefaultParagraphFont"/>
    <w:rsid w:val="008A0246"/>
  </w:style>
  <w:style w:type="paragraph" w:customStyle="1" w:styleId="TabText">
    <w:name w:val="TabText"/>
    <w:basedOn w:val="Normal"/>
    <w:rsid w:val="008A0246"/>
    <w:rPr>
      <w:sz w:val="16"/>
      <w:szCs w:val="16"/>
      <w:lang w:val="bg-BG"/>
    </w:rPr>
  </w:style>
  <w:style w:type="paragraph" w:styleId="NormalWeb">
    <w:name w:val="Normal (Web)"/>
    <w:basedOn w:val="Normal"/>
    <w:rsid w:val="007F1326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qFormat/>
    <w:rsid w:val="007F1326"/>
    <w:rPr>
      <w:b/>
      <w:bCs/>
    </w:rPr>
  </w:style>
  <w:style w:type="character" w:customStyle="1" w:styleId="tdhead1">
    <w:name w:val="tdhead1"/>
    <w:basedOn w:val="DefaultParagraphFont"/>
    <w:rsid w:val="00C75F17"/>
  </w:style>
  <w:style w:type="character" w:customStyle="1" w:styleId="BodyTextChar">
    <w:name w:val="Body Text Char"/>
    <w:link w:val="BodyText"/>
    <w:rsid w:val="0051673C"/>
    <w:rPr>
      <w:b/>
      <w:bCs/>
      <w:i/>
      <w:iCs/>
      <w:sz w:val="22"/>
      <w:szCs w:val="24"/>
      <w:lang w:eastAsia="en-US"/>
    </w:rPr>
  </w:style>
  <w:style w:type="character" w:styleId="CommentReference">
    <w:name w:val="annotation reference"/>
    <w:rsid w:val="00C15E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5E05"/>
    <w:rPr>
      <w:sz w:val="20"/>
      <w:szCs w:val="20"/>
    </w:rPr>
  </w:style>
  <w:style w:type="character" w:customStyle="1" w:styleId="CommentTextChar">
    <w:name w:val="Comment Text Char"/>
    <w:link w:val="CommentText"/>
    <w:rsid w:val="00C15E0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15E05"/>
    <w:rPr>
      <w:b/>
      <w:bCs/>
    </w:rPr>
  </w:style>
  <w:style w:type="character" w:customStyle="1" w:styleId="CommentSubjectChar">
    <w:name w:val="Comment Subject Char"/>
    <w:link w:val="CommentSubject"/>
    <w:rsid w:val="00C15E05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64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2880" w:firstLine="720"/>
      <w:outlineLvl w:val="0"/>
    </w:pPr>
    <w:rPr>
      <w:b/>
      <w:sz w:val="22"/>
      <w:lang w:val="bg-BG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lang w:val="bg-BG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jc w:val="both"/>
      <w:outlineLvl w:val="3"/>
    </w:pPr>
    <w:rPr>
      <w:b/>
      <w:sz w:val="20"/>
      <w:lang w:val="bg-BG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2"/>
      <w:lang w:val="bg-BG"/>
    </w:rPr>
  </w:style>
  <w:style w:type="paragraph" w:styleId="Heading6">
    <w:name w:val="heading 6"/>
    <w:basedOn w:val="Normal"/>
    <w:next w:val="Normal"/>
    <w:qFormat/>
    <w:pPr>
      <w:keepNext/>
      <w:ind w:right="-180"/>
      <w:jc w:val="both"/>
      <w:outlineLvl w:val="5"/>
    </w:pPr>
    <w:rPr>
      <w:b/>
      <w:bCs/>
      <w:sz w:val="22"/>
      <w:lang w:val="bg-BG"/>
    </w:rPr>
  </w:style>
  <w:style w:type="paragraph" w:styleId="Heading7">
    <w:name w:val="heading 7"/>
    <w:basedOn w:val="Normal"/>
    <w:next w:val="Normal"/>
    <w:qFormat/>
    <w:pPr>
      <w:keepNext/>
      <w:ind w:right="-540"/>
      <w:jc w:val="both"/>
      <w:outlineLvl w:val="6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bCs/>
      <w:i/>
      <w:iCs/>
      <w:sz w:val="22"/>
      <w:lang w:val="bg-BG"/>
    </w:rPr>
  </w:style>
  <w:style w:type="paragraph" w:styleId="BodyText2">
    <w:name w:val="Body Text 2"/>
    <w:basedOn w:val="Normal"/>
    <w:rPr>
      <w:sz w:val="28"/>
      <w:lang w:val="bg-BG"/>
    </w:rPr>
  </w:style>
  <w:style w:type="paragraph" w:customStyle="1" w:styleId="1">
    <w:name w:val="Изнесен текст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har1CharChar">
    <w:name w:val="Char1 Знак Знак Char Знак Char Знак"/>
    <w:basedOn w:val="Normal"/>
    <w:rsid w:val="003E33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rsid w:val="00B8756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">
    <w:name w:val="Char Char Char Знак Знак Char Знак Знак Char Знак Знак"/>
    <w:basedOn w:val="Normal"/>
    <w:rsid w:val="006A6341"/>
    <w:rPr>
      <w:lang w:val="pl-PL" w:eastAsia="pl-PL"/>
    </w:rPr>
  </w:style>
  <w:style w:type="paragraph" w:styleId="BalloonText">
    <w:name w:val="Balloon Text"/>
    <w:basedOn w:val="Normal"/>
    <w:semiHidden/>
    <w:rsid w:val="006A6341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5B0D11"/>
    <w:pPr>
      <w:spacing w:line="240" w:lineRule="atLeast"/>
      <w:ind w:firstLine="640"/>
      <w:jc w:val="both"/>
    </w:pPr>
    <w:rPr>
      <w:rFonts w:ascii="Arial" w:hAnsi="Arial" w:cs="Arial"/>
      <w:color w:val="000000"/>
      <w:lang w:val="bg-BG" w:eastAsia="bg-BG"/>
    </w:rPr>
  </w:style>
  <w:style w:type="paragraph" w:styleId="BodyTextIndent">
    <w:name w:val="Body Text Indent"/>
    <w:basedOn w:val="Normal"/>
    <w:rsid w:val="002F2279"/>
    <w:pPr>
      <w:spacing w:after="120"/>
      <w:ind w:left="283"/>
    </w:pPr>
  </w:style>
  <w:style w:type="paragraph" w:customStyle="1" w:styleId="Char1">
    <w:name w:val="Char1"/>
    <w:basedOn w:val="Normal"/>
    <w:rsid w:val="00141C12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92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6B3E"/>
    <w:pPr>
      <w:tabs>
        <w:tab w:val="center" w:pos="4153"/>
        <w:tab w:val="right" w:pos="8306"/>
      </w:tabs>
    </w:pPr>
    <w:rPr>
      <w:sz w:val="20"/>
      <w:szCs w:val="20"/>
      <w:lang w:eastAsia="bg-BG"/>
    </w:rPr>
  </w:style>
  <w:style w:type="paragraph" w:customStyle="1" w:styleId="Char">
    <w:name w:val="Char Знак"/>
    <w:basedOn w:val="Normal"/>
    <w:rsid w:val="00746B3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">
    <w:name w:val="Char Знак Char Char1 Знак Знак Char Char Знак Знак Char Char Знак Знак"/>
    <w:basedOn w:val="Normal"/>
    <w:rsid w:val="00B02FF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8A0246"/>
    <w:pPr>
      <w:tabs>
        <w:tab w:val="center" w:pos="4536"/>
        <w:tab w:val="right" w:pos="9072"/>
      </w:tabs>
    </w:pPr>
    <w:rPr>
      <w:sz w:val="28"/>
      <w:szCs w:val="28"/>
      <w:lang w:val="bg-BG" w:eastAsia="bg-BG"/>
    </w:rPr>
  </w:style>
  <w:style w:type="character" w:styleId="PageNumber">
    <w:name w:val="page number"/>
    <w:basedOn w:val="DefaultParagraphFont"/>
    <w:rsid w:val="008A0246"/>
  </w:style>
  <w:style w:type="paragraph" w:customStyle="1" w:styleId="TabText">
    <w:name w:val="TabText"/>
    <w:basedOn w:val="Normal"/>
    <w:rsid w:val="008A0246"/>
    <w:rPr>
      <w:sz w:val="16"/>
      <w:szCs w:val="16"/>
      <w:lang w:val="bg-BG"/>
    </w:rPr>
  </w:style>
  <w:style w:type="paragraph" w:styleId="NormalWeb">
    <w:name w:val="Normal (Web)"/>
    <w:basedOn w:val="Normal"/>
    <w:rsid w:val="007F1326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qFormat/>
    <w:rsid w:val="007F1326"/>
    <w:rPr>
      <w:b/>
      <w:bCs/>
    </w:rPr>
  </w:style>
  <w:style w:type="character" w:customStyle="1" w:styleId="tdhead1">
    <w:name w:val="tdhead1"/>
    <w:basedOn w:val="DefaultParagraphFont"/>
    <w:rsid w:val="00C75F17"/>
  </w:style>
  <w:style w:type="character" w:customStyle="1" w:styleId="BodyTextChar">
    <w:name w:val="Body Text Char"/>
    <w:link w:val="BodyText"/>
    <w:rsid w:val="0051673C"/>
    <w:rPr>
      <w:b/>
      <w:bCs/>
      <w:i/>
      <w:iCs/>
      <w:sz w:val="22"/>
      <w:szCs w:val="24"/>
      <w:lang w:eastAsia="en-US"/>
    </w:rPr>
  </w:style>
  <w:style w:type="character" w:styleId="CommentReference">
    <w:name w:val="annotation reference"/>
    <w:rsid w:val="00C15E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5E05"/>
    <w:rPr>
      <w:sz w:val="20"/>
      <w:szCs w:val="20"/>
    </w:rPr>
  </w:style>
  <w:style w:type="character" w:customStyle="1" w:styleId="CommentTextChar">
    <w:name w:val="Comment Text Char"/>
    <w:link w:val="CommentText"/>
    <w:rsid w:val="00C15E0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15E05"/>
    <w:rPr>
      <w:b/>
      <w:bCs/>
    </w:rPr>
  </w:style>
  <w:style w:type="character" w:customStyle="1" w:styleId="CommentSubjectChar">
    <w:name w:val="Comment Subject Char"/>
    <w:link w:val="CommentSubject"/>
    <w:rsid w:val="00C15E05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41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2014-7C3C-404F-965D-4B961863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Fond Zemedelie</Company>
  <LinksUpToDate>false</LinksUpToDate>
  <CharactersWithSpaces>22842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Zemedelie Zemedelie</dc:creator>
  <cp:lastModifiedBy>Elena M. Velichkova</cp:lastModifiedBy>
  <cp:revision>2</cp:revision>
  <cp:lastPrinted>2018-06-08T08:29:00Z</cp:lastPrinted>
  <dcterms:created xsi:type="dcterms:W3CDTF">2018-10-31T15:36:00Z</dcterms:created>
  <dcterms:modified xsi:type="dcterms:W3CDTF">2018-10-31T15:36:00Z</dcterms:modified>
</cp:coreProperties>
</file>