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B2" w:rsidRPr="00C61E29" w:rsidRDefault="006471B2" w:rsidP="00C30580">
      <w:pPr>
        <w:spacing w:line="360" w:lineRule="auto"/>
        <w:ind w:firstLine="709"/>
        <w:rPr>
          <w:rFonts w:ascii="Verdana" w:hAnsi="Verdana"/>
          <w:b/>
          <w:sz w:val="20"/>
          <w:lang w:val="bg-BG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07"/>
        <w:gridCol w:w="4777"/>
      </w:tblGrid>
      <w:tr w:rsidR="006471B2" w:rsidRPr="00C61E29">
        <w:tc>
          <w:tcPr>
            <w:tcW w:w="9184" w:type="dxa"/>
            <w:gridSpan w:val="2"/>
            <w:shd w:val="clear" w:color="auto" w:fill="D9D9D9"/>
          </w:tcPr>
          <w:p w:rsidR="006471B2" w:rsidRPr="00C61E29" w:rsidRDefault="006471B2" w:rsidP="00C30580">
            <w:pPr>
              <w:spacing w:line="360" w:lineRule="auto"/>
              <w:ind w:firstLine="709"/>
              <w:jc w:val="center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Формуляр за частична предварителна оценка на въздействието*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jc w:val="center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(Приложете към формуляра допълнителна информация/документи)</w:t>
            </w:r>
          </w:p>
        </w:tc>
      </w:tr>
      <w:tr w:rsidR="006471B2" w:rsidRPr="00C61E29">
        <w:tc>
          <w:tcPr>
            <w:tcW w:w="4407" w:type="dxa"/>
            <w:shd w:val="clear" w:color="auto" w:fill="auto"/>
          </w:tcPr>
          <w:p w:rsidR="006471B2" w:rsidRPr="00C61E29" w:rsidRDefault="00CE6694" w:rsidP="00D20787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Институция: 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Министерство на земеделието,</w:t>
            </w:r>
            <w:r w:rsidR="00A3665C" w:rsidRPr="00C61E29"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храните и горите</w:t>
            </w:r>
          </w:p>
        </w:tc>
        <w:tc>
          <w:tcPr>
            <w:tcW w:w="4777" w:type="dxa"/>
            <w:shd w:val="clear" w:color="auto" w:fill="auto"/>
          </w:tcPr>
          <w:p w:rsidR="006471B2" w:rsidRPr="00C61E29" w:rsidRDefault="006471B2" w:rsidP="00145F81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Нормативен акт: Проект на </w:t>
            </w:r>
            <w:r w:rsidR="00DD07CA" w:rsidRPr="00C61E29">
              <w:rPr>
                <w:rFonts w:ascii="Verdana" w:hAnsi="Verdana"/>
                <w:b/>
                <w:sz w:val="20"/>
                <w:lang w:val="bg-BG"/>
              </w:rPr>
              <w:t xml:space="preserve">Постановление на Министерския съвет за изменение на Правилника за прилагане на Закона за </w:t>
            </w:r>
            <w:r w:rsidR="00145F81" w:rsidRPr="00C61E29">
              <w:rPr>
                <w:rFonts w:ascii="Verdana" w:hAnsi="Verdana"/>
                <w:b/>
                <w:sz w:val="20"/>
                <w:lang w:val="bg-BG"/>
              </w:rPr>
              <w:t>Националната служба за охрана</w:t>
            </w:r>
          </w:p>
        </w:tc>
      </w:tr>
      <w:tr w:rsidR="006471B2" w:rsidRPr="00C61E29">
        <w:tc>
          <w:tcPr>
            <w:tcW w:w="4407" w:type="dxa"/>
            <w:shd w:val="clear" w:color="auto" w:fill="auto"/>
          </w:tcPr>
          <w:p w:rsidR="006471B2" w:rsidRPr="00C61E29" w:rsidRDefault="006471B2" w:rsidP="00D20787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За включване в </w:t>
            </w:r>
          </w:p>
          <w:p w:rsidR="006471B2" w:rsidRPr="00C61E29" w:rsidRDefault="006471B2" w:rsidP="00657AB1">
            <w:pPr>
              <w:spacing w:line="360" w:lineRule="auto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оперативната програма на Министерския съвет за периода: 01.07.201</w:t>
            </w:r>
            <w:r w:rsidR="00657AB1" w:rsidRPr="00C61E29">
              <w:rPr>
                <w:rFonts w:ascii="Verdana" w:hAnsi="Verdana"/>
                <w:b/>
                <w:sz w:val="20"/>
                <w:lang w:val="bg-BG"/>
              </w:rPr>
              <w:t>8 г. – 31.12.2018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 г.</w:t>
            </w:r>
          </w:p>
        </w:tc>
        <w:tc>
          <w:tcPr>
            <w:tcW w:w="4777" w:type="dxa"/>
            <w:shd w:val="clear" w:color="auto" w:fill="auto"/>
            <w:vAlign w:val="bottom"/>
          </w:tcPr>
          <w:p w:rsidR="006471B2" w:rsidRPr="00C61E29" w:rsidRDefault="006471B2" w:rsidP="00490E72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Дата: </w:t>
            </w:r>
            <w:r w:rsidR="00490E72" w:rsidRPr="00C61E29">
              <w:rPr>
                <w:rFonts w:ascii="Verdana" w:hAnsi="Verdana"/>
                <w:b/>
                <w:sz w:val="20"/>
                <w:lang w:val="bg-BG"/>
              </w:rPr>
              <w:t>0</w:t>
            </w:r>
            <w:r w:rsidR="00C61E29" w:rsidRPr="00C61E29">
              <w:rPr>
                <w:rFonts w:ascii="Verdana" w:hAnsi="Verdana"/>
                <w:b/>
                <w:sz w:val="20"/>
                <w:lang w:val="bg-BG"/>
              </w:rPr>
              <w:t>5</w:t>
            </w:r>
            <w:r w:rsidR="00490E72" w:rsidRPr="00C61E29">
              <w:rPr>
                <w:rFonts w:ascii="Verdana" w:hAnsi="Verdana"/>
                <w:b/>
                <w:sz w:val="20"/>
                <w:lang w:val="bg-BG"/>
              </w:rPr>
              <w:t>.11</w:t>
            </w:r>
            <w:r w:rsidR="0001177F" w:rsidRPr="00C61E29">
              <w:rPr>
                <w:rFonts w:ascii="Verdana" w:hAnsi="Verdana"/>
                <w:b/>
                <w:sz w:val="20"/>
                <w:lang w:val="bg-BG"/>
              </w:rPr>
              <w:t>.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>201</w:t>
            </w:r>
            <w:r w:rsidR="00DD07CA" w:rsidRPr="00C61E29">
              <w:rPr>
                <w:rFonts w:ascii="Verdana" w:hAnsi="Verdana"/>
                <w:b/>
                <w:sz w:val="20"/>
                <w:lang w:val="bg-BG"/>
              </w:rPr>
              <w:t>8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 г.</w:t>
            </w:r>
          </w:p>
        </w:tc>
      </w:tr>
      <w:tr w:rsidR="006471B2" w:rsidRPr="00C61E29">
        <w:tc>
          <w:tcPr>
            <w:tcW w:w="4407" w:type="dxa"/>
            <w:shd w:val="clear" w:color="auto" w:fill="auto"/>
          </w:tcPr>
          <w:p w:rsidR="006471B2" w:rsidRPr="00C61E29" w:rsidRDefault="006471B2" w:rsidP="00D20787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Контакт за въпроси: </w:t>
            </w:r>
            <w:r w:rsidR="00145F81" w:rsidRPr="00C61E29">
              <w:rPr>
                <w:rFonts w:ascii="Verdana" w:hAnsi="Verdana"/>
                <w:b/>
                <w:sz w:val="20"/>
                <w:lang w:val="bg-BG"/>
              </w:rPr>
              <w:t>Симона Божилова</w:t>
            </w:r>
            <w:r w:rsidR="007321AD" w:rsidRPr="00C61E29">
              <w:rPr>
                <w:rFonts w:ascii="Verdana" w:hAnsi="Verdana"/>
                <w:b/>
                <w:sz w:val="20"/>
                <w:lang w:val="bg-BG"/>
              </w:rPr>
              <w:t xml:space="preserve"> – </w:t>
            </w:r>
            <w:r w:rsidR="00145F81" w:rsidRPr="00C61E29">
              <w:rPr>
                <w:rFonts w:ascii="Verdana" w:hAnsi="Verdana"/>
                <w:b/>
                <w:sz w:val="20"/>
                <w:lang w:val="bg-BG"/>
              </w:rPr>
              <w:t>главен</w:t>
            </w:r>
            <w:r w:rsidR="007321AD" w:rsidRPr="00C61E29">
              <w:rPr>
                <w:rFonts w:ascii="Verdana" w:hAnsi="Verdana"/>
                <w:b/>
                <w:sz w:val="20"/>
                <w:lang w:val="bg-BG"/>
              </w:rPr>
              <w:t xml:space="preserve"> юрисконсулт, дирекция „Правна“</w:t>
            </w:r>
          </w:p>
          <w:p w:rsidR="00D20787" w:rsidRPr="00C61E29" w:rsidRDefault="00254D7E" w:rsidP="00D20787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hyperlink r:id="rId9" w:history="1">
              <w:r w:rsidR="00145F81" w:rsidRPr="00C61E29">
                <w:rPr>
                  <w:rStyle w:val="Hyperlink"/>
                  <w:rFonts w:ascii="Verdana" w:hAnsi="Verdana"/>
                  <w:b/>
                  <w:sz w:val="20"/>
                  <w:lang w:val="bg-BG"/>
                </w:rPr>
                <w:t>SBozhilova@mzh.government.bg</w:t>
              </w:r>
            </w:hyperlink>
          </w:p>
          <w:p w:rsidR="00D20787" w:rsidRPr="00C61E29" w:rsidRDefault="00D20787" w:rsidP="00D20787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</w:p>
        </w:tc>
        <w:tc>
          <w:tcPr>
            <w:tcW w:w="4777" w:type="dxa"/>
            <w:shd w:val="clear" w:color="auto" w:fill="auto"/>
          </w:tcPr>
          <w:p w:rsidR="006471B2" w:rsidRPr="00C61E29" w:rsidRDefault="006471B2" w:rsidP="00145F81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Телефон: </w:t>
            </w:r>
            <w:r w:rsidR="007A32A6" w:rsidRPr="00C61E29">
              <w:rPr>
                <w:rFonts w:ascii="Verdana" w:hAnsi="Verdana"/>
                <w:b/>
                <w:sz w:val="20"/>
                <w:lang w:val="bg-BG"/>
              </w:rPr>
              <w:t xml:space="preserve">02 985 11 </w:t>
            </w:r>
            <w:r w:rsidR="008641D0" w:rsidRPr="00C61E29">
              <w:rPr>
                <w:rFonts w:ascii="Verdana" w:hAnsi="Verdana"/>
                <w:b/>
                <w:sz w:val="20"/>
                <w:lang w:val="bg-BG"/>
              </w:rPr>
              <w:t>8</w:t>
            </w:r>
            <w:r w:rsidR="00145F81" w:rsidRPr="00C61E29">
              <w:rPr>
                <w:rFonts w:ascii="Verdana" w:hAnsi="Verdana"/>
                <w:b/>
                <w:sz w:val="20"/>
                <w:lang w:val="bg-BG"/>
              </w:rPr>
              <w:t>70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B83AD9" w:rsidRPr="00C61E29" w:rsidRDefault="00B83AD9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i/>
                <w:sz w:val="20"/>
                <w:lang w:val="bg-BG"/>
              </w:rPr>
            </w:pPr>
          </w:p>
          <w:p w:rsidR="006471B2" w:rsidRPr="00C61E29" w:rsidRDefault="00FC483A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1. 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 xml:space="preserve">Дефиниране на проблема: </w:t>
            </w:r>
          </w:p>
          <w:p w:rsidR="00490E72" w:rsidRPr="00C61E29" w:rsidRDefault="00490E72" w:rsidP="00931492">
            <w:pPr>
              <w:spacing w:line="360" w:lineRule="auto"/>
              <w:ind w:firstLine="709"/>
              <w:jc w:val="both"/>
              <w:rPr>
                <w:rFonts w:ascii="Verdana" w:hAnsi="Verdana"/>
                <w:i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>1.</w:t>
            </w:r>
            <w:proofErr w:type="spellStart"/>
            <w:r w:rsidRPr="00C61E29">
              <w:rPr>
                <w:rFonts w:ascii="Verdana" w:hAnsi="Verdana"/>
                <w:i/>
                <w:sz w:val="20"/>
                <w:lang w:val="bg-BG"/>
              </w:rPr>
              <w:t>1</w:t>
            </w:r>
            <w:proofErr w:type="spellEnd"/>
            <w:r w:rsidRPr="00C61E29">
              <w:rPr>
                <w:rFonts w:ascii="Verdana" w:hAnsi="Verdana"/>
                <w:i/>
                <w:sz w:val="20"/>
                <w:lang w:val="bg-BG"/>
              </w:rPr>
              <w:t xml:space="preserve">. Кратко опишете проблема и причините за неговото възникване. Посочете аргументите, които обосновават нормативната промяна. </w:t>
            </w:r>
          </w:p>
          <w:p w:rsidR="007C7A68" w:rsidRPr="00C61E29" w:rsidRDefault="00CD7B37" w:rsidP="007C7A68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С Решение № 764 на Министерския съвет от 2018 г.</w:t>
            </w:r>
            <w:r w:rsidR="00A549BE" w:rsidRPr="00C61E29">
              <w:rPr>
                <w:rFonts w:ascii="Verdana" w:hAnsi="Verdana"/>
                <w:sz w:val="20"/>
                <w:lang w:val="bg-BG"/>
              </w:rPr>
              <w:t xml:space="preserve"> за безвъзмездно предоставяне за управление на имот – публична държавна собственост, на администрацията на Министерския съвет и на имущество – публична и ча</w:t>
            </w:r>
            <w:r w:rsidR="00D72CF6" w:rsidRPr="00C61E29">
              <w:rPr>
                <w:rFonts w:ascii="Verdana" w:hAnsi="Verdana"/>
                <w:sz w:val="20"/>
                <w:lang w:val="bg-BG"/>
              </w:rPr>
              <w:t>стна държавна собственост, на „Ю</w:t>
            </w:r>
            <w:r w:rsidR="00A549BE" w:rsidRPr="00C61E29">
              <w:rPr>
                <w:rFonts w:ascii="Verdana" w:hAnsi="Verdana"/>
                <w:sz w:val="20"/>
                <w:lang w:val="bg-BG"/>
              </w:rPr>
              <w:t xml:space="preserve">гозападно държавно предприятие“ </w:t>
            </w:r>
            <w:r w:rsidR="00D72CF6" w:rsidRPr="00C61E29">
              <w:rPr>
                <w:rFonts w:ascii="Verdana" w:hAnsi="Verdana"/>
                <w:sz w:val="20"/>
                <w:lang w:val="bg-BG"/>
              </w:rPr>
              <w:t>ДП</w:t>
            </w:r>
            <w:r w:rsidR="00A549BE" w:rsidRPr="00C61E29">
              <w:rPr>
                <w:rFonts w:ascii="Verdana" w:hAnsi="Verdana"/>
                <w:sz w:val="20"/>
                <w:lang w:val="bg-BG"/>
              </w:rPr>
              <w:t xml:space="preserve"> – </w:t>
            </w:r>
            <w:r w:rsidR="00D72CF6" w:rsidRPr="00C61E29">
              <w:rPr>
                <w:rFonts w:ascii="Verdana" w:hAnsi="Verdana"/>
                <w:sz w:val="20"/>
                <w:lang w:val="bg-BG"/>
              </w:rPr>
              <w:t>Благоевград,</w:t>
            </w:r>
            <w:r w:rsidR="007C7A68" w:rsidRPr="00C61E29">
              <w:rPr>
                <w:lang w:val="bg-BG"/>
              </w:rPr>
              <w:t xml:space="preserve"> </w:t>
            </w:r>
            <w:r w:rsidR="007C7A68" w:rsidRPr="00C61E29">
              <w:rPr>
                <w:rFonts w:ascii="Verdana" w:hAnsi="Verdana"/>
                <w:sz w:val="20"/>
                <w:lang w:val="bg-BG"/>
              </w:rPr>
              <w:t xml:space="preserve">Министерският съвет отнема поради отпаднала нужда от Националната служба за охрана при Президента на Република България, считано от 1 ноември 2018 г., правото на управление върху имущество – публична и частна държавна собственост, </w:t>
            </w:r>
            <w:proofErr w:type="spellStart"/>
            <w:r w:rsidR="007C7A68" w:rsidRPr="00C61E29">
              <w:rPr>
                <w:rFonts w:ascii="Verdana" w:hAnsi="Verdana"/>
                <w:sz w:val="20"/>
                <w:lang w:val="bg-BG"/>
              </w:rPr>
              <w:t>намиращo</w:t>
            </w:r>
            <w:proofErr w:type="spellEnd"/>
            <w:r w:rsidR="007C7A68" w:rsidRPr="00C61E29">
              <w:rPr>
                <w:rFonts w:ascii="Verdana" w:hAnsi="Verdana"/>
                <w:sz w:val="20"/>
                <w:lang w:val="bg-BG"/>
              </w:rPr>
              <w:t xml:space="preserve"> се в област Пловдив, община Стамболийски, землището на с. Куртово Конаре, местността „Ливадите”, </w:t>
            </w:r>
            <w:proofErr w:type="spellStart"/>
            <w:r w:rsidR="007C7A68" w:rsidRPr="00C61E29">
              <w:rPr>
                <w:rFonts w:ascii="Verdana" w:hAnsi="Verdana"/>
                <w:sz w:val="20"/>
                <w:lang w:val="bg-BG"/>
              </w:rPr>
              <w:t>представляващo</w:t>
            </w:r>
            <w:proofErr w:type="spellEnd"/>
            <w:r w:rsidR="007C7A68" w:rsidRPr="00C61E29">
              <w:rPr>
                <w:rFonts w:ascii="Verdana" w:hAnsi="Verdana"/>
                <w:sz w:val="20"/>
                <w:lang w:val="bg-BG"/>
              </w:rPr>
              <w:t xml:space="preserve"> стопанство „Кричим”. Със същото решение, Министерският съвет предоставя горепосоченото имущество - публична и частна държавна собственост, безвъзмездно за управление на „Югозападно държавно предприятие“ ДП – Благоевград. </w:t>
            </w:r>
          </w:p>
          <w:p w:rsidR="00B67AB0" w:rsidRPr="00C61E29" w:rsidRDefault="00B67AB0" w:rsidP="007C7A68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Съгласно чл.</w:t>
            </w:r>
            <w:r w:rsidR="006F0CFD" w:rsidRPr="00C61E29">
              <w:rPr>
                <w:rFonts w:ascii="Verdana" w:hAnsi="Verdana"/>
                <w:sz w:val="20"/>
                <w:lang w:val="bg-BG"/>
              </w:rPr>
              <w:t xml:space="preserve"> 10, т. 11 от Правилника за п</w:t>
            </w:r>
            <w:r w:rsidRPr="00C61E29">
              <w:rPr>
                <w:rFonts w:ascii="Verdana" w:hAnsi="Verdana"/>
                <w:sz w:val="20"/>
                <w:lang w:val="bg-BG"/>
              </w:rPr>
              <w:t>рилагане на Закона за Националната служба за охрана, приет с Постановление № 131 на Министерския съвет от 2016 г. (</w:t>
            </w:r>
            <w:proofErr w:type="spellStart"/>
            <w:r w:rsidRPr="00C61E29">
              <w:rPr>
                <w:rFonts w:ascii="Verdana" w:hAnsi="Verdana"/>
                <w:sz w:val="20"/>
                <w:lang w:val="bg-BG"/>
              </w:rPr>
              <w:t>обн</w:t>
            </w:r>
            <w:proofErr w:type="spellEnd"/>
            <w:r w:rsidRPr="00C61E29">
              <w:rPr>
                <w:rFonts w:ascii="Verdana" w:hAnsi="Verdana"/>
                <w:sz w:val="20"/>
                <w:lang w:val="bg-BG"/>
              </w:rPr>
              <w:t xml:space="preserve">., ДВ, бр. 42 от 2016 г.) </w:t>
            </w:r>
            <w:r w:rsidR="00735331" w:rsidRPr="00C61E29">
              <w:rPr>
                <w:rFonts w:ascii="Verdana" w:hAnsi="Verdana"/>
                <w:sz w:val="20"/>
                <w:lang w:val="bg-BG"/>
              </w:rPr>
              <w:t xml:space="preserve">(ППЗНСО) 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отдел 07 на Националната служба за охрана организира дейностите в </w:t>
            </w:r>
            <w:r w:rsidR="00735331" w:rsidRPr="00C61E29">
              <w:rPr>
                <w:rFonts w:ascii="Verdana" w:hAnsi="Verdana"/>
                <w:sz w:val="20"/>
                <w:lang w:val="bg-BG"/>
              </w:rPr>
              <w:t>стопанство “Кричим”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. Съгласно § 1, ал. 3 от Допълнителните разпоредби на </w:t>
            </w:r>
            <w:r w:rsidR="00735331" w:rsidRPr="00C61E29">
              <w:rPr>
                <w:rFonts w:ascii="Verdana" w:hAnsi="Verdana"/>
                <w:sz w:val="20"/>
                <w:lang w:val="bg-BG"/>
              </w:rPr>
              <w:t xml:space="preserve">ППЗНСО Националната служба за охрана осигурява за сметка на своя бюджет ползването и управлението на Стопанство </w:t>
            </w:r>
            <w:r w:rsidR="006F0CFD" w:rsidRPr="00C61E29">
              <w:rPr>
                <w:rFonts w:ascii="Verdana" w:hAnsi="Verdana"/>
                <w:sz w:val="20"/>
                <w:lang w:val="bg-BG"/>
              </w:rPr>
              <w:t>“Кричим”</w:t>
            </w:r>
            <w:r w:rsidR="00735331" w:rsidRPr="00C61E29">
              <w:rPr>
                <w:rFonts w:ascii="Verdana" w:hAnsi="Verdana"/>
                <w:sz w:val="20"/>
                <w:lang w:val="bg-BG"/>
              </w:rPr>
              <w:t>.</w:t>
            </w:r>
          </w:p>
          <w:p w:rsidR="00735331" w:rsidRPr="00C61E29" w:rsidRDefault="00735331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Предвид </w:t>
            </w:r>
            <w:r w:rsidR="006F0CFD" w:rsidRPr="00C61E29">
              <w:rPr>
                <w:rFonts w:ascii="Verdana" w:hAnsi="Verdana"/>
                <w:sz w:val="20"/>
                <w:lang w:val="bg-BG"/>
              </w:rPr>
              <w:t>гореизложеното, след 1 ноември 2018 г. дейностите по управление на стопанството вече няма да се извършват от Националната служба за охрана, а от „Югозападно държавно предприятие“ ДП – Благоевград. В тази връзка следва да бъде изготвен проект на Постановление на Министерския съвет за изменение на Правилника за прилагане на Закона за Националната служба за охрана, приет с Постановление № 131 на Министерския съвет от 2016 г. (</w:t>
            </w:r>
            <w:proofErr w:type="spellStart"/>
            <w:r w:rsidR="006F0CFD" w:rsidRPr="00C61E29">
              <w:rPr>
                <w:rFonts w:ascii="Verdana" w:hAnsi="Verdana"/>
                <w:sz w:val="20"/>
                <w:lang w:val="bg-BG"/>
              </w:rPr>
              <w:t>обн</w:t>
            </w:r>
            <w:proofErr w:type="spellEnd"/>
            <w:r w:rsidR="006F0CFD" w:rsidRPr="00C61E29">
              <w:rPr>
                <w:rFonts w:ascii="Verdana" w:hAnsi="Verdana"/>
                <w:sz w:val="20"/>
                <w:lang w:val="bg-BG"/>
              </w:rPr>
              <w:t>., ДВ, бр. 42 от 2016 г.)</w:t>
            </w:r>
          </w:p>
          <w:p w:rsidR="00735331" w:rsidRPr="00C61E29" w:rsidRDefault="006F0CFD" w:rsidP="00133EB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Изработването на нормативния акт цели </w:t>
            </w:r>
            <w:r w:rsidR="002043BA" w:rsidRPr="00C61E29">
              <w:rPr>
                <w:rFonts w:ascii="Verdana" w:hAnsi="Verdana"/>
                <w:sz w:val="20"/>
                <w:lang w:val="bg-BG"/>
              </w:rPr>
              <w:t>да осигури законосъобразно регламентиране на управлението на стопанството, което след 1 ноември 2018 г. ще се осъществява от „Югозападно държавно предприятие“ ДП – Благоевград.</w:t>
            </w:r>
          </w:p>
          <w:p w:rsidR="00C23D01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i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>1.2. Опишете какви са проблемите в прилагането на съществуващото законодателство или възникналите обстоятелства, които налагат приемането на ново законодателство.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0313AE" w:rsidRPr="00C61E29" w:rsidRDefault="002043BA" w:rsidP="00B81245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С предоставяне на управлението </w:t>
            </w:r>
            <w:r w:rsidR="00C17AEA" w:rsidRPr="00C61E29">
              <w:rPr>
                <w:rFonts w:ascii="Verdana" w:hAnsi="Verdana"/>
                <w:sz w:val="20"/>
                <w:lang w:val="bg-BG"/>
              </w:rPr>
              <w:t xml:space="preserve">на имущество – публична и частна държавна собственост, </w:t>
            </w:r>
            <w:proofErr w:type="spellStart"/>
            <w:r w:rsidR="00C17AEA" w:rsidRPr="00C61E29">
              <w:rPr>
                <w:rFonts w:ascii="Verdana" w:hAnsi="Verdana"/>
                <w:sz w:val="20"/>
                <w:lang w:val="bg-BG"/>
              </w:rPr>
              <w:t>представляващo</w:t>
            </w:r>
            <w:proofErr w:type="spellEnd"/>
            <w:r w:rsidR="00C17AEA" w:rsidRPr="00C61E29">
              <w:rPr>
                <w:rFonts w:ascii="Verdana" w:hAnsi="Verdana"/>
                <w:sz w:val="20"/>
                <w:lang w:val="bg-BG"/>
              </w:rPr>
              <w:t xml:space="preserve"> стопанство „Кричим” на „Югозападно държавно предприятие“ ДП – Благоевград </w:t>
            </w:r>
            <w:r w:rsidRPr="00C61E29">
              <w:rPr>
                <w:rFonts w:ascii="Verdana" w:hAnsi="Verdana"/>
                <w:sz w:val="20"/>
                <w:lang w:val="bg-BG"/>
              </w:rPr>
              <w:t>се засягат разпоредбите на чл. 10, т. 11 от ППЗНСО и § 1, ал. 3 от Допълнителните разпоредби на ППЗНСО.</w:t>
            </w:r>
          </w:p>
          <w:p w:rsidR="00C30580" w:rsidRPr="00C61E29" w:rsidRDefault="00133EB6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В случай, че не бъдат направени горепосочените </w:t>
            </w:r>
            <w:r w:rsidR="00C17AEA" w:rsidRPr="00C61E29">
              <w:rPr>
                <w:rFonts w:ascii="Verdana" w:hAnsi="Verdana"/>
                <w:sz w:val="20"/>
                <w:lang w:val="bg-BG"/>
              </w:rPr>
              <w:t>нормативни изменения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в ППЗНСО, не може да се</w:t>
            </w:r>
            <w:r w:rsidR="00C17AEA" w:rsidRPr="00C61E29">
              <w:rPr>
                <w:rFonts w:ascii="Verdana" w:hAnsi="Verdana"/>
                <w:sz w:val="20"/>
                <w:lang w:val="bg-BG"/>
              </w:rPr>
              <w:t xml:space="preserve"> осигури законосъобразно регламентиране на управлението на стопанството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.  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i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 xml:space="preserve">1.3. Посочете дали са извършени </w:t>
            </w:r>
            <w:proofErr w:type="spellStart"/>
            <w:r w:rsidRPr="00C61E29">
              <w:rPr>
                <w:rFonts w:ascii="Verdana" w:hAnsi="Verdana"/>
                <w:i/>
                <w:sz w:val="20"/>
                <w:lang w:val="bg-BG"/>
              </w:rPr>
              <w:t>последващи</w:t>
            </w:r>
            <w:proofErr w:type="spellEnd"/>
            <w:r w:rsidRPr="00C61E29">
              <w:rPr>
                <w:rFonts w:ascii="Verdana" w:hAnsi="Verdana"/>
                <w:i/>
                <w:sz w:val="20"/>
                <w:lang w:val="bg-BG"/>
              </w:rPr>
              <w:t xml:space="preserve"> оценки на нормативния акт, или анализи за изпълнението на политиката и какви са резултатите от тях? </w:t>
            </w:r>
          </w:p>
          <w:p w:rsidR="006471B2" w:rsidRPr="00C61E29" w:rsidRDefault="006471B2" w:rsidP="00B67AB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Не са извършени </w:t>
            </w:r>
            <w:proofErr w:type="spellStart"/>
            <w:r w:rsidRPr="00C61E29">
              <w:rPr>
                <w:rFonts w:ascii="Verdana" w:hAnsi="Verdana"/>
                <w:sz w:val="20"/>
                <w:lang w:val="bg-BG"/>
              </w:rPr>
              <w:t>последващи</w:t>
            </w:r>
            <w:proofErr w:type="spellEnd"/>
            <w:r w:rsidRPr="00C61E29">
              <w:rPr>
                <w:rFonts w:ascii="Verdana" w:hAnsi="Verdana"/>
                <w:sz w:val="20"/>
                <w:lang w:val="bg-BG"/>
              </w:rPr>
              <w:t xml:space="preserve"> оценки на нормативни</w:t>
            </w:r>
            <w:r w:rsidR="00B67AB0" w:rsidRPr="00C61E29">
              <w:rPr>
                <w:rFonts w:ascii="Verdana" w:hAnsi="Verdana"/>
                <w:sz w:val="20"/>
                <w:lang w:val="bg-BG"/>
              </w:rPr>
              <w:t>я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акт.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2. Цели:</w:t>
            </w:r>
            <w:r w:rsidR="00133EB6" w:rsidRPr="00C61E29">
              <w:rPr>
                <w:rFonts w:ascii="Verdana" w:hAnsi="Verdana"/>
                <w:i/>
                <w:sz w:val="20"/>
                <w:lang w:val="bg-BG"/>
              </w:rPr>
              <w:t xml:space="preserve"> 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  <w:p w:rsidR="006471B2" w:rsidRPr="00C61E29" w:rsidRDefault="00133EB6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Законосъобразно регламентиране на управлението на стопанството, което след 1 ноември 2018 г. ще се осъществява от „Югозападно държавно предприятие“ ДП – Благоевград.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8C0540" w:rsidP="008C054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3. 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 xml:space="preserve">Идентифициране на заинтересованите страни: </w:t>
            </w:r>
          </w:p>
          <w:p w:rsidR="00720AE7" w:rsidRPr="00C61E29" w:rsidRDefault="00720AE7" w:rsidP="008C054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- Министерството на земеделието, храните и горите;</w:t>
            </w:r>
          </w:p>
          <w:p w:rsidR="00720AE7" w:rsidRPr="00C61E29" w:rsidRDefault="00720AE7" w:rsidP="008C054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-</w:t>
            </w:r>
            <w:r w:rsidR="00B67AB0"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  <w:r w:rsidR="00133EB6" w:rsidRPr="00C61E29">
              <w:rPr>
                <w:rFonts w:ascii="Verdana" w:hAnsi="Verdana"/>
                <w:sz w:val="20"/>
                <w:lang w:val="bg-BG"/>
              </w:rPr>
              <w:t>„Югозападно държавно предприятие“ ДП – Благоевград</w:t>
            </w:r>
            <w:r w:rsidRPr="00C61E29">
              <w:rPr>
                <w:rFonts w:ascii="Verdana" w:hAnsi="Verdana"/>
                <w:sz w:val="20"/>
                <w:lang w:val="bg-BG"/>
              </w:rPr>
              <w:t>;</w:t>
            </w:r>
          </w:p>
          <w:p w:rsidR="00133EB6" w:rsidRPr="00C61E29" w:rsidRDefault="00133EB6" w:rsidP="008C054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- Националната служба за охрана при Президента на Република България.</w:t>
            </w:r>
          </w:p>
          <w:p w:rsidR="006471B2" w:rsidRPr="00C61E29" w:rsidRDefault="00720AE7" w:rsidP="00B67AB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- </w:t>
            </w:r>
            <w:r w:rsidR="006471B2" w:rsidRPr="00C61E29">
              <w:rPr>
                <w:rFonts w:ascii="Verdana" w:hAnsi="Verdana"/>
                <w:i/>
                <w:sz w:val="20"/>
                <w:lang w:val="bg-BG"/>
              </w:rPr>
              <w:t>Посочете всички потенциални засегнати и заинтересовани страни, върху които предложението ще окаже пряко или косвено въздействие (бизнес в дадена  област/всички предприемачи, неправителствени организации, граждани/техни представители, държавни органи, др.).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i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4. Варианти на действие: </w:t>
            </w:r>
            <w:r w:rsidR="006B1AFA" w:rsidRPr="00C61E29">
              <w:rPr>
                <w:rFonts w:ascii="Verdana" w:hAnsi="Verdana"/>
                <w:i/>
                <w:sz w:val="20"/>
                <w:lang w:val="bg-BG"/>
              </w:rPr>
              <w:t>Идентифицирайте основните регулаторни и нерегулаторни възможни варианти на действие от страна на държавата, включително варианта „</w:t>
            </w:r>
            <w:r w:rsidR="006B1AFA" w:rsidRPr="00C61E29">
              <w:rPr>
                <w:rFonts w:ascii="Verdana" w:hAnsi="Verdana"/>
                <w:i/>
                <w:caps/>
                <w:sz w:val="20"/>
                <w:lang w:val="bg-BG"/>
              </w:rPr>
              <w:t>б</w:t>
            </w:r>
            <w:r w:rsidR="006B1AFA" w:rsidRPr="00C61E29">
              <w:rPr>
                <w:rFonts w:ascii="Verdana" w:hAnsi="Verdana"/>
                <w:i/>
                <w:sz w:val="20"/>
                <w:lang w:val="bg-BG"/>
              </w:rPr>
              <w:t>ез действие“.</w:t>
            </w:r>
          </w:p>
          <w:p w:rsidR="006B1AFA" w:rsidRPr="00C61E29" w:rsidRDefault="006B1AFA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Вариантите са следните:</w:t>
            </w:r>
          </w:p>
          <w:p w:rsidR="006471B2" w:rsidRPr="00C61E29" w:rsidRDefault="00D33101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В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а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риант </w:t>
            </w:r>
            <w:r w:rsidR="002736AC" w:rsidRPr="00C61E29">
              <w:rPr>
                <w:rFonts w:ascii="Verdana" w:hAnsi="Verdana"/>
                <w:b/>
                <w:sz w:val="20"/>
                <w:lang w:val="bg-BG"/>
              </w:rPr>
              <w:t>0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: 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„Без действие”</w:t>
            </w:r>
          </w:p>
          <w:p w:rsidR="006B1AFA" w:rsidRPr="00C61E29" w:rsidRDefault="00082802" w:rsidP="00CE100F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При този вариант няма да </w:t>
            </w:r>
            <w:r w:rsidR="00133EB6" w:rsidRPr="00C61E29">
              <w:rPr>
                <w:rFonts w:ascii="Verdana" w:hAnsi="Verdana"/>
                <w:sz w:val="20"/>
                <w:lang w:val="bg-BG"/>
              </w:rPr>
              <w:t xml:space="preserve">бъде изпълнено Решение № 764 на Министерския съвет от 2018 г. </w:t>
            </w:r>
          </w:p>
          <w:p w:rsidR="00017F29" w:rsidRPr="00C61E29" w:rsidRDefault="00133EB6" w:rsidP="00CE100F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За Националната служба за охрана при Президента на Република България ще е налице нормативно задължение за </w:t>
            </w:r>
            <w:r w:rsidR="00017F29" w:rsidRPr="00C61E29">
              <w:rPr>
                <w:rFonts w:ascii="Verdana" w:hAnsi="Verdana"/>
                <w:sz w:val="20"/>
                <w:lang w:val="bg-BG"/>
              </w:rPr>
              <w:t>организиране на дейностите в стопанство “Кричим” и задължението да осигурява за сметка на своя бюджет ползването и управлението на стопанството</w:t>
            </w:r>
            <w:r w:rsidR="00563FFE" w:rsidRPr="00C61E29">
              <w:rPr>
                <w:rFonts w:ascii="Verdana" w:hAnsi="Verdana"/>
                <w:sz w:val="20"/>
                <w:lang w:val="bg-BG"/>
              </w:rPr>
              <w:t xml:space="preserve">, </w:t>
            </w:r>
            <w:r w:rsidR="00336B3C" w:rsidRPr="00C61E29">
              <w:rPr>
                <w:rFonts w:ascii="Verdana" w:hAnsi="Verdana"/>
                <w:sz w:val="20"/>
                <w:lang w:val="bg-BG"/>
              </w:rPr>
              <w:t xml:space="preserve">въпреки че управлението на стопанството </w:t>
            </w:r>
            <w:r w:rsidR="00B0576F" w:rsidRPr="00C61E29">
              <w:rPr>
                <w:rFonts w:ascii="Verdana" w:hAnsi="Verdana"/>
                <w:sz w:val="20"/>
                <w:lang w:val="bg-BG"/>
              </w:rPr>
              <w:t>му е отнето поради отпаднала нужда</w:t>
            </w:r>
            <w:r w:rsidR="00563FFE" w:rsidRPr="00C61E29">
              <w:rPr>
                <w:rFonts w:ascii="Verdana" w:hAnsi="Verdana"/>
                <w:sz w:val="20"/>
                <w:lang w:val="bg-BG"/>
              </w:rPr>
              <w:t xml:space="preserve"> с Решение № 764 на Министерския съвет от 2018 г. </w:t>
            </w:r>
            <w:r w:rsidR="00017F29"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  <w:r w:rsidR="00B0576F" w:rsidRPr="00C61E29">
              <w:rPr>
                <w:rFonts w:ascii="Verdana" w:hAnsi="Verdana"/>
                <w:sz w:val="20"/>
                <w:lang w:val="bg-BG"/>
              </w:rPr>
              <w:t>Ще бъде налице несъответствие между горепосочените разпоредби от ППЗНСО с чл. 14, ал. 3 от Закона за държавната собственост</w:t>
            </w:r>
            <w:r w:rsidR="006B1AFA" w:rsidRPr="00C61E29">
              <w:rPr>
                <w:rFonts w:ascii="Verdana" w:hAnsi="Verdana"/>
                <w:sz w:val="20"/>
                <w:lang w:val="bg-BG"/>
              </w:rPr>
              <w:t xml:space="preserve"> и чл. 12 от Правилника за прилагане на Закона за държавната собственост.</w:t>
            </w:r>
          </w:p>
          <w:p w:rsidR="006471B2" w:rsidRPr="00C61E29" w:rsidRDefault="00D33101" w:rsidP="00D33101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В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ариант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="002736AC" w:rsidRPr="00C61E29">
              <w:rPr>
                <w:rFonts w:ascii="Verdana" w:hAnsi="Verdana"/>
                <w:b/>
                <w:sz w:val="20"/>
                <w:lang w:val="bg-BG"/>
              </w:rPr>
              <w:t>1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>:</w:t>
            </w:r>
            <w:r w:rsidR="00FD6F52" w:rsidRPr="00C61E29">
              <w:rPr>
                <w:rFonts w:ascii="Verdana" w:hAnsi="Verdana"/>
                <w:b/>
                <w:sz w:val="20"/>
                <w:lang w:val="bg-BG"/>
              </w:rPr>
              <w:t xml:space="preserve"> </w:t>
            </w:r>
            <w:r w:rsidR="006B1AFA" w:rsidRPr="00C61E29">
              <w:rPr>
                <w:rFonts w:ascii="Verdana" w:hAnsi="Verdana"/>
                <w:b/>
                <w:sz w:val="20"/>
                <w:lang w:val="bg-BG"/>
              </w:rPr>
              <w:t>“</w:t>
            </w:r>
            <w:r w:rsidR="00FD6F52" w:rsidRPr="00C61E29">
              <w:rPr>
                <w:rFonts w:ascii="Verdana" w:hAnsi="Verdana"/>
                <w:b/>
                <w:sz w:val="20"/>
                <w:lang w:val="bg-BG"/>
              </w:rPr>
              <w:t xml:space="preserve">Приемане на </w:t>
            </w:r>
            <w:r w:rsidR="00336B3C" w:rsidRPr="00C61E29">
              <w:rPr>
                <w:rFonts w:ascii="Verdana" w:hAnsi="Verdana"/>
                <w:b/>
                <w:sz w:val="20"/>
                <w:lang w:val="bg-BG"/>
              </w:rPr>
              <w:t xml:space="preserve">проекта на </w:t>
            </w:r>
            <w:r w:rsidR="00DD07CA" w:rsidRPr="00C61E29">
              <w:rPr>
                <w:rFonts w:ascii="Verdana" w:hAnsi="Verdana"/>
                <w:b/>
                <w:sz w:val="20"/>
                <w:lang w:val="bg-BG"/>
              </w:rPr>
              <w:t xml:space="preserve">Постановление на Министерския съвет за изменение на Правилника за прилагане на Закона за </w:t>
            </w:r>
            <w:r w:rsidR="00017F29" w:rsidRPr="00C61E29">
              <w:rPr>
                <w:rFonts w:ascii="Verdana" w:hAnsi="Verdana"/>
                <w:b/>
                <w:sz w:val="20"/>
                <w:lang w:val="bg-BG"/>
              </w:rPr>
              <w:t>Националната служба за охрана</w:t>
            </w:r>
            <w:r w:rsidR="006B1AFA" w:rsidRPr="00C61E29">
              <w:rPr>
                <w:rFonts w:ascii="Verdana" w:hAnsi="Verdana"/>
                <w:b/>
                <w:sz w:val="20"/>
                <w:lang w:val="bg-BG"/>
              </w:rPr>
              <w:t>”:</w:t>
            </w:r>
          </w:p>
          <w:p w:rsidR="00685F99" w:rsidRPr="00C61E29" w:rsidRDefault="00037334" w:rsidP="00747201">
            <w:pPr>
              <w:spacing w:line="360" w:lineRule="auto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При този вариант на действие ще се постигне изпълнение на </w:t>
            </w:r>
            <w:r w:rsidR="00017F29" w:rsidRPr="00C61E29">
              <w:rPr>
                <w:rFonts w:ascii="Verdana" w:hAnsi="Verdana"/>
                <w:sz w:val="20"/>
                <w:lang w:val="bg-BG"/>
              </w:rPr>
              <w:t>Решение № 764 на Министерския съвет от 2018 г.</w:t>
            </w:r>
            <w:r w:rsidR="006B1AFA" w:rsidRPr="00C61E29">
              <w:rPr>
                <w:rFonts w:ascii="Verdana" w:hAnsi="Verdana"/>
                <w:sz w:val="20"/>
                <w:lang w:val="bg-BG"/>
              </w:rPr>
              <w:t xml:space="preserve"> Ще се постигне съответствие на Правилника за прилагане на Закона за Националната служба за охрана със Закона за държавната собственост, Правилника за прилагане на Закона за държавната собственост и Решение № 764 на Министерския съвет от 2018 г.</w:t>
            </w:r>
            <w:r w:rsidR="00685F99" w:rsidRPr="00C61E29">
              <w:rPr>
                <w:lang w:val="bg-BG"/>
              </w:rPr>
              <w:t xml:space="preserve"> </w:t>
            </w:r>
            <w:r w:rsidR="00747201" w:rsidRPr="00C61E29">
              <w:rPr>
                <w:rFonts w:ascii="Verdana" w:hAnsi="Verdana"/>
                <w:sz w:val="20"/>
                <w:lang w:val="bg-BG"/>
              </w:rPr>
              <w:t xml:space="preserve">Няма да бъдат налице нормативни пречки </w:t>
            </w:r>
            <w:r w:rsidR="00685F99" w:rsidRPr="00C61E29">
              <w:rPr>
                <w:rFonts w:ascii="Verdana" w:hAnsi="Verdana"/>
                <w:sz w:val="20"/>
                <w:lang w:val="bg-BG"/>
              </w:rPr>
              <w:t>„Югозападно държавно предприятие“ ДП – Благоевград</w:t>
            </w:r>
            <w:r w:rsidR="009338F6"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  <w:r w:rsidR="00747201" w:rsidRPr="00C61E29">
              <w:rPr>
                <w:rFonts w:ascii="Verdana" w:hAnsi="Verdana"/>
                <w:sz w:val="20"/>
                <w:lang w:val="bg-BG"/>
              </w:rPr>
              <w:t xml:space="preserve"> да владее, ползва и поддържа за своя сметка и на своя отговорност, предоставеното му за управление имущество – публична и частна държавна собственост, представляващо стопанство Кричим.</w:t>
            </w:r>
            <w:r w:rsidR="00747201" w:rsidRPr="00C61E29" w:rsidDel="00685F99">
              <w:rPr>
                <w:rFonts w:ascii="Verdana" w:hAnsi="Verdana"/>
                <w:sz w:val="20"/>
                <w:lang w:val="bg-BG"/>
              </w:rPr>
              <w:t xml:space="preserve"> </w:t>
            </w:r>
          </w:p>
          <w:p w:rsidR="006B1AFA" w:rsidRPr="00C61E29" w:rsidRDefault="006B1AFA" w:rsidP="008D141F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Вариант 2: </w:t>
            </w:r>
            <w:r w:rsidR="00336B3C" w:rsidRPr="00C61E29">
              <w:rPr>
                <w:rFonts w:ascii="Verdana" w:hAnsi="Verdana"/>
                <w:b/>
                <w:sz w:val="20"/>
                <w:lang w:val="bg-BG"/>
              </w:rPr>
              <w:t>“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>Предприемане на организационни и други мерки без нормативни промени</w:t>
            </w:r>
            <w:r w:rsidR="00336B3C" w:rsidRPr="00C61E29">
              <w:rPr>
                <w:rFonts w:ascii="Verdana" w:hAnsi="Verdana"/>
                <w:b/>
                <w:sz w:val="20"/>
                <w:lang w:val="bg-BG"/>
              </w:rPr>
              <w:t>”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>:</w:t>
            </w:r>
          </w:p>
          <w:p w:rsidR="006471B2" w:rsidRPr="00C61E29" w:rsidRDefault="00336B3C" w:rsidP="00033DB7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Предвид приетото Решение № 764 на Министерския съвет от 2018 г.</w:t>
            </w:r>
            <w:r w:rsidR="00DA2AB6" w:rsidRPr="00C61E29">
              <w:rPr>
                <w:rFonts w:ascii="Verdana" w:hAnsi="Verdana"/>
                <w:sz w:val="20"/>
                <w:lang w:val="bg-BG"/>
              </w:rPr>
              <w:t>,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разпоредбите на чл. 14, ал. 3 от Закона за държавната собственост и чл. 12 от Правилника за прилагане на Закона за държавната собственост не могат да бъдат спазени без приемането на нормативните промени</w:t>
            </w:r>
            <w:r w:rsidR="00033DB7" w:rsidRPr="00C61E29">
              <w:rPr>
                <w:rFonts w:ascii="Verdana" w:hAnsi="Verdana"/>
                <w:sz w:val="20"/>
                <w:lang w:val="bg-BG"/>
              </w:rPr>
              <w:t xml:space="preserve"> в Правилника за прилагане на Закона за Националната служба за охрана</w:t>
            </w:r>
            <w:r w:rsidRPr="00C61E29">
              <w:rPr>
                <w:rFonts w:ascii="Verdana" w:hAnsi="Verdana"/>
                <w:sz w:val="20"/>
                <w:lang w:val="bg-BG"/>
              </w:rPr>
              <w:t>. Предприемането на организационни и други мерки не е достатъчно.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5. Негативни въздействия: </w:t>
            </w:r>
          </w:p>
          <w:p w:rsidR="006471B2" w:rsidRPr="00C61E29" w:rsidRDefault="0008280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В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 xml:space="preserve">ариант </w:t>
            </w:r>
            <w:r w:rsidR="00A05852" w:rsidRPr="00C61E29">
              <w:rPr>
                <w:rFonts w:ascii="Verdana" w:hAnsi="Verdana"/>
                <w:b/>
                <w:sz w:val="20"/>
                <w:lang w:val="bg-BG"/>
              </w:rPr>
              <w:t>0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: 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„Без действие”</w:t>
            </w:r>
          </w:p>
          <w:p w:rsidR="00921C24" w:rsidRPr="00C61E29" w:rsidRDefault="008E6F32" w:rsidP="00114057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По отношение на идентифицираните заинтересовани страни п</w:t>
            </w:r>
            <w:r w:rsidR="00AE2309" w:rsidRPr="00C61E29">
              <w:rPr>
                <w:rFonts w:ascii="Verdana" w:hAnsi="Verdana"/>
                <w:sz w:val="20"/>
                <w:lang w:val="bg-BG"/>
              </w:rPr>
              <w:t xml:space="preserve">ри този вариант 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на действие </w:t>
            </w:r>
            <w:r w:rsidR="00AE2309" w:rsidRPr="00C61E29">
              <w:rPr>
                <w:rFonts w:ascii="Verdana" w:hAnsi="Verdana"/>
                <w:sz w:val="20"/>
                <w:lang w:val="bg-BG"/>
              </w:rPr>
              <w:t xml:space="preserve">няма да </w:t>
            </w:r>
            <w:r w:rsidR="00797B2C" w:rsidRPr="00C61E29">
              <w:rPr>
                <w:rFonts w:ascii="Verdana" w:hAnsi="Verdana"/>
                <w:sz w:val="20"/>
                <w:lang w:val="bg-BG"/>
              </w:rPr>
              <w:t>се постигне изпълнение на Решение № 764 на Министерския съвет от 2018 г.</w:t>
            </w:r>
            <w:r w:rsidR="00797B2C" w:rsidRPr="00C61E29">
              <w:rPr>
                <w:lang w:val="bg-BG"/>
              </w:rPr>
              <w:t xml:space="preserve"> </w:t>
            </w:r>
            <w:r w:rsidR="00797B2C" w:rsidRPr="00C61E29">
              <w:rPr>
                <w:rFonts w:ascii="Verdana" w:hAnsi="Verdana"/>
                <w:sz w:val="20"/>
                <w:lang w:val="bg-BG"/>
              </w:rPr>
              <w:t>Националната служба за охрана при Президента на Република България ще е задължена да организира дейностите в стопанство “Кричим” и да осигурява за сметка на своя бюджет ползването и управлението на стопанството, като по този начин ще се възпрепятства упражняването на правомощията на „Югозападно държавно предприятие“ ДП – Благоевград по отношение на стопанството - да го владее, ползва и поддържа от името на държавата, за своя сметка и на своя отговорност.</w:t>
            </w:r>
            <w:r w:rsidR="00685F99"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</w:p>
          <w:p w:rsidR="00286C28" w:rsidRDefault="00286C28" w:rsidP="00114057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По отношение </w:t>
            </w:r>
            <w:r w:rsidR="00212074" w:rsidRPr="00C61E29">
              <w:rPr>
                <w:rFonts w:ascii="Verdana" w:hAnsi="Verdana"/>
                <w:sz w:val="20"/>
                <w:lang w:val="bg-BG"/>
              </w:rPr>
              <w:t xml:space="preserve">на </w:t>
            </w:r>
            <w:r w:rsidR="00747201" w:rsidRPr="00C61E29">
              <w:rPr>
                <w:rFonts w:ascii="Verdana" w:hAnsi="Verdana"/>
                <w:sz w:val="20"/>
                <w:lang w:val="bg-BG"/>
              </w:rPr>
              <w:t xml:space="preserve">„Югозападно държавно предприятие“ ДП – Благоевград </w:t>
            </w:r>
            <w:r w:rsidR="00C61E29" w:rsidRPr="00C61E29">
              <w:rPr>
                <w:rFonts w:ascii="Verdana" w:hAnsi="Verdana"/>
                <w:sz w:val="20"/>
                <w:lang w:val="bg-BG"/>
              </w:rPr>
              <w:t>за</w:t>
            </w:r>
            <w:r w:rsidR="00747201" w:rsidRPr="00C61E29">
              <w:rPr>
                <w:rFonts w:ascii="Verdana" w:hAnsi="Verdana"/>
                <w:sz w:val="20"/>
                <w:lang w:val="bg-BG"/>
              </w:rPr>
              <w:t xml:space="preserve"> предоставеното му за управление имущество – публична и частна държавна собственост, представляващо стопанство “Кричим”</w:t>
            </w:r>
            <w:r w:rsidR="00C61E29" w:rsidRPr="00C61E29">
              <w:rPr>
                <w:rFonts w:ascii="Verdana" w:hAnsi="Verdana"/>
                <w:sz w:val="20"/>
                <w:lang w:val="bg-BG"/>
              </w:rPr>
              <w:t>,</w:t>
            </w:r>
            <w:r w:rsidR="00747201" w:rsidRPr="00C61E29">
              <w:rPr>
                <w:rFonts w:ascii="Verdana" w:hAnsi="Verdana"/>
                <w:sz w:val="20"/>
                <w:lang w:val="bg-BG"/>
              </w:rPr>
              <w:t xml:space="preserve"> ще е налице противоречива нормативна уредба, което </w:t>
            </w:r>
            <w:r w:rsidR="00412A78" w:rsidRPr="00C61E29">
              <w:rPr>
                <w:rFonts w:ascii="Verdana" w:hAnsi="Verdana"/>
                <w:sz w:val="20"/>
                <w:lang w:val="bg-BG"/>
              </w:rPr>
              <w:t xml:space="preserve">ще възпрепятства </w:t>
            </w:r>
            <w:r w:rsidR="00212074" w:rsidRPr="00C61E29">
              <w:rPr>
                <w:rFonts w:ascii="Verdana" w:hAnsi="Verdana"/>
                <w:sz w:val="20"/>
                <w:lang w:val="bg-BG"/>
              </w:rPr>
              <w:t xml:space="preserve">упражняването </w:t>
            </w:r>
            <w:r w:rsidR="00C61E29" w:rsidRPr="00C61E29">
              <w:rPr>
                <w:rFonts w:ascii="Verdana" w:hAnsi="Verdana"/>
                <w:sz w:val="20"/>
                <w:lang w:val="bg-BG"/>
              </w:rPr>
              <w:t>на правото на управление</w:t>
            </w:r>
            <w:r w:rsidR="00212074" w:rsidRPr="00C61E29">
              <w:rPr>
                <w:rFonts w:ascii="Verdana" w:hAnsi="Verdana"/>
                <w:sz w:val="20"/>
                <w:lang w:val="bg-BG"/>
              </w:rPr>
              <w:t xml:space="preserve"> на предприятието </w:t>
            </w:r>
            <w:r w:rsidR="00212074" w:rsidRPr="00C61E29">
              <w:rPr>
                <w:rFonts w:ascii="Verdana" w:hAnsi="Verdana"/>
                <w:sz w:val="20"/>
                <w:lang w:val="bg-BG"/>
              </w:rPr>
              <w:t>в пълен обем</w:t>
            </w:r>
            <w:r w:rsidR="00212074" w:rsidRPr="00C61E29">
              <w:rPr>
                <w:rFonts w:ascii="Verdana" w:hAnsi="Verdana"/>
                <w:sz w:val="20"/>
                <w:lang w:val="bg-BG"/>
              </w:rPr>
              <w:t>.</w:t>
            </w:r>
          </w:p>
          <w:p w:rsidR="00C61E29" w:rsidRPr="00C61E29" w:rsidRDefault="00C61E29" w:rsidP="00114057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>
              <w:rPr>
                <w:rFonts w:ascii="Verdana" w:hAnsi="Verdana"/>
                <w:sz w:val="20"/>
                <w:lang w:val="bg-BG"/>
              </w:rPr>
              <w:t>Министър</w:t>
            </w:r>
            <w:r w:rsidR="004A1129">
              <w:rPr>
                <w:rFonts w:ascii="Verdana" w:hAnsi="Verdana"/>
                <w:sz w:val="20"/>
                <w:lang w:val="bg-BG"/>
              </w:rPr>
              <w:t>ът</w:t>
            </w:r>
            <w:r>
              <w:rPr>
                <w:rFonts w:ascii="Verdana" w:hAnsi="Verdana"/>
                <w:sz w:val="20"/>
                <w:lang w:val="bg-BG"/>
              </w:rPr>
              <w:t xml:space="preserve"> на земеделието, храните и горите </w:t>
            </w:r>
            <w:r w:rsidR="004A1129">
              <w:rPr>
                <w:rFonts w:ascii="Verdana" w:hAnsi="Verdana"/>
                <w:sz w:val="20"/>
                <w:lang w:val="bg-BG"/>
              </w:rPr>
              <w:t xml:space="preserve">ще бъде възпрепятстван да упражни в пълен обем контрола по т. 7 от </w:t>
            </w:r>
            <w:r w:rsidR="004A1129" w:rsidRPr="004A1129">
              <w:rPr>
                <w:rFonts w:ascii="Verdana" w:hAnsi="Verdana"/>
                <w:sz w:val="20"/>
                <w:lang w:val="bg-BG"/>
              </w:rPr>
              <w:t>Решение № 764 на Министерския съвет от 2018 г.</w:t>
            </w:r>
          </w:p>
          <w:p w:rsidR="002578A6" w:rsidRPr="00C61E29" w:rsidRDefault="00B03F3F" w:rsidP="008E6F3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Икономически въздействия: </w:t>
            </w:r>
            <w:r w:rsidR="001F00FE" w:rsidRPr="00C61E29">
              <w:rPr>
                <w:rFonts w:ascii="Verdana" w:hAnsi="Verdana"/>
                <w:sz w:val="20"/>
                <w:lang w:val="bg-BG"/>
              </w:rPr>
              <w:t>организиране на дейностите в стопанство “Кричим” и осигуряване на средства за сметка на бюджета на НСО за имущество – публична и частна държавна собственост, без предоставени права на управление.</w:t>
            </w:r>
          </w:p>
          <w:p w:rsidR="00A66D91" w:rsidRPr="00C61E29" w:rsidRDefault="00A66D91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Социални въздействия: </w:t>
            </w:r>
            <w:r w:rsidR="00DA2AB6" w:rsidRPr="00C61E29">
              <w:rPr>
                <w:rFonts w:ascii="Verdana" w:hAnsi="Verdana" w:cs="Verdana"/>
                <w:bCs/>
                <w:sz w:val="20"/>
                <w:lang w:val="bg-BG" w:eastAsia="bg-BG"/>
              </w:rPr>
              <w:t xml:space="preserve">невъзможност за </w:t>
            </w:r>
            <w:r w:rsidR="00DA2AB6" w:rsidRPr="00C61E29">
              <w:rPr>
                <w:rFonts w:ascii="Verdana" w:hAnsi="Verdana" w:cs="Verdana"/>
                <w:sz w:val="20"/>
                <w:lang w:val="bg-BG" w:eastAsia="bg-BG"/>
              </w:rPr>
              <w:t>спазване на изискванията на Закона за културното наследство и режимите на опазване на недвижимата културна ценност, определени в Заповед № РД9Д-1 на министъра на културата от 31 януари 2013 г.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>.</w:t>
            </w: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 </w:t>
            </w:r>
          </w:p>
          <w:p w:rsidR="00A05852" w:rsidRPr="00C61E29" w:rsidRDefault="00A66D91" w:rsidP="00033DB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bCs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Екологични въздействия: </w:t>
            </w:r>
            <w:r w:rsidR="00DA2AB6" w:rsidRPr="00C61E29">
              <w:rPr>
                <w:rFonts w:ascii="Verdana" w:hAnsi="Verdana" w:cs="Verdana"/>
                <w:bCs/>
                <w:sz w:val="20"/>
                <w:lang w:val="bg-BG" w:eastAsia="bg-BG"/>
              </w:rPr>
              <w:t>невъзможност за спазване на режимите, въведени със Заповед № 575 на министъра на околната среда и водите от 1 ноември 2000 г., актуализирана със Заповед РД-763 на министъра на околната среда и водите от 13 ноември 2009 г., за обявяване на защитена местност „Кричим“.</w:t>
            </w:r>
          </w:p>
          <w:p w:rsidR="00A66D91" w:rsidRPr="00C61E29" w:rsidRDefault="00A66D91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Вариант </w:t>
            </w:r>
            <w:r w:rsidR="00A05852"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1</w:t>
            </w:r>
            <w:r w:rsidR="00082802"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:</w:t>
            </w:r>
            <w:r w:rsidR="00AE2309"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 „</w:t>
            </w:r>
            <w:r w:rsidR="008E6F32"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Приемане на проект на Постановление на Министерския съвет за изменение на Правилника за прилагане на Закона за </w:t>
            </w:r>
            <w:r w:rsidR="00DA2AB6"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Националната служба за охрана</w:t>
            </w: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“. </w:t>
            </w:r>
          </w:p>
          <w:p w:rsidR="008E6F32" w:rsidRPr="00C61E29" w:rsidRDefault="008E6F32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bCs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Cs/>
                <w:sz w:val="20"/>
                <w:lang w:val="bg-BG" w:eastAsia="bg-BG"/>
              </w:rPr>
              <w:t>Не са идентифицирани негативни въздействия по отношение на идентифицираните заинтересувани страни при избора на този вариант на действие.</w:t>
            </w:r>
          </w:p>
          <w:p w:rsidR="008E6F32" w:rsidRPr="00C61E29" w:rsidRDefault="00A66D91" w:rsidP="008E6F3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Икономически въздействия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: </w:t>
            </w:r>
            <w:r w:rsidR="008E6F32" w:rsidRPr="00C61E29">
              <w:rPr>
                <w:rFonts w:ascii="Verdana" w:hAnsi="Verdana" w:cs="Verdana"/>
                <w:sz w:val="20"/>
                <w:lang w:val="bg-BG" w:eastAsia="bg-BG"/>
              </w:rPr>
              <w:t>няма да доведе.</w:t>
            </w:r>
          </w:p>
          <w:p w:rsidR="00A66D91" w:rsidRPr="00C61E29" w:rsidRDefault="00A66D91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Социални въздействия: </w:t>
            </w:r>
            <w:r w:rsidR="00B03F3F" w:rsidRPr="00C61E29">
              <w:rPr>
                <w:rFonts w:ascii="Verdana" w:hAnsi="Verdana" w:cs="Verdana"/>
                <w:sz w:val="20"/>
                <w:lang w:val="bg-BG" w:eastAsia="bg-BG"/>
              </w:rPr>
              <w:t>няма да доведе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>.</w:t>
            </w:r>
          </w:p>
          <w:p w:rsidR="00B03F3F" w:rsidRPr="00C61E29" w:rsidRDefault="00A66D91" w:rsidP="004F186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Екологични въздействия: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</w:t>
            </w:r>
            <w:r w:rsidR="00B03F3F" w:rsidRPr="00C61E29">
              <w:rPr>
                <w:rFonts w:ascii="Verdana" w:hAnsi="Verdana" w:cs="Verdana"/>
                <w:sz w:val="20"/>
                <w:lang w:val="bg-BG" w:eastAsia="bg-BG"/>
              </w:rPr>
              <w:t>няма да доведе</w:t>
            </w:r>
            <w:r w:rsidR="009A0582" w:rsidRPr="00C61E29">
              <w:rPr>
                <w:rFonts w:ascii="Verdana" w:hAnsi="Verdana"/>
                <w:sz w:val="20"/>
                <w:lang w:val="bg-BG"/>
              </w:rPr>
              <w:t>.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i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негативни въздействия за всеки един от вариантите, в 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се очаква да бъдат второстепенни и кои да са значителни.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6. Положителни въздействия: </w:t>
            </w:r>
          </w:p>
          <w:p w:rsidR="006471B2" w:rsidRPr="00C61E29" w:rsidRDefault="00A0585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В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ариант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 0: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 xml:space="preserve"> „Без действие”</w:t>
            </w:r>
          </w:p>
          <w:p w:rsidR="00447586" w:rsidRPr="00C61E29" w:rsidRDefault="00447586" w:rsidP="004F1866">
            <w:pPr>
              <w:spacing w:line="360" w:lineRule="auto"/>
              <w:ind w:firstLine="709"/>
              <w:jc w:val="both"/>
              <w:rPr>
                <w:rFonts w:ascii="Verdana" w:hAnsi="Verdana"/>
                <w:bCs/>
                <w:sz w:val="20"/>
                <w:lang w:val="bg-BG"/>
              </w:rPr>
            </w:pPr>
            <w:r w:rsidRPr="00C61E29">
              <w:rPr>
                <w:rFonts w:ascii="Verdana" w:hAnsi="Verdana"/>
                <w:bCs/>
                <w:sz w:val="20"/>
                <w:lang w:val="bg-BG"/>
              </w:rPr>
              <w:t>Не са идентифицирани положителни въздействия по отношение на идентифицираните заинтересувани страни при избора на този вариант на действие.</w:t>
            </w:r>
          </w:p>
          <w:p w:rsidR="00447586" w:rsidRPr="00C61E29" w:rsidRDefault="00916A97" w:rsidP="00916A9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Икономически въздействия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: </w:t>
            </w:r>
            <w:r w:rsidR="00447586" w:rsidRPr="00C61E29">
              <w:rPr>
                <w:rFonts w:ascii="Verdana" w:hAnsi="Verdana" w:cs="Verdana"/>
                <w:sz w:val="20"/>
                <w:lang w:val="bg-BG" w:eastAsia="bg-BG"/>
              </w:rPr>
              <w:t>няма да доведе.</w:t>
            </w:r>
          </w:p>
          <w:p w:rsidR="00916A97" w:rsidRPr="00C61E29" w:rsidRDefault="00916A97" w:rsidP="00916A97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Социални въздействия: 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>няма да доведе.</w:t>
            </w:r>
          </w:p>
          <w:p w:rsidR="00A05852" w:rsidRPr="00C61E29" w:rsidRDefault="00916A97" w:rsidP="004F186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Екологични въздействия: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няма да доведе</w:t>
            </w:r>
            <w:r w:rsidRPr="00C61E29">
              <w:rPr>
                <w:rFonts w:ascii="Verdana" w:hAnsi="Verdana"/>
                <w:sz w:val="20"/>
                <w:lang w:val="bg-BG"/>
              </w:rPr>
              <w:t>.</w:t>
            </w:r>
          </w:p>
          <w:p w:rsidR="00E92CAB" w:rsidRPr="00C61E29" w:rsidRDefault="00A0585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В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ариант</w:t>
            </w: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 1: </w:t>
            </w:r>
            <w:r w:rsidR="006471B2" w:rsidRPr="00C61E29">
              <w:rPr>
                <w:rFonts w:ascii="Verdana" w:hAnsi="Verdana"/>
                <w:b/>
                <w:sz w:val="20"/>
                <w:lang w:val="bg-BG"/>
              </w:rPr>
              <w:t>„</w:t>
            </w:r>
            <w:r w:rsidR="00447586" w:rsidRPr="00C61E29">
              <w:rPr>
                <w:rFonts w:ascii="Verdana" w:hAnsi="Verdana"/>
                <w:b/>
                <w:bCs/>
                <w:sz w:val="20"/>
                <w:lang w:val="bg-BG"/>
              </w:rPr>
              <w:t xml:space="preserve">Приемане на проект на Постановление на Министерския съвет за </w:t>
            </w:r>
            <w:r w:rsidR="00797B2C" w:rsidRPr="00C61E29">
              <w:rPr>
                <w:rFonts w:ascii="Verdana" w:hAnsi="Verdana"/>
                <w:b/>
                <w:bCs/>
                <w:sz w:val="20"/>
                <w:lang w:val="bg-BG"/>
              </w:rPr>
              <w:t xml:space="preserve">изменение на Правилника за прилагане на Закона за Националната служба за охрана </w:t>
            </w:r>
            <w:r w:rsidR="00E92CAB" w:rsidRPr="00C61E29">
              <w:rPr>
                <w:rFonts w:ascii="Verdana" w:hAnsi="Verdana"/>
                <w:b/>
                <w:sz w:val="20"/>
                <w:lang w:val="bg-BG"/>
              </w:rPr>
              <w:t xml:space="preserve">” </w:t>
            </w:r>
          </w:p>
          <w:p w:rsidR="00797B2C" w:rsidRPr="00C61E29" w:rsidRDefault="00153299" w:rsidP="0044758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 xml:space="preserve">За Националната служба за охрана: </w:t>
            </w:r>
            <w:r w:rsidR="00797B2C" w:rsidRPr="00C61E29">
              <w:rPr>
                <w:rFonts w:ascii="Verdana" w:hAnsi="Verdana"/>
                <w:sz w:val="20"/>
                <w:lang w:val="bg-BG"/>
              </w:rPr>
              <w:t xml:space="preserve">При този вариант на действие ще се постигне изпълнение на Решение № 764 на Министерския съвет от 2018 г. Ще се избегне противоречието на </w:t>
            </w:r>
            <w:r w:rsidR="001F00FE" w:rsidRPr="00C61E29">
              <w:rPr>
                <w:rFonts w:ascii="Verdana" w:hAnsi="Verdana"/>
                <w:sz w:val="20"/>
                <w:lang w:val="bg-BG"/>
              </w:rPr>
              <w:t xml:space="preserve">чл. 10, т. 11 от Правилника за прилагане на Закона за Националната служба за охрана и § 1, ал. 3 от Допълнителните разпоредби на Правилника за прилагане на Закона за Националната служба за охрана </w:t>
            </w:r>
            <w:r w:rsidR="00797B2C" w:rsidRPr="00C61E29">
              <w:rPr>
                <w:rFonts w:ascii="Verdana" w:hAnsi="Verdana"/>
                <w:sz w:val="20"/>
                <w:lang w:val="bg-BG"/>
              </w:rPr>
              <w:t xml:space="preserve">със Закона за държавната собственост, Правилника за прилагане на Закона за държавната собственост и Решение № 764 на Министерския съвет от 2018 г. </w:t>
            </w:r>
          </w:p>
          <w:p w:rsidR="00C61E29" w:rsidRPr="00C61E29" w:rsidRDefault="00153299" w:rsidP="00C61E29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За „Югозападно държавн</w:t>
            </w:r>
            <w:r w:rsidR="004A1129">
              <w:rPr>
                <w:rFonts w:ascii="Verdana" w:hAnsi="Verdana"/>
                <w:sz w:val="20"/>
                <w:lang w:val="bg-BG"/>
              </w:rPr>
              <w:t>о предприятие“ ДП – Благоевград:</w:t>
            </w:r>
            <w:r w:rsidR="00C61E29"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  <w:r w:rsidR="00C61E29" w:rsidRPr="00C61E29">
              <w:rPr>
                <w:rFonts w:ascii="Verdana" w:hAnsi="Verdana"/>
                <w:sz w:val="20"/>
                <w:lang w:val="bg-BG"/>
              </w:rPr>
              <w:t>При този вариант на действие ще се постигне изпълнение на Решение № 764 на Министерския съвет от 2018 г.</w:t>
            </w:r>
          </w:p>
          <w:p w:rsidR="00153299" w:rsidRDefault="00C61E29" w:rsidP="0044758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Няма да бъдат налице нормативни пречки „Югозападно държавно предприятие“ ДП – Благоевград  да владее, ползва и поддържа за своя сметка и на своя отговорност, предоставеното му за управление имущество – публична и частна държавна собственост, представляващо стопанство Кричим.</w:t>
            </w:r>
          </w:p>
          <w:p w:rsidR="004A1129" w:rsidRDefault="004A1129" w:rsidP="0044758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>
              <w:rPr>
                <w:rFonts w:ascii="Verdana" w:hAnsi="Verdana"/>
                <w:sz w:val="20"/>
                <w:lang w:val="bg-BG"/>
              </w:rPr>
              <w:t>За министъра на земеделието, храните и горите:</w:t>
            </w:r>
          </w:p>
          <w:p w:rsidR="004A1129" w:rsidRDefault="004A1129" w:rsidP="0044758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4A1129">
              <w:rPr>
                <w:rFonts w:ascii="Verdana" w:hAnsi="Verdana"/>
                <w:sz w:val="20"/>
                <w:lang w:val="bg-BG"/>
              </w:rPr>
              <w:t xml:space="preserve">При този вариант на действие </w:t>
            </w:r>
            <w:r>
              <w:rPr>
                <w:rFonts w:ascii="Verdana" w:hAnsi="Verdana"/>
                <w:sz w:val="20"/>
                <w:lang w:val="bg-BG"/>
              </w:rPr>
              <w:t>м</w:t>
            </w:r>
            <w:r w:rsidRPr="004A1129">
              <w:rPr>
                <w:rFonts w:ascii="Verdana" w:hAnsi="Verdana"/>
                <w:sz w:val="20"/>
                <w:lang w:val="bg-BG"/>
              </w:rPr>
              <w:t xml:space="preserve">инистърът на земеделието, храните и горите </w:t>
            </w:r>
            <w:r>
              <w:rPr>
                <w:rFonts w:ascii="Verdana" w:hAnsi="Verdana"/>
                <w:sz w:val="20"/>
                <w:lang w:val="bg-BG"/>
              </w:rPr>
              <w:t>ще</w:t>
            </w:r>
            <w:r w:rsidRPr="004A1129">
              <w:rPr>
                <w:rFonts w:ascii="Verdana" w:hAnsi="Verdana"/>
                <w:sz w:val="20"/>
                <w:lang w:val="bg-BG"/>
              </w:rPr>
              <w:t xml:space="preserve"> упражн</w:t>
            </w:r>
            <w:r>
              <w:rPr>
                <w:rFonts w:ascii="Verdana" w:hAnsi="Verdana"/>
                <w:sz w:val="20"/>
                <w:lang w:val="bg-BG"/>
              </w:rPr>
              <w:t>ява</w:t>
            </w:r>
            <w:r w:rsidRPr="004A1129">
              <w:rPr>
                <w:rFonts w:ascii="Verdana" w:hAnsi="Verdana"/>
                <w:sz w:val="20"/>
                <w:lang w:val="bg-BG"/>
              </w:rPr>
              <w:t xml:space="preserve"> в пълен обем контрола по т. 7 от Решение № 764 на Министерския съвет от 2018 г.</w:t>
            </w:r>
          </w:p>
          <w:p w:rsidR="00F22E93" w:rsidRPr="00C61E29" w:rsidRDefault="00447586" w:rsidP="0044758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bCs/>
                <w:sz w:val="20"/>
                <w:lang w:val="bg-BG"/>
              </w:rPr>
              <w:t>Икономически въздействия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: </w:t>
            </w:r>
            <w:r w:rsidR="00F22E93" w:rsidRPr="00C61E29">
              <w:rPr>
                <w:rFonts w:ascii="Verdana" w:hAnsi="Verdana"/>
                <w:sz w:val="20"/>
                <w:lang w:val="bg-BG"/>
              </w:rPr>
              <w:t>Няма да се разходват средства от бюджета на Националната служба за охрана за имущество - публична и частна държавна собственост, което службата няма право да управлява. Няма да се разходват средства от бюджета на НСО за организиране на дейностите в стопанството.</w:t>
            </w:r>
          </w:p>
          <w:p w:rsidR="00447586" w:rsidRPr="00C61E29" w:rsidRDefault="00447586" w:rsidP="0044758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bCs/>
                <w:sz w:val="20"/>
                <w:lang w:val="bg-BG"/>
              </w:rPr>
              <w:t xml:space="preserve">Социални въздействия: </w:t>
            </w:r>
            <w:r w:rsidR="00F22E93" w:rsidRPr="00C61E29">
              <w:rPr>
                <w:rFonts w:ascii="Verdana" w:hAnsi="Verdana"/>
                <w:sz w:val="20"/>
                <w:lang w:val="bg-BG"/>
              </w:rPr>
              <w:t>спазване на изискванията на Закона за културното наследство и режимите на опазване на недвижимата културна ценност, определени в Заповед № РД9Д-1 на министъра на културата от 31 януари 2013 г.</w:t>
            </w:r>
          </w:p>
          <w:p w:rsidR="00F22E93" w:rsidRPr="00C61E29" w:rsidRDefault="00447586" w:rsidP="00F22E93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bCs/>
                <w:sz w:val="20"/>
                <w:lang w:val="bg-BG"/>
              </w:rPr>
              <w:t>Екологични въздействия: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  <w:r w:rsidR="00F22E93" w:rsidRPr="00C61E29">
              <w:rPr>
                <w:rFonts w:ascii="Verdana" w:hAnsi="Verdana"/>
                <w:sz w:val="20"/>
                <w:lang w:val="bg-BG"/>
              </w:rPr>
              <w:t>спазване на режимите, въведени със Заповед № 575 на министъра на околната среда и водите от 1 ноември 2000 г., актуализирана със Заповед РД-763 на министъра на околната среда и водите от 13 ноември 2009 г., за обявяване на защитена местност „Кричим“.</w:t>
            </w:r>
          </w:p>
          <w:p w:rsidR="006471B2" w:rsidRPr="00C61E29" w:rsidRDefault="006471B2" w:rsidP="009F0A69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>Опишете качествено (при възможност –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A649A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7. Потенциални рискове: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  <w:r w:rsidR="004F1866" w:rsidRPr="00C61E29">
              <w:rPr>
                <w:rFonts w:ascii="Verdana" w:hAnsi="Verdana"/>
                <w:i/>
                <w:sz w:val="20"/>
                <w:lang w:val="bg-BG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  <w:p w:rsidR="006471B2" w:rsidRPr="00C61E29" w:rsidRDefault="004F1866" w:rsidP="004F1866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Не са налице рискове.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8.1. Административната тежест за физическите и юридическите лица: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☐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Ще се повиши</w:t>
            </w:r>
          </w:p>
          <w:p w:rsidR="006471B2" w:rsidRPr="00C61E29" w:rsidRDefault="004F1866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☐</w:t>
            </w:r>
            <w:r w:rsidR="006471B2" w:rsidRPr="00C61E29">
              <w:rPr>
                <w:rFonts w:ascii="Verdana" w:hAnsi="Verdana"/>
                <w:sz w:val="20"/>
                <w:lang w:val="bg-BG"/>
              </w:rPr>
              <w:t xml:space="preserve"> Ще се намали</w:t>
            </w:r>
          </w:p>
          <w:p w:rsidR="009A0582" w:rsidRPr="00C61E29" w:rsidRDefault="004F1866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☒</w:t>
            </w:r>
            <w:r w:rsidR="006471B2" w:rsidRPr="00C61E29">
              <w:rPr>
                <w:rFonts w:ascii="Verdana" w:hAnsi="Verdana"/>
                <w:sz w:val="20"/>
                <w:lang w:val="bg-BG"/>
              </w:rPr>
              <w:t>Няма ефект</w:t>
            </w:r>
          </w:p>
          <w:p w:rsidR="009A058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8.2. Създават ли се нови регулаторни режими? Засягат ли се съществуващи режими и услуги?</w:t>
            </w:r>
          </w:p>
          <w:p w:rsidR="006471B2" w:rsidRPr="00C61E29" w:rsidRDefault="006471B2" w:rsidP="009F0A69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Не се създават нови регулаторни режими</w:t>
            </w:r>
            <w:r w:rsidR="00F90994" w:rsidRPr="00C61E29">
              <w:rPr>
                <w:rFonts w:ascii="Verdana" w:hAnsi="Verdana"/>
                <w:sz w:val="20"/>
                <w:lang w:val="bg-BG"/>
              </w:rPr>
              <w:t>.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9A058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9. Създават ли се нови регистри?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Не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>Когато отговорът е „да“, посочете колко и кои са те……………………………………….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 xml:space="preserve">10. Как въздейства актът върху </w:t>
            </w:r>
            <w:proofErr w:type="spellStart"/>
            <w:r w:rsidRPr="00C61E29">
              <w:rPr>
                <w:rFonts w:ascii="Verdana" w:hAnsi="Verdana"/>
                <w:b/>
                <w:sz w:val="20"/>
                <w:lang w:val="bg-BG"/>
              </w:rPr>
              <w:t>микро-</w:t>
            </w:r>
            <w:proofErr w:type="spellEnd"/>
            <w:r w:rsidRPr="00C61E29">
              <w:rPr>
                <w:rFonts w:ascii="Verdana" w:hAnsi="Verdana"/>
                <w:b/>
                <w:sz w:val="20"/>
                <w:lang w:val="bg-BG"/>
              </w:rPr>
              <w:t>, малките и средните предприятия (МСП)?</w:t>
            </w:r>
          </w:p>
          <w:p w:rsidR="006471B2" w:rsidRPr="00C61E29" w:rsidRDefault="004F1866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☐</w:t>
            </w:r>
            <w:r w:rsidR="006471B2" w:rsidRPr="00C61E29">
              <w:rPr>
                <w:rFonts w:ascii="Verdana" w:hAnsi="Verdana"/>
                <w:sz w:val="20"/>
                <w:lang w:val="bg-BG"/>
              </w:rPr>
              <w:t>Актът засяга пряко МСП</w:t>
            </w:r>
          </w:p>
          <w:p w:rsidR="006471B2" w:rsidRPr="00C61E29" w:rsidRDefault="004F1866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☐</w:t>
            </w:r>
            <w:r w:rsidR="006471B2" w:rsidRPr="00C61E29">
              <w:rPr>
                <w:rFonts w:ascii="Verdana" w:hAnsi="Verdana"/>
                <w:sz w:val="20"/>
                <w:lang w:val="bg-BG"/>
              </w:rPr>
              <w:t>Актът не засяга МСП</w:t>
            </w:r>
          </w:p>
          <w:p w:rsidR="00C5697A" w:rsidRPr="00C61E29" w:rsidRDefault="004F1866" w:rsidP="004F1866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☒</w:t>
            </w:r>
            <w:r w:rsidR="006471B2" w:rsidRPr="00C61E29">
              <w:rPr>
                <w:rFonts w:ascii="Verdana" w:hAnsi="Verdana"/>
                <w:sz w:val="20"/>
                <w:lang w:val="bg-BG"/>
              </w:rPr>
              <w:t>Няма ефект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11.  Проектът на нормативен акт изисква ли цялостна оценка на въздействието?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☐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Да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☒</w:t>
            </w:r>
            <w:r w:rsidRPr="00C61E29">
              <w:rPr>
                <w:rFonts w:ascii="Verdana" w:eastAsia="Arial Unicode MS" w:hAnsi="Verdana" w:cs="Arial Unicode MS"/>
                <w:sz w:val="20"/>
                <w:lang w:val="bg-BG"/>
              </w:rPr>
              <w:t xml:space="preserve"> </w:t>
            </w:r>
            <w:r w:rsidRPr="00C61E29">
              <w:rPr>
                <w:rFonts w:ascii="Verdana" w:hAnsi="Verdana"/>
                <w:sz w:val="20"/>
                <w:lang w:val="bg-BG"/>
              </w:rPr>
              <w:t>Не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12. Обществени консултации: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</w:t>
            </w:r>
          </w:p>
          <w:p w:rsidR="009374B5" w:rsidRPr="00C61E29" w:rsidRDefault="00696211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sz w:val="20"/>
                <w:lang w:val="bg-BG" w:eastAsia="bg-BG"/>
              </w:rPr>
              <w:t>Проектът</w:t>
            </w:r>
            <w:r w:rsidR="009374B5"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на </w:t>
            </w:r>
            <w:r w:rsidR="00F051F5" w:rsidRPr="00C61E29">
              <w:rPr>
                <w:rFonts w:ascii="Verdana" w:hAnsi="Verdana"/>
                <w:sz w:val="20"/>
                <w:lang w:val="bg-BG"/>
              </w:rPr>
              <w:t xml:space="preserve">Постановление на Министерския съвет за изменение </w:t>
            </w:r>
            <w:r w:rsidR="004F1866" w:rsidRPr="00C61E29">
              <w:rPr>
                <w:rFonts w:ascii="Verdana" w:hAnsi="Verdana"/>
                <w:sz w:val="20"/>
                <w:lang w:val="bg-BG"/>
              </w:rPr>
              <w:t>на Правилника за прилагане на Закона за Националната служба за охрана</w:t>
            </w:r>
            <w:r w:rsidR="00F051F5" w:rsidRPr="00C61E29">
              <w:rPr>
                <w:rFonts w:ascii="Verdana" w:hAnsi="Verdana"/>
                <w:sz w:val="20"/>
                <w:lang w:val="bg-BG"/>
              </w:rPr>
              <w:t xml:space="preserve">, доклада към него, частичната предварителна оценка на въздействието и становището на дирекция „Модернизация на администрацията“ при Министерския съвет </w:t>
            </w:r>
            <w:r w:rsidR="00F051F5" w:rsidRPr="00C61E29">
              <w:rPr>
                <w:rFonts w:ascii="Verdana" w:hAnsi="Verdana" w:cs="Verdana"/>
                <w:sz w:val="20"/>
                <w:lang w:val="bg-BG" w:eastAsia="bg-BG"/>
              </w:rPr>
              <w:t>ще бъдат</w:t>
            </w:r>
            <w:r w:rsidR="009374B5"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публикуван</w:t>
            </w:r>
            <w:r w:rsidR="00F051F5" w:rsidRPr="00C61E29">
              <w:rPr>
                <w:rFonts w:ascii="Verdana" w:hAnsi="Verdana" w:cs="Verdana"/>
                <w:sz w:val="20"/>
                <w:lang w:val="bg-BG" w:eastAsia="bg-BG"/>
              </w:rPr>
              <w:t>и</w:t>
            </w:r>
            <w:r w:rsidR="009374B5"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на </w:t>
            </w:r>
            <w:r w:rsidR="00F051F5" w:rsidRPr="00C61E29">
              <w:rPr>
                <w:rFonts w:ascii="Verdana" w:hAnsi="Verdana" w:cs="Verdana"/>
                <w:sz w:val="20"/>
                <w:lang w:val="bg-BG" w:eastAsia="bg-BG"/>
              </w:rPr>
              <w:t>П</w:t>
            </w:r>
            <w:r w:rsidR="009374B5"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ортала за обществени консултации и на интернет страницата на </w:t>
            </w:r>
            <w:r w:rsidR="00E37A54" w:rsidRPr="00C61E29">
              <w:rPr>
                <w:rFonts w:ascii="Verdana" w:hAnsi="Verdana" w:cs="Verdana"/>
                <w:sz w:val="20"/>
                <w:lang w:val="bg-BG" w:eastAsia="bg-BG"/>
              </w:rPr>
              <w:t>Министерството на земеделието, храните и горите</w:t>
            </w:r>
            <w:r w:rsidR="009374B5"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, като на основание чл. 26, ал. 4, изр. </w:t>
            </w:r>
            <w:r w:rsidR="004F1866" w:rsidRPr="00C61E29">
              <w:rPr>
                <w:rFonts w:ascii="Verdana" w:hAnsi="Verdana" w:cs="Verdana"/>
                <w:sz w:val="20"/>
                <w:lang w:val="bg-BG" w:eastAsia="bg-BG"/>
              </w:rPr>
              <w:t>второ</w:t>
            </w:r>
            <w:r w:rsidR="009374B5"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от Закона за нормативните актове, срокът за получаване на предложения и становища е </w:t>
            </w:r>
            <w:r w:rsidR="004F1866" w:rsidRPr="00C61E29">
              <w:rPr>
                <w:rFonts w:ascii="Verdana" w:hAnsi="Verdana" w:cs="Verdana"/>
                <w:sz w:val="20"/>
                <w:lang w:val="bg-BG" w:eastAsia="bg-BG"/>
              </w:rPr>
              <w:t>14</w:t>
            </w:r>
            <w:r w:rsidR="009374B5"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дни. </w:t>
            </w:r>
          </w:p>
          <w:p w:rsidR="00286C28" w:rsidRPr="00C61E29" w:rsidRDefault="00286C28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Определянето на по-краткия срок по чл. 26, ал. 4 от ЗНА, произтича от краткия срок за изпълнение на № 764 на Министерския съвет от 2018 г. за безвъзмездно предоставяне за управление на имот – публична държавна собственост, на администрацията на Министерския съвет и на имущество – публична и частна държавна собственост, на „Югозападно държавно предприятие“ ДП – Благоевград. Съгласно т. 8 от РМС № 764 от 2018 г. предаването и приемането на имуществото – публична и частна държавна собственост, представляващо стопанство „Кричим” следва се извърши в едномесечен срок, считано от 1 ноември 2018 г. с протокол. В тази връзка е необходимо, в рамките на срока по т. 8 от  РМС № 764 от 2018 г. </w:t>
            </w:r>
            <w:r w:rsidR="00153299" w:rsidRPr="00C61E29">
              <w:rPr>
                <w:rFonts w:ascii="Verdana" w:hAnsi="Verdana" w:cs="Verdana"/>
                <w:sz w:val="20"/>
                <w:lang w:val="bg-BG" w:eastAsia="bg-BG"/>
              </w:rPr>
              <w:t>да се измени Правилника за прилагане на Закона за Националната служба за охрана, за се осигури законосъобразно регламентиране на управлението на стопанството, което е предоставено с РМС № 764 от 2018 г.  на „Югозападно държавно предприятие“ ДП – Благоевград.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>Обобщете най-важните въпроси за  консултации в случай на извършване на цялостна оценка на въздействието или за обществените консултации по чл. 26 от Закона за нормативните актове. Посочете индикативен график за тяхното провеждане и видовете консултационни процедури.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/>
                <w:b/>
                <w:sz w:val="20"/>
                <w:lang w:val="bg-BG"/>
              </w:rPr>
              <w:t>13. Приемането на нормативния акт произтича ли от правото на Европейския съюз?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☐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Да</w:t>
            </w:r>
          </w:p>
          <w:p w:rsidR="009A058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MS Gothic" w:eastAsia="MS Gothic" w:hAnsi="MS Gothic" w:cs="MS Gothic"/>
                <w:sz w:val="20"/>
                <w:lang w:val="bg-BG"/>
              </w:rPr>
              <w:t>☒</w:t>
            </w:r>
            <w:r w:rsidRPr="00C61E29">
              <w:rPr>
                <w:rFonts w:ascii="Verdana" w:hAnsi="Verdana"/>
                <w:sz w:val="20"/>
                <w:lang w:val="bg-BG"/>
              </w:rPr>
              <w:t xml:space="preserve"> Не</w:t>
            </w:r>
          </w:p>
          <w:p w:rsidR="009A0582" w:rsidRPr="00C61E29" w:rsidRDefault="009A058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sz w:val="20"/>
                <w:lang w:val="bg-BG"/>
              </w:rPr>
            </w:pPr>
            <w:r w:rsidRPr="00C61E29">
              <w:rPr>
                <w:rFonts w:ascii="Verdana" w:hAnsi="Verdana"/>
                <w:sz w:val="20"/>
                <w:lang w:val="bg-BG"/>
              </w:rPr>
              <w:t>Приемането на нормативния акт не е свързано с транспониране или прилагане на акт на институция на Европейския съюз.</w:t>
            </w:r>
          </w:p>
          <w:p w:rsidR="006471B2" w:rsidRPr="00C61E29" w:rsidRDefault="006471B2" w:rsidP="00C30580">
            <w:pPr>
              <w:spacing w:line="360" w:lineRule="auto"/>
              <w:ind w:firstLine="709"/>
              <w:jc w:val="both"/>
              <w:rPr>
                <w:rFonts w:ascii="Verdana" w:hAnsi="Verdana"/>
                <w:i/>
                <w:sz w:val="20"/>
                <w:lang w:val="bg-BG"/>
              </w:rPr>
            </w:pPr>
            <w:r w:rsidRPr="00C61E29">
              <w:rPr>
                <w:rFonts w:ascii="Verdana" w:hAnsi="Verdana"/>
                <w:i/>
                <w:sz w:val="20"/>
                <w:lang w:val="bg-BG"/>
              </w:rPr>
              <w:t>Моля посочете изискванията на правото на Европейския съюз, включително информацията по т. 8.1 и 8.2, дали е извършена оценка на въздействието на ниво Европейски съюз, и я приложете (или посочете връзка към източник).</w:t>
            </w:r>
          </w:p>
        </w:tc>
      </w:tr>
      <w:tr w:rsidR="006471B2" w:rsidRPr="00C61E29">
        <w:tc>
          <w:tcPr>
            <w:tcW w:w="9184" w:type="dxa"/>
            <w:gridSpan w:val="2"/>
            <w:shd w:val="clear" w:color="auto" w:fill="auto"/>
          </w:tcPr>
          <w:p w:rsidR="00696211" w:rsidRPr="00C61E29" w:rsidRDefault="00696211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14. Име, длъжност, дата и подпис на директора на дирекцията, отговорна за изработването на нормативния акт:</w:t>
            </w:r>
          </w:p>
          <w:p w:rsidR="00696211" w:rsidRPr="00C61E29" w:rsidRDefault="00696211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Име и длъжност: </w:t>
            </w:r>
            <w:r w:rsidR="00E37A54" w:rsidRPr="00C61E29">
              <w:rPr>
                <w:rFonts w:ascii="Verdana" w:hAnsi="Verdana" w:cs="Verdana"/>
                <w:sz w:val="20"/>
                <w:lang w:val="bg-BG" w:eastAsia="bg-BG"/>
              </w:rPr>
              <w:t>Ася Стоянова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– директор на дирекция „</w:t>
            </w:r>
            <w:r w:rsidR="00E37A54" w:rsidRPr="00C61E29">
              <w:rPr>
                <w:rFonts w:ascii="Verdana" w:hAnsi="Verdana" w:cs="Verdana"/>
                <w:sz w:val="20"/>
                <w:lang w:val="bg-BG" w:eastAsia="bg-BG"/>
              </w:rPr>
              <w:t>Правна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“, </w:t>
            </w:r>
            <w:r w:rsidR="00E37A54" w:rsidRPr="00C61E29">
              <w:rPr>
                <w:rFonts w:ascii="Verdana" w:hAnsi="Verdana" w:cs="Verdana"/>
                <w:sz w:val="20"/>
                <w:lang w:val="bg-BG" w:eastAsia="bg-BG"/>
              </w:rPr>
              <w:t>Министерство на земеделието, храните и горите</w:t>
            </w:r>
          </w:p>
          <w:p w:rsidR="00696211" w:rsidRPr="00C61E29" w:rsidRDefault="00696211" w:rsidP="00C30580">
            <w:pPr>
              <w:autoSpaceDE w:val="0"/>
              <w:autoSpaceDN w:val="0"/>
              <w:adjustRightInd w:val="0"/>
              <w:spacing w:line="360" w:lineRule="auto"/>
              <w:ind w:firstLine="709"/>
              <w:rPr>
                <w:rFonts w:ascii="Verdana" w:hAnsi="Verdana" w:cs="Verdana"/>
                <w:sz w:val="20"/>
                <w:lang w:val="bg-BG" w:eastAsia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 xml:space="preserve">Дата: </w:t>
            </w:r>
            <w:r w:rsidR="00C61E29">
              <w:rPr>
                <w:rFonts w:ascii="Verdana" w:hAnsi="Verdana" w:cs="Verdana"/>
                <w:sz w:val="20"/>
                <w:lang w:val="bg-BG" w:eastAsia="bg-BG"/>
              </w:rPr>
              <w:t>05</w:t>
            </w:r>
            <w:r w:rsidR="00133EB6" w:rsidRPr="00C61E29">
              <w:rPr>
                <w:rFonts w:ascii="Verdana" w:hAnsi="Verdana" w:cs="Verdana"/>
                <w:sz w:val="20"/>
                <w:lang w:val="bg-BG" w:eastAsia="bg-BG"/>
              </w:rPr>
              <w:t>.11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>.201</w:t>
            </w:r>
            <w:r w:rsidR="00F051F5" w:rsidRPr="00C61E29">
              <w:rPr>
                <w:rFonts w:ascii="Verdana" w:hAnsi="Verdana" w:cs="Verdana"/>
                <w:sz w:val="20"/>
                <w:lang w:val="bg-BG" w:eastAsia="bg-BG"/>
              </w:rPr>
              <w:t>8</w:t>
            </w:r>
            <w:r w:rsidRPr="00C61E29">
              <w:rPr>
                <w:rFonts w:ascii="Verdana" w:hAnsi="Verdana" w:cs="Verdana"/>
                <w:sz w:val="20"/>
                <w:lang w:val="bg-BG" w:eastAsia="bg-BG"/>
              </w:rPr>
              <w:t xml:space="preserve"> г.</w:t>
            </w:r>
          </w:p>
          <w:p w:rsidR="006471B2" w:rsidRPr="00C61E29" w:rsidRDefault="00696211" w:rsidP="00C30580">
            <w:pPr>
              <w:spacing w:line="360" w:lineRule="auto"/>
              <w:ind w:firstLine="709"/>
              <w:rPr>
                <w:rFonts w:ascii="Verdana" w:hAnsi="Verdana"/>
                <w:b/>
                <w:sz w:val="20"/>
                <w:lang w:val="bg-BG"/>
              </w:rPr>
            </w:pPr>
            <w:r w:rsidRPr="00C61E29">
              <w:rPr>
                <w:rFonts w:ascii="Verdana" w:hAnsi="Verdana" w:cs="Verdana"/>
                <w:b/>
                <w:bCs/>
                <w:sz w:val="20"/>
                <w:lang w:val="bg-BG" w:eastAsia="bg-BG"/>
              </w:rPr>
              <w:t>Подпис:</w:t>
            </w:r>
          </w:p>
        </w:tc>
      </w:tr>
    </w:tbl>
    <w:p w:rsidR="006471B2" w:rsidRPr="00C61E29" w:rsidRDefault="006471B2" w:rsidP="00C30580">
      <w:pPr>
        <w:spacing w:line="360" w:lineRule="auto"/>
        <w:ind w:firstLine="709"/>
        <w:rPr>
          <w:rFonts w:ascii="Verdana" w:hAnsi="Verdana"/>
          <w:sz w:val="20"/>
          <w:lang w:val="bg-BG"/>
        </w:rPr>
      </w:pPr>
    </w:p>
    <w:p w:rsidR="00FA0064" w:rsidRPr="00C61E29" w:rsidRDefault="00FA0064" w:rsidP="00C30580">
      <w:pPr>
        <w:spacing w:line="360" w:lineRule="auto"/>
        <w:ind w:firstLine="709"/>
        <w:rPr>
          <w:rFonts w:ascii="Verdana" w:hAnsi="Verdana"/>
          <w:sz w:val="20"/>
          <w:lang w:val="bg-BG"/>
        </w:rPr>
      </w:pPr>
    </w:p>
    <w:sectPr w:rsidR="00FA0064" w:rsidRPr="00C61E29" w:rsidSect="008431FB">
      <w:headerReference w:type="even" r:id="rId10"/>
      <w:headerReference w:type="default" r:id="rId11"/>
      <w:footerReference w:type="default" r:id="rId12"/>
      <w:pgSz w:w="11906" w:h="16838"/>
      <w:pgMar w:top="1135" w:right="1469" w:bottom="1135" w:left="1469" w:header="426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7E" w:rsidRDefault="00254D7E">
      <w:r>
        <w:separator/>
      </w:r>
    </w:p>
  </w:endnote>
  <w:endnote w:type="continuationSeparator" w:id="0">
    <w:p w:rsidR="00254D7E" w:rsidRDefault="0025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11" w:rsidRDefault="00810B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5E45">
      <w:rPr>
        <w:noProof/>
      </w:rPr>
      <w:t>2</w:t>
    </w:r>
    <w:r>
      <w:rPr>
        <w:noProof/>
      </w:rPr>
      <w:fldChar w:fldCharType="end"/>
    </w:r>
  </w:p>
  <w:p w:rsidR="00810B11" w:rsidRPr="0083568A" w:rsidRDefault="00810B11" w:rsidP="00E92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7E" w:rsidRDefault="00254D7E">
      <w:r>
        <w:separator/>
      </w:r>
    </w:p>
  </w:footnote>
  <w:footnote w:type="continuationSeparator" w:id="0">
    <w:p w:rsidR="00254D7E" w:rsidRDefault="0025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11" w:rsidRDefault="00810B11" w:rsidP="00E92C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0B11" w:rsidRDefault="00810B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B11" w:rsidRDefault="00810B11">
    <w:pPr>
      <w:pStyle w:val="Header"/>
      <w:rPr>
        <w:lang w:val="bg-BG"/>
      </w:rPr>
    </w:pPr>
  </w:p>
  <w:p w:rsidR="00810B11" w:rsidRPr="00B81B4C" w:rsidRDefault="00810B11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5EF4"/>
    <w:multiLevelType w:val="multilevel"/>
    <w:tmpl w:val="048016B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0492C18"/>
    <w:multiLevelType w:val="hybridMultilevel"/>
    <w:tmpl w:val="59EC3518"/>
    <w:lvl w:ilvl="0" w:tplc="9A5C49FA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AFF074B"/>
    <w:multiLevelType w:val="hybridMultilevel"/>
    <w:tmpl w:val="0B422600"/>
    <w:lvl w:ilvl="0" w:tplc="24622D6C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B3F674E"/>
    <w:multiLevelType w:val="hybridMultilevel"/>
    <w:tmpl w:val="80CA4F30"/>
    <w:lvl w:ilvl="0" w:tplc="01D80906">
      <w:start w:val="6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B5356C8"/>
    <w:multiLevelType w:val="hybridMultilevel"/>
    <w:tmpl w:val="1EC6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E916AD"/>
    <w:multiLevelType w:val="hybridMultilevel"/>
    <w:tmpl w:val="08367544"/>
    <w:lvl w:ilvl="0" w:tplc="34BA32FA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2"/>
    <w:rsid w:val="000028FA"/>
    <w:rsid w:val="0001177F"/>
    <w:rsid w:val="00014005"/>
    <w:rsid w:val="00017F29"/>
    <w:rsid w:val="00020247"/>
    <w:rsid w:val="000313AE"/>
    <w:rsid w:val="00033DB7"/>
    <w:rsid w:val="00037334"/>
    <w:rsid w:val="0004031E"/>
    <w:rsid w:val="00052412"/>
    <w:rsid w:val="00063C4F"/>
    <w:rsid w:val="000714AE"/>
    <w:rsid w:val="00082802"/>
    <w:rsid w:val="0008685D"/>
    <w:rsid w:val="00093044"/>
    <w:rsid w:val="000A2882"/>
    <w:rsid w:val="000A7917"/>
    <w:rsid w:val="000C0C74"/>
    <w:rsid w:val="000E0424"/>
    <w:rsid w:val="000E7C3D"/>
    <w:rsid w:val="00114057"/>
    <w:rsid w:val="00133EB6"/>
    <w:rsid w:val="00145F81"/>
    <w:rsid w:val="001463B9"/>
    <w:rsid w:val="00153299"/>
    <w:rsid w:val="001A4192"/>
    <w:rsid w:val="001B0CCB"/>
    <w:rsid w:val="001C22C9"/>
    <w:rsid w:val="001E38BB"/>
    <w:rsid w:val="001F00FE"/>
    <w:rsid w:val="002043BA"/>
    <w:rsid w:val="00212074"/>
    <w:rsid w:val="00214B8D"/>
    <w:rsid w:val="00217325"/>
    <w:rsid w:val="002222A9"/>
    <w:rsid w:val="002279C5"/>
    <w:rsid w:val="0023545E"/>
    <w:rsid w:val="00241270"/>
    <w:rsid w:val="00254D7E"/>
    <w:rsid w:val="002571A8"/>
    <w:rsid w:val="002578A6"/>
    <w:rsid w:val="002602D3"/>
    <w:rsid w:val="0026637D"/>
    <w:rsid w:val="002674D2"/>
    <w:rsid w:val="00272372"/>
    <w:rsid w:val="002736AC"/>
    <w:rsid w:val="00286C28"/>
    <w:rsid w:val="00290077"/>
    <w:rsid w:val="002A66A5"/>
    <w:rsid w:val="002B7770"/>
    <w:rsid w:val="002C0ECD"/>
    <w:rsid w:val="002D01BD"/>
    <w:rsid w:val="002D4D9C"/>
    <w:rsid w:val="002E291E"/>
    <w:rsid w:val="002E5491"/>
    <w:rsid w:val="002E71FC"/>
    <w:rsid w:val="002F65C7"/>
    <w:rsid w:val="00303CB7"/>
    <w:rsid w:val="00331FA5"/>
    <w:rsid w:val="00336B3C"/>
    <w:rsid w:val="0034549C"/>
    <w:rsid w:val="0036180C"/>
    <w:rsid w:val="00377F38"/>
    <w:rsid w:val="00381F31"/>
    <w:rsid w:val="003877A9"/>
    <w:rsid w:val="003B20A5"/>
    <w:rsid w:val="003B33E1"/>
    <w:rsid w:val="003B3AB3"/>
    <w:rsid w:val="003B6252"/>
    <w:rsid w:val="003C0CB3"/>
    <w:rsid w:val="003D6FFE"/>
    <w:rsid w:val="003E16DC"/>
    <w:rsid w:val="003F06EE"/>
    <w:rsid w:val="003F49D4"/>
    <w:rsid w:val="00412A78"/>
    <w:rsid w:val="00413EC6"/>
    <w:rsid w:val="004164E4"/>
    <w:rsid w:val="00420670"/>
    <w:rsid w:val="00422644"/>
    <w:rsid w:val="004319C8"/>
    <w:rsid w:val="00434020"/>
    <w:rsid w:val="004458B7"/>
    <w:rsid w:val="00446585"/>
    <w:rsid w:val="00447586"/>
    <w:rsid w:val="004534EC"/>
    <w:rsid w:val="00454422"/>
    <w:rsid w:val="0046071E"/>
    <w:rsid w:val="004634FA"/>
    <w:rsid w:val="00490E72"/>
    <w:rsid w:val="00492018"/>
    <w:rsid w:val="0049566B"/>
    <w:rsid w:val="004A1129"/>
    <w:rsid w:val="004A4BC1"/>
    <w:rsid w:val="004B1FF8"/>
    <w:rsid w:val="004B5E61"/>
    <w:rsid w:val="004C2BAF"/>
    <w:rsid w:val="004F1866"/>
    <w:rsid w:val="004F494A"/>
    <w:rsid w:val="0050188D"/>
    <w:rsid w:val="005069B5"/>
    <w:rsid w:val="00543B88"/>
    <w:rsid w:val="005459A3"/>
    <w:rsid w:val="00551059"/>
    <w:rsid w:val="00563FFE"/>
    <w:rsid w:val="00566567"/>
    <w:rsid w:val="0057162B"/>
    <w:rsid w:val="005762A8"/>
    <w:rsid w:val="00594779"/>
    <w:rsid w:val="005B1E42"/>
    <w:rsid w:val="005B68D2"/>
    <w:rsid w:val="005C426A"/>
    <w:rsid w:val="005C4AC0"/>
    <w:rsid w:val="005C7119"/>
    <w:rsid w:val="005C7646"/>
    <w:rsid w:val="005C7734"/>
    <w:rsid w:val="005D5AF7"/>
    <w:rsid w:val="00610012"/>
    <w:rsid w:val="006471B2"/>
    <w:rsid w:val="00656FDC"/>
    <w:rsid w:val="00657AB1"/>
    <w:rsid w:val="00685F99"/>
    <w:rsid w:val="0068623E"/>
    <w:rsid w:val="00686245"/>
    <w:rsid w:val="0069134D"/>
    <w:rsid w:val="006929D0"/>
    <w:rsid w:val="00696211"/>
    <w:rsid w:val="006B1AFA"/>
    <w:rsid w:val="006C664D"/>
    <w:rsid w:val="006D70FF"/>
    <w:rsid w:val="006E3AB8"/>
    <w:rsid w:val="006E6F60"/>
    <w:rsid w:val="006F0CFD"/>
    <w:rsid w:val="006F5A68"/>
    <w:rsid w:val="00717ED5"/>
    <w:rsid w:val="00720AE7"/>
    <w:rsid w:val="007321AD"/>
    <w:rsid w:val="00735331"/>
    <w:rsid w:val="00742543"/>
    <w:rsid w:val="007441DC"/>
    <w:rsid w:val="00745D24"/>
    <w:rsid w:val="00747201"/>
    <w:rsid w:val="00752C95"/>
    <w:rsid w:val="00756FA9"/>
    <w:rsid w:val="007677CC"/>
    <w:rsid w:val="00772E68"/>
    <w:rsid w:val="00773738"/>
    <w:rsid w:val="00791641"/>
    <w:rsid w:val="00795AA4"/>
    <w:rsid w:val="00796F24"/>
    <w:rsid w:val="00797423"/>
    <w:rsid w:val="00797B2C"/>
    <w:rsid w:val="007A32A6"/>
    <w:rsid w:val="007A789C"/>
    <w:rsid w:val="007B1B00"/>
    <w:rsid w:val="007C7A68"/>
    <w:rsid w:val="007D1095"/>
    <w:rsid w:val="007D1DAC"/>
    <w:rsid w:val="007E4CDE"/>
    <w:rsid w:val="007E60E9"/>
    <w:rsid w:val="007F1EE8"/>
    <w:rsid w:val="007F5003"/>
    <w:rsid w:val="00803134"/>
    <w:rsid w:val="00810B11"/>
    <w:rsid w:val="00812D1B"/>
    <w:rsid w:val="0081488B"/>
    <w:rsid w:val="008431FB"/>
    <w:rsid w:val="0084653E"/>
    <w:rsid w:val="00854070"/>
    <w:rsid w:val="008556B3"/>
    <w:rsid w:val="00861AA1"/>
    <w:rsid w:val="008641D0"/>
    <w:rsid w:val="00871FD0"/>
    <w:rsid w:val="00873256"/>
    <w:rsid w:val="00890CB2"/>
    <w:rsid w:val="00891BB0"/>
    <w:rsid w:val="008A0EFD"/>
    <w:rsid w:val="008A1321"/>
    <w:rsid w:val="008A5BC8"/>
    <w:rsid w:val="008A5E69"/>
    <w:rsid w:val="008C0540"/>
    <w:rsid w:val="008C25AC"/>
    <w:rsid w:val="008C5A79"/>
    <w:rsid w:val="008D141F"/>
    <w:rsid w:val="008E3C31"/>
    <w:rsid w:val="008E43BB"/>
    <w:rsid w:val="008E6F32"/>
    <w:rsid w:val="008F1372"/>
    <w:rsid w:val="008F159A"/>
    <w:rsid w:val="008F50FA"/>
    <w:rsid w:val="008F6FF1"/>
    <w:rsid w:val="008F7319"/>
    <w:rsid w:val="00903292"/>
    <w:rsid w:val="009120B3"/>
    <w:rsid w:val="00913B8D"/>
    <w:rsid w:val="00916A97"/>
    <w:rsid w:val="009210E9"/>
    <w:rsid w:val="00921C24"/>
    <w:rsid w:val="00931492"/>
    <w:rsid w:val="00932673"/>
    <w:rsid w:val="009338F6"/>
    <w:rsid w:val="009374B5"/>
    <w:rsid w:val="00940CF4"/>
    <w:rsid w:val="00944331"/>
    <w:rsid w:val="00953D96"/>
    <w:rsid w:val="00956A35"/>
    <w:rsid w:val="00965BFE"/>
    <w:rsid w:val="00976202"/>
    <w:rsid w:val="00983FAD"/>
    <w:rsid w:val="00990009"/>
    <w:rsid w:val="00991D7F"/>
    <w:rsid w:val="009A0582"/>
    <w:rsid w:val="009A14B2"/>
    <w:rsid w:val="009A6BC6"/>
    <w:rsid w:val="009A7C24"/>
    <w:rsid w:val="009B5B86"/>
    <w:rsid w:val="009C14C7"/>
    <w:rsid w:val="009C40F2"/>
    <w:rsid w:val="009D53C5"/>
    <w:rsid w:val="009E4F96"/>
    <w:rsid w:val="009F0A69"/>
    <w:rsid w:val="009F3A29"/>
    <w:rsid w:val="00A03D65"/>
    <w:rsid w:val="00A05852"/>
    <w:rsid w:val="00A11118"/>
    <w:rsid w:val="00A3665C"/>
    <w:rsid w:val="00A4017B"/>
    <w:rsid w:val="00A462C0"/>
    <w:rsid w:val="00A549BE"/>
    <w:rsid w:val="00A649A2"/>
    <w:rsid w:val="00A66D91"/>
    <w:rsid w:val="00A81DD4"/>
    <w:rsid w:val="00A84000"/>
    <w:rsid w:val="00A93478"/>
    <w:rsid w:val="00AB0E53"/>
    <w:rsid w:val="00AB2622"/>
    <w:rsid w:val="00AB2659"/>
    <w:rsid w:val="00AC421B"/>
    <w:rsid w:val="00AD0534"/>
    <w:rsid w:val="00AD0592"/>
    <w:rsid w:val="00AD457F"/>
    <w:rsid w:val="00AE2309"/>
    <w:rsid w:val="00AF5485"/>
    <w:rsid w:val="00B03F3F"/>
    <w:rsid w:val="00B0576F"/>
    <w:rsid w:val="00B25342"/>
    <w:rsid w:val="00B43859"/>
    <w:rsid w:val="00B50ED2"/>
    <w:rsid w:val="00B67AB0"/>
    <w:rsid w:val="00B7343A"/>
    <w:rsid w:val="00B761DD"/>
    <w:rsid w:val="00B81245"/>
    <w:rsid w:val="00B83AD9"/>
    <w:rsid w:val="00B90D7E"/>
    <w:rsid w:val="00B954C1"/>
    <w:rsid w:val="00BA059B"/>
    <w:rsid w:val="00BB5B63"/>
    <w:rsid w:val="00BC5EAA"/>
    <w:rsid w:val="00BF220F"/>
    <w:rsid w:val="00BF34C3"/>
    <w:rsid w:val="00BF3A7B"/>
    <w:rsid w:val="00C17AEA"/>
    <w:rsid w:val="00C23D01"/>
    <w:rsid w:val="00C279F7"/>
    <w:rsid w:val="00C30580"/>
    <w:rsid w:val="00C33E4C"/>
    <w:rsid w:val="00C4408F"/>
    <w:rsid w:val="00C53FD4"/>
    <w:rsid w:val="00C5697A"/>
    <w:rsid w:val="00C61E29"/>
    <w:rsid w:val="00C80EED"/>
    <w:rsid w:val="00C811F4"/>
    <w:rsid w:val="00C86CB1"/>
    <w:rsid w:val="00CD023E"/>
    <w:rsid w:val="00CD196A"/>
    <w:rsid w:val="00CD72D6"/>
    <w:rsid w:val="00CD7B37"/>
    <w:rsid w:val="00CE0491"/>
    <w:rsid w:val="00CE100F"/>
    <w:rsid w:val="00CE6694"/>
    <w:rsid w:val="00CE75F2"/>
    <w:rsid w:val="00CF1FC6"/>
    <w:rsid w:val="00D000B7"/>
    <w:rsid w:val="00D10B1C"/>
    <w:rsid w:val="00D11888"/>
    <w:rsid w:val="00D12B78"/>
    <w:rsid w:val="00D20654"/>
    <w:rsid w:val="00D20787"/>
    <w:rsid w:val="00D31758"/>
    <w:rsid w:val="00D33101"/>
    <w:rsid w:val="00D34071"/>
    <w:rsid w:val="00D36FE0"/>
    <w:rsid w:val="00D41DBF"/>
    <w:rsid w:val="00D435E7"/>
    <w:rsid w:val="00D6156A"/>
    <w:rsid w:val="00D72CF6"/>
    <w:rsid w:val="00DA1DDC"/>
    <w:rsid w:val="00DA2AB6"/>
    <w:rsid w:val="00DA5C7F"/>
    <w:rsid w:val="00DC2F49"/>
    <w:rsid w:val="00DC6585"/>
    <w:rsid w:val="00DD07CA"/>
    <w:rsid w:val="00DF6CFB"/>
    <w:rsid w:val="00DF7879"/>
    <w:rsid w:val="00E3257C"/>
    <w:rsid w:val="00E348D8"/>
    <w:rsid w:val="00E37A54"/>
    <w:rsid w:val="00E43E75"/>
    <w:rsid w:val="00E45F6D"/>
    <w:rsid w:val="00E92CAB"/>
    <w:rsid w:val="00E973E8"/>
    <w:rsid w:val="00EA25C7"/>
    <w:rsid w:val="00EB4A8C"/>
    <w:rsid w:val="00EB51CB"/>
    <w:rsid w:val="00EB65B1"/>
    <w:rsid w:val="00EB70CB"/>
    <w:rsid w:val="00EC07AB"/>
    <w:rsid w:val="00EC7AFF"/>
    <w:rsid w:val="00EF7405"/>
    <w:rsid w:val="00F051F5"/>
    <w:rsid w:val="00F11E90"/>
    <w:rsid w:val="00F22E93"/>
    <w:rsid w:val="00F26290"/>
    <w:rsid w:val="00F43EBC"/>
    <w:rsid w:val="00F52DDE"/>
    <w:rsid w:val="00F90994"/>
    <w:rsid w:val="00F90CBF"/>
    <w:rsid w:val="00FA0064"/>
    <w:rsid w:val="00FA06D9"/>
    <w:rsid w:val="00FA5E45"/>
    <w:rsid w:val="00FB30B1"/>
    <w:rsid w:val="00FB694D"/>
    <w:rsid w:val="00FB7D70"/>
    <w:rsid w:val="00FC483A"/>
    <w:rsid w:val="00FC6193"/>
    <w:rsid w:val="00FD6F52"/>
    <w:rsid w:val="00FE26C1"/>
    <w:rsid w:val="00FE3194"/>
    <w:rsid w:val="00FE477D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5A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71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471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1B2"/>
  </w:style>
  <w:style w:type="character" w:customStyle="1" w:styleId="FooterChar">
    <w:name w:val="Footer Char"/>
    <w:link w:val="Footer"/>
    <w:locked/>
    <w:rsid w:val="006471B2"/>
    <w:rPr>
      <w:rFonts w:ascii="Hebar" w:hAnsi="Hebar"/>
      <w:sz w:val="24"/>
      <w:lang w:val="en-GB" w:eastAsia="en-US" w:bidi="ar-SA"/>
    </w:rPr>
  </w:style>
  <w:style w:type="paragraph" w:customStyle="1" w:styleId="CharCharCharCharCharCharCharCharCharChar">
    <w:name w:val="Char Char Char Char Char Char Char Char Char Char"/>
    <w:basedOn w:val="Normal"/>
    <w:rsid w:val="00A649A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EC0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07AB"/>
    <w:rPr>
      <w:rFonts w:ascii="Tahoma" w:hAnsi="Tahoma" w:cs="Tahoma"/>
      <w:sz w:val="16"/>
      <w:szCs w:val="16"/>
      <w:lang w:val="en-GB"/>
    </w:rPr>
  </w:style>
  <w:style w:type="character" w:customStyle="1" w:styleId="gmailmsg">
    <w:name w:val="gmailmsg"/>
    <w:rsid w:val="00C23D01"/>
  </w:style>
  <w:style w:type="paragraph" w:customStyle="1" w:styleId="CharCharCharCharCharCharCharChar">
    <w:name w:val="Char Char Char Char Char Char Char Char"/>
    <w:basedOn w:val="Normal"/>
    <w:rsid w:val="008A1321"/>
    <w:rPr>
      <w:lang w:val="pl-PL" w:eastAsia="pl-PL"/>
    </w:rPr>
  </w:style>
  <w:style w:type="character" w:customStyle="1" w:styleId="samedocreference1">
    <w:name w:val="samedocreference1"/>
    <w:rsid w:val="00B7343A"/>
    <w:rPr>
      <w:i w:val="0"/>
      <w:iCs w:val="0"/>
      <w:color w:val="8B0000"/>
      <w:u w:val="single"/>
    </w:rPr>
  </w:style>
  <w:style w:type="paragraph" w:customStyle="1" w:styleId="doc-ti">
    <w:name w:val="doc-ti"/>
    <w:basedOn w:val="Normal"/>
    <w:rsid w:val="007B1B00"/>
    <w:pPr>
      <w:spacing w:before="100" w:beforeAutospacing="1" w:after="100" w:afterAutospacing="1"/>
    </w:pPr>
  </w:style>
  <w:style w:type="character" w:styleId="Hyperlink">
    <w:name w:val="Hyperlink"/>
    <w:rsid w:val="00EB51CB"/>
    <w:rPr>
      <w:color w:val="0563C1"/>
      <w:u w:val="single"/>
    </w:rPr>
  </w:style>
  <w:style w:type="character" w:customStyle="1" w:styleId="search22">
    <w:name w:val="search22"/>
    <w:rsid w:val="004B5E61"/>
    <w:rPr>
      <w:shd w:val="clear" w:color="auto" w:fill="FF9999"/>
    </w:rPr>
  </w:style>
  <w:style w:type="character" w:customStyle="1" w:styleId="a">
    <w:name w:val="Основной текст_"/>
    <w:link w:val="a0"/>
    <w:rsid w:val="00991D7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91D7F"/>
    <w:pPr>
      <w:widowControl w:val="0"/>
      <w:shd w:val="clear" w:color="auto" w:fill="FFFFFF"/>
      <w:spacing w:before="180" w:line="241" w:lineRule="exact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search12">
    <w:name w:val="search12"/>
    <w:rsid w:val="008A5BC8"/>
    <w:rPr>
      <w:shd w:val="clear" w:color="auto" w:fill="99FF99"/>
    </w:rPr>
  </w:style>
  <w:style w:type="character" w:customStyle="1" w:styleId="search32">
    <w:name w:val="search32"/>
    <w:rsid w:val="008A5BC8"/>
    <w:rPr>
      <w:shd w:val="clear" w:color="auto" w:fill="EBBE51"/>
    </w:rPr>
  </w:style>
  <w:style w:type="character" w:styleId="CommentReference">
    <w:name w:val="annotation reference"/>
    <w:basedOn w:val="DefaultParagraphFont"/>
    <w:rsid w:val="007425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2543"/>
  </w:style>
  <w:style w:type="paragraph" w:styleId="CommentSubject">
    <w:name w:val="annotation subject"/>
    <w:basedOn w:val="CommentText"/>
    <w:next w:val="CommentText"/>
    <w:link w:val="CommentSubjectChar"/>
    <w:rsid w:val="0074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5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5A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71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6471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71B2"/>
  </w:style>
  <w:style w:type="character" w:customStyle="1" w:styleId="FooterChar">
    <w:name w:val="Footer Char"/>
    <w:link w:val="Footer"/>
    <w:locked/>
    <w:rsid w:val="006471B2"/>
    <w:rPr>
      <w:rFonts w:ascii="Hebar" w:hAnsi="Hebar"/>
      <w:sz w:val="24"/>
      <w:lang w:val="en-GB" w:eastAsia="en-US" w:bidi="ar-SA"/>
    </w:rPr>
  </w:style>
  <w:style w:type="paragraph" w:customStyle="1" w:styleId="CharCharCharCharCharCharCharCharCharChar">
    <w:name w:val="Char Char Char Char Char Char Char Char Char Char"/>
    <w:basedOn w:val="Normal"/>
    <w:rsid w:val="00A649A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EC0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07AB"/>
    <w:rPr>
      <w:rFonts w:ascii="Tahoma" w:hAnsi="Tahoma" w:cs="Tahoma"/>
      <w:sz w:val="16"/>
      <w:szCs w:val="16"/>
      <w:lang w:val="en-GB"/>
    </w:rPr>
  </w:style>
  <w:style w:type="character" w:customStyle="1" w:styleId="gmailmsg">
    <w:name w:val="gmailmsg"/>
    <w:rsid w:val="00C23D01"/>
  </w:style>
  <w:style w:type="paragraph" w:customStyle="1" w:styleId="CharCharCharCharCharCharCharChar">
    <w:name w:val="Char Char Char Char Char Char Char Char"/>
    <w:basedOn w:val="Normal"/>
    <w:rsid w:val="008A1321"/>
    <w:rPr>
      <w:lang w:val="pl-PL" w:eastAsia="pl-PL"/>
    </w:rPr>
  </w:style>
  <w:style w:type="character" w:customStyle="1" w:styleId="samedocreference1">
    <w:name w:val="samedocreference1"/>
    <w:rsid w:val="00B7343A"/>
    <w:rPr>
      <w:i w:val="0"/>
      <w:iCs w:val="0"/>
      <w:color w:val="8B0000"/>
      <w:u w:val="single"/>
    </w:rPr>
  </w:style>
  <w:style w:type="paragraph" w:customStyle="1" w:styleId="doc-ti">
    <w:name w:val="doc-ti"/>
    <w:basedOn w:val="Normal"/>
    <w:rsid w:val="007B1B00"/>
    <w:pPr>
      <w:spacing w:before="100" w:beforeAutospacing="1" w:after="100" w:afterAutospacing="1"/>
    </w:pPr>
  </w:style>
  <w:style w:type="character" w:styleId="Hyperlink">
    <w:name w:val="Hyperlink"/>
    <w:rsid w:val="00EB51CB"/>
    <w:rPr>
      <w:color w:val="0563C1"/>
      <w:u w:val="single"/>
    </w:rPr>
  </w:style>
  <w:style w:type="character" w:customStyle="1" w:styleId="search22">
    <w:name w:val="search22"/>
    <w:rsid w:val="004B5E61"/>
    <w:rPr>
      <w:shd w:val="clear" w:color="auto" w:fill="FF9999"/>
    </w:rPr>
  </w:style>
  <w:style w:type="character" w:customStyle="1" w:styleId="a">
    <w:name w:val="Основной текст_"/>
    <w:link w:val="a0"/>
    <w:rsid w:val="00991D7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91D7F"/>
    <w:pPr>
      <w:widowControl w:val="0"/>
      <w:shd w:val="clear" w:color="auto" w:fill="FFFFFF"/>
      <w:spacing w:before="180" w:line="241" w:lineRule="exact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search12">
    <w:name w:val="search12"/>
    <w:rsid w:val="008A5BC8"/>
    <w:rPr>
      <w:shd w:val="clear" w:color="auto" w:fill="99FF99"/>
    </w:rPr>
  </w:style>
  <w:style w:type="character" w:customStyle="1" w:styleId="search32">
    <w:name w:val="search32"/>
    <w:rsid w:val="008A5BC8"/>
    <w:rPr>
      <w:shd w:val="clear" w:color="auto" w:fill="EBBE51"/>
    </w:rPr>
  </w:style>
  <w:style w:type="character" w:styleId="CommentReference">
    <w:name w:val="annotation reference"/>
    <w:basedOn w:val="DefaultParagraphFont"/>
    <w:rsid w:val="007425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2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2543"/>
  </w:style>
  <w:style w:type="paragraph" w:styleId="CommentSubject">
    <w:name w:val="annotation subject"/>
    <w:basedOn w:val="CommentText"/>
    <w:next w:val="CommentText"/>
    <w:link w:val="CommentSubjectChar"/>
    <w:rsid w:val="0074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2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7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1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Bozhilova@mzh.government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37F4-738C-454E-9E3F-C0C6FC7E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mzh</Company>
  <LinksUpToDate>false</LinksUpToDate>
  <CharactersWithSpaces>15446</CharactersWithSpaces>
  <SharedDoc>false</SharedDoc>
  <HLinks>
    <vt:vector size="6" baseType="variant">
      <vt:variant>
        <vt:i4>983166</vt:i4>
      </vt:variant>
      <vt:variant>
        <vt:i4>0</vt:i4>
      </vt:variant>
      <vt:variant>
        <vt:i4>0</vt:i4>
      </vt:variant>
      <vt:variant>
        <vt:i4>5</vt:i4>
      </vt:variant>
      <vt:variant>
        <vt:lpwstr>mailto:SBozhilova@mzh.government.bg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dfileva</dc:creator>
  <cp:lastModifiedBy>Simona Bozhilova</cp:lastModifiedBy>
  <cp:revision>9</cp:revision>
  <cp:lastPrinted>2018-11-05T10:38:00Z</cp:lastPrinted>
  <dcterms:created xsi:type="dcterms:W3CDTF">2018-11-05T09:34:00Z</dcterms:created>
  <dcterms:modified xsi:type="dcterms:W3CDTF">2018-11-05T10:38:00Z</dcterms:modified>
</cp:coreProperties>
</file>