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EC27B2">
      <w:pPr>
        <w:ind w:left="-851" w:hanging="1"/>
        <w:jc w:val="both"/>
        <w:rPr>
          <w:b/>
          <w:i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E4230F">
        <w:rPr>
          <w:b/>
          <w:i/>
        </w:rPr>
        <w:t>т Румен Георгиев</w:t>
      </w:r>
      <w:r w:rsidRPr="000D6231">
        <w:rPr>
          <w:b/>
          <w:i/>
        </w:rPr>
        <w:t xml:space="preserve"> – н</w:t>
      </w:r>
      <w:r w:rsidR="00034A41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1C1E54">
        <w:rPr>
          <w:b/>
          <w:i/>
        </w:rPr>
        <w:t>о структурата на стойността на брутната продукция от отрасъл „Селско стопанство“ за периода 2014-2016 г., %</w:t>
      </w:r>
    </w:p>
    <w:p w:rsidR="00FC2F56" w:rsidRPr="001C1E54" w:rsidRDefault="00FC2F56" w:rsidP="00EC27B2">
      <w:pPr>
        <w:ind w:left="-851" w:hanging="1"/>
        <w:jc w:val="both"/>
        <w:rPr>
          <w:b/>
          <w:i/>
          <w:lang w:val="en-US"/>
        </w:rPr>
      </w:pPr>
    </w:p>
    <w:p w:rsidR="00D756F5" w:rsidRPr="00FC2F56" w:rsidRDefault="00FC2F56" w:rsidP="00D756F5">
      <w:pPr>
        <w:spacing w:line="360" w:lineRule="auto"/>
        <w:ind w:left="-851" w:hanging="1"/>
        <w:jc w:val="both"/>
        <w:rPr>
          <w:rFonts w:eastAsiaTheme="minorHAnsi"/>
          <w:b/>
          <w:sz w:val="32"/>
          <w:szCs w:val="32"/>
        </w:rPr>
      </w:pPr>
      <w:r w:rsidRPr="00FC2F56">
        <w:rPr>
          <w:b/>
          <w:sz w:val="32"/>
          <w:szCs w:val="32"/>
        </w:rPr>
        <w:t>Уважаема госпожо Председател, уважаеми дами и господа!</w:t>
      </w:r>
    </w:p>
    <w:p w:rsidR="00D756F5" w:rsidRPr="00FC2F56" w:rsidRDefault="00D756F5" w:rsidP="00D756F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FC2F56">
        <w:rPr>
          <w:rFonts w:eastAsiaTheme="minorHAnsi"/>
          <w:sz w:val="32"/>
          <w:szCs w:val="32"/>
        </w:rPr>
        <w:t xml:space="preserve">Съгласно прогнозните данни за икономическите сметки в отрасъл „Селско стопанство“ на Националния статистически институт за 2017 г., публикувани през м. февруари тази година, делът на „Растениевъдството“ в брутната продукция от отрасъл „Селско стопанство“ е 66,6%, на „Животновъдството“ – 24,5%, на селскостопанските услуги – 6,0% и на неселскостопанските неотделими второстепенни дейности – 2,9%. Спрямо предходната година се отчита нарастване на дела на подотрасъл „Животновъдство“ - от 23,6% на 24,5% и съответно намаление на дела на растениевъдния подотрасъл – от 67,7% на 66,6%. </w:t>
      </w:r>
    </w:p>
    <w:p w:rsidR="00AF273B" w:rsidRPr="002604D7" w:rsidRDefault="00D756F5" w:rsidP="00AF273B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</w:rPr>
      </w:pPr>
      <w:r w:rsidRPr="00D756F5">
        <w:rPr>
          <w:rFonts w:eastAsiaTheme="minorHAnsi"/>
          <w:sz w:val="32"/>
          <w:szCs w:val="32"/>
        </w:rPr>
        <w:t xml:space="preserve">На този етап </w:t>
      </w:r>
      <w:r w:rsidRPr="00D756F5">
        <w:rPr>
          <w:rFonts w:eastAsiaTheme="minorHAnsi"/>
          <w:sz w:val="32"/>
          <w:szCs w:val="32"/>
          <w:u w:val="single"/>
        </w:rPr>
        <w:t>няма налични прогнозни данни за 2018 г.</w:t>
      </w:r>
      <w:r w:rsidRPr="00D756F5">
        <w:rPr>
          <w:rFonts w:eastAsiaTheme="minorHAnsi"/>
          <w:sz w:val="32"/>
          <w:szCs w:val="32"/>
        </w:rPr>
        <w:t xml:space="preserve"> по отношение на икономическите сметки за селското стопанство. Предвид спецификата на селскостопанското производство и по-специално дългия производствен цикъл в растениевъдството не би могло на този етап да бъде направено показателно сравнение между приноса на двата подотрасъла</w:t>
      </w:r>
      <w:r w:rsidR="002604D7">
        <w:rPr>
          <w:rFonts w:eastAsiaTheme="minorHAnsi"/>
          <w:sz w:val="32"/>
          <w:szCs w:val="32"/>
        </w:rPr>
        <w:t xml:space="preserve"> за 2018 г.</w:t>
      </w:r>
    </w:p>
    <w:p w:rsidR="00D756F5" w:rsidRPr="00D756F5" w:rsidRDefault="00D756F5" w:rsidP="00D756F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D756F5">
        <w:rPr>
          <w:rFonts w:eastAsiaTheme="minorHAnsi"/>
          <w:sz w:val="32"/>
          <w:szCs w:val="32"/>
        </w:rPr>
        <w:t xml:space="preserve">Действително, икономическите показатели сочат, че са налице трайно оформили се диспропорции в развитието на двата подотрасъла на земеделието, поради което потенциалът на целия отрасъл не може да се реализира в пълна степен. Влияние за това оказва натрупването на множество фактори както от по-далечното минало в годините на прехода, така и през  последното десетилетие. </w:t>
      </w:r>
    </w:p>
    <w:p w:rsidR="00D756F5" w:rsidRPr="00D756F5" w:rsidRDefault="00D756F5" w:rsidP="00D756F5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</w:rPr>
      </w:pPr>
      <w:r w:rsidRPr="00D756F5">
        <w:rPr>
          <w:rFonts w:eastAsiaTheme="minorHAnsi"/>
          <w:sz w:val="32"/>
          <w:szCs w:val="32"/>
        </w:rPr>
        <w:t>Присъединяването към ЕС осигури редица стимули и възможности за развитието на селското стопанство, но същевременно прилагането на някои от механизмите за подкрепа</w:t>
      </w:r>
      <w:r w:rsidR="004C1860">
        <w:rPr>
          <w:rFonts w:eastAsiaTheme="minorHAnsi"/>
          <w:sz w:val="32"/>
          <w:szCs w:val="32"/>
        </w:rPr>
        <w:t xml:space="preserve">, особено </w:t>
      </w:r>
      <w:r w:rsidRPr="00D756F5">
        <w:rPr>
          <w:rFonts w:eastAsiaTheme="minorHAnsi"/>
          <w:sz w:val="32"/>
          <w:szCs w:val="32"/>
        </w:rPr>
        <w:t xml:space="preserve">директните плащания на площ, оказа противоречиво въздействие върху отрасъла. Съществен ръст постигнаха </w:t>
      </w:r>
      <w:r w:rsidR="00293DAA">
        <w:rPr>
          <w:rFonts w:eastAsiaTheme="minorHAnsi"/>
          <w:sz w:val="32"/>
          <w:szCs w:val="32"/>
        </w:rPr>
        <w:t>„</w:t>
      </w:r>
      <w:r w:rsidRPr="00D756F5">
        <w:rPr>
          <w:rFonts w:eastAsiaTheme="minorHAnsi"/>
          <w:sz w:val="32"/>
          <w:szCs w:val="32"/>
        </w:rPr>
        <w:t>Зърнопроизводството</w:t>
      </w:r>
      <w:r w:rsidR="00293DAA">
        <w:rPr>
          <w:rFonts w:eastAsiaTheme="minorHAnsi"/>
          <w:sz w:val="32"/>
          <w:szCs w:val="32"/>
        </w:rPr>
        <w:t>“</w:t>
      </w:r>
      <w:r w:rsidRPr="00D756F5">
        <w:rPr>
          <w:rFonts w:eastAsiaTheme="minorHAnsi"/>
          <w:sz w:val="32"/>
          <w:szCs w:val="32"/>
        </w:rPr>
        <w:t xml:space="preserve"> и </w:t>
      </w:r>
      <w:r w:rsidR="00293DAA">
        <w:rPr>
          <w:rFonts w:eastAsiaTheme="minorHAnsi"/>
          <w:sz w:val="32"/>
          <w:szCs w:val="32"/>
        </w:rPr>
        <w:t>„</w:t>
      </w:r>
      <w:r w:rsidRPr="00D756F5">
        <w:rPr>
          <w:rFonts w:eastAsiaTheme="minorHAnsi"/>
          <w:sz w:val="32"/>
          <w:szCs w:val="32"/>
        </w:rPr>
        <w:t xml:space="preserve">Производството на маслодайни </w:t>
      </w:r>
      <w:r w:rsidRPr="00D756F5">
        <w:rPr>
          <w:rFonts w:eastAsiaTheme="minorHAnsi"/>
          <w:sz w:val="32"/>
          <w:szCs w:val="32"/>
        </w:rPr>
        <w:lastRenderedPageBreak/>
        <w:t>култури</w:t>
      </w:r>
      <w:r w:rsidR="00293DAA">
        <w:rPr>
          <w:rFonts w:eastAsiaTheme="minorHAnsi"/>
          <w:sz w:val="32"/>
          <w:szCs w:val="32"/>
        </w:rPr>
        <w:t>“</w:t>
      </w:r>
      <w:r w:rsidRPr="00D756F5">
        <w:rPr>
          <w:rFonts w:eastAsiaTheme="minorHAnsi"/>
          <w:sz w:val="32"/>
          <w:szCs w:val="32"/>
        </w:rPr>
        <w:t xml:space="preserve">, но изостанаха подсектори като </w:t>
      </w:r>
      <w:r w:rsidR="00293DAA">
        <w:rPr>
          <w:rFonts w:eastAsiaTheme="minorHAnsi"/>
          <w:sz w:val="32"/>
          <w:szCs w:val="32"/>
        </w:rPr>
        <w:t>„</w:t>
      </w:r>
      <w:r w:rsidRPr="00D756F5">
        <w:rPr>
          <w:rFonts w:eastAsiaTheme="minorHAnsi"/>
          <w:sz w:val="32"/>
          <w:szCs w:val="32"/>
        </w:rPr>
        <w:t>Животновъдство</w:t>
      </w:r>
      <w:r w:rsidR="00293DAA">
        <w:rPr>
          <w:rFonts w:eastAsiaTheme="minorHAnsi"/>
          <w:sz w:val="32"/>
          <w:szCs w:val="32"/>
        </w:rPr>
        <w:t>“</w:t>
      </w:r>
      <w:r w:rsidRPr="00D756F5">
        <w:rPr>
          <w:rFonts w:eastAsiaTheme="minorHAnsi"/>
          <w:sz w:val="32"/>
          <w:szCs w:val="32"/>
        </w:rPr>
        <w:t xml:space="preserve"> и </w:t>
      </w:r>
      <w:r w:rsidR="00293DAA">
        <w:rPr>
          <w:rFonts w:eastAsiaTheme="minorHAnsi"/>
          <w:sz w:val="32"/>
          <w:szCs w:val="32"/>
        </w:rPr>
        <w:t>„</w:t>
      </w:r>
      <w:r w:rsidRPr="00D756F5">
        <w:rPr>
          <w:rFonts w:eastAsiaTheme="minorHAnsi"/>
          <w:sz w:val="32"/>
          <w:szCs w:val="32"/>
        </w:rPr>
        <w:t>Производство на плодове и зеленчуци</w:t>
      </w:r>
      <w:r w:rsidR="00293DAA">
        <w:rPr>
          <w:rFonts w:eastAsiaTheme="minorHAnsi"/>
          <w:sz w:val="32"/>
          <w:szCs w:val="32"/>
        </w:rPr>
        <w:t>“</w:t>
      </w:r>
      <w:r w:rsidRPr="00D756F5">
        <w:rPr>
          <w:rFonts w:eastAsiaTheme="minorHAnsi"/>
          <w:sz w:val="32"/>
          <w:szCs w:val="32"/>
        </w:rPr>
        <w:t xml:space="preserve">. Освен това членството в ЕС постави сектора в силно конкурентна среда както по отношение на производителност, качество и ефективност, така и по отношение на нивото на подкрепа с публични средства. </w:t>
      </w:r>
    </w:p>
    <w:p w:rsidR="00D756F5" w:rsidRPr="00D756F5" w:rsidRDefault="00D756F5" w:rsidP="00D756F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D756F5">
        <w:rPr>
          <w:rFonts w:eastAsiaTheme="minorHAnsi"/>
          <w:sz w:val="32"/>
          <w:szCs w:val="32"/>
        </w:rPr>
        <w:t>За да се преодолее дисбаланса между подсекторите беше направен сериозен анализ и равносметка на прилагането на инструмен</w:t>
      </w:r>
      <w:r w:rsidR="00293DAA">
        <w:rPr>
          <w:rFonts w:eastAsiaTheme="minorHAnsi"/>
          <w:sz w:val="32"/>
          <w:szCs w:val="32"/>
        </w:rPr>
        <w:t xml:space="preserve">тите и механизмите за подкрепа </w:t>
      </w:r>
      <w:r w:rsidRPr="00D756F5">
        <w:rPr>
          <w:rFonts w:eastAsiaTheme="minorHAnsi"/>
          <w:sz w:val="32"/>
          <w:szCs w:val="32"/>
        </w:rPr>
        <w:t xml:space="preserve">с европейски и национални средства. Позовавайки се на опита и грешките от предишния програмен период, за настоящия програмен период 2014 -2020 г. са предвидени значително повече стимули за подкрепа на подсекторите </w:t>
      </w:r>
      <w:r w:rsidR="00293DAA">
        <w:rPr>
          <w:rFonts w:eastAsiaTheme="minorHAnsi"/>
          <w:sz w:val="32"/>
          <w:szCs w:val="32"/>
        </w:rPr>
        <w:t>„</w:t>
      </w:r>
      <w:r w:rsidRPr="00D756F5">
        <w:rPr>
          <w:rFonts w:eastAsiaTheme="minorHAnsi"/>
          <w:sz w:val="32"/>
          <w:szCs w:val="32"/>
        </w:rPr>
        <w:t>Животновъдство</w:t>
      </w:r>
      <w:r w:rsidR="00293DAA">
        <w:rPr>
          <w:rFonts w:eastAsiaTheme="minorHAnsi"/>
          <w:sz w:val="32"/>
          <w:szCs w:val="32"/>
        </w:rPr>
        <w:t>“</w:t>
      </w:r>
      <w:r w:rsidRPr="00D756F5">
        <w:rPr>
          <w:rFonts w:eastAsiaTheme="minorHAnsi"/>
          <w:sz w:val="32"/>
          <w:szCs w:val="32"/>
        </w:rPr>
        <w:t xml:space="preserve"> и </w:t>
      </w:r>
      <w:r w:rsidR="00293DAA">
        <w:rPr>
          <w:rFonts w:eastAsiaTheme="minorHAnsi"/>
          <w:sz w:val="32"/>
          <w:szCs w:val="32"/>
        </w:rPr>
        <w:t>„</w:t>
      </w:r>
      <w:r w:rsidRPr="00D756F5">
        <w:rPr>
          <w:rFonts w:eastAsiaTheme="minorHAnsi"/>
          <w:sz w:val="32"/>
          <w:szCs w:val="32"/>
        </w:rPr>
        <w:t>Плодове и зеленчуци</w:t>
      </w:r>
      <w:r w:rsidR="00293DAA">
        <w:rPr>
          <w:rFonts w:eastAsiaTheme="minorHAnsi"/>
          <w:sz w:val="32"/>
          <w:szCs w:val="32"/>
        </w:rPr>
        <w:t>“</w:t>
      </w:r>
      <w:r w:rsidRPr="00D756F5">
        <w:rPr>
          <w:rFonts w:eastAsiaTheme="minorHAnsi"/>
          <w:sz w:val="32"/>
          <w:szCs w:val="32"/>
        </w:rPr>
        <w:t xml:space="preserve">. </w:t>
      </w:r>
    </w:p>
    <w:p w:rsidR="00D756F5" w:rsidRPr="00C92AF6" w:rsidRDefault="00D756F5" w:rsidP="00D756F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D756F5">
        <w:rPr>
          <w:rFonts w:eastAsiaTheme="minorHAnsi"/>
          <w:sz w:val="32"/>
          <w:szCs w:val="32"/>
        </w:rPr>
        <w:t xml:space="preserve">Към настоящия момент </w:t>
      </w:r>
      <w:r w:rsidR="00293DAA">
        <w:rPr>
          <w:rFonts w:eastAsiaTheme="minorHAnsi"/>
          <w:sz w:val="32"/>
          <w:szCs w:val="32"/>
        </w:rPr>
        <w:t>от страна на Министерството</w:t>
      </w:r>
      <w:r w:rsidRPr="00D756F5">
        <w:rPr>
          <w:rFonts w:eastAsiaTheme="minorHAnsi"/>
          <w:sz w:val="32"/>
          <w:szCs w:val="32"/>
        </w:rPr>
        <w:t xml:space="preserve"> се предприемат редица мерки, съобразени с възможностите на националния бюджет и рамката на интервенции, от които страната може да се възползва при прилагането на </w:t>
      </w:r>
      <w:r w:rsidR="00FF5135" w:rsidRPr="00C92AF6">
        <w:rPr>
          <w:rFonts w:eastAsiaTheme="minorHAnsi"/>
          <w:sz w:val="32"/>
          <w:szCs w:val="32"/>
        </w:rPr>
        <w:t>ОСП</w:t>
      </w:r>
      <w:r w:rsidRPr="00C92AF6">
        <w:rPr>
          <w:rFonts w:eastAsiaTheme="minorHAnsi"/>
          <w:sz w:val="32"/>
          <w:szCs w:val="32"/>
        </w:rPr>
        <w:t>.</w:t>
      </w:r>
    </w:p>
    <w:p w:rsidR="00D756F5" w:rsidRPr="00FC2F56" w:rsidRDefault="00D756F5" w:rsidP="00D756F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FC2F56">
        <w:rPr>
          <w:rFonts w:eastAsiaTheme="minorHAnsi"/>
          <w:sz w:val="32"/>
          <w:szCs w:val="32"/>
        </w:rPr>
        <w:t xml:space="preserve">С оглед подобряване на устойчивостта на уязвими и чувствителни сектори, от 2015 г. </w:t>
      </w:r>
      <w:r w:rsidR="004C2D22" w:rsidRPr="00FC2F56">
        <w:rPr>
          <w:rFonts w:eastAsiaTheme="minorHAnsi"/>
          <w:sz w:val="32"/>
          <w:szCs w:val="32"/>
        </w:rPr>
        <w:t xml:space="preserve">се </w:t>
      </w:r>
      <w:r w:rsidRPr="00FC2F56">
        <w:rPr>
          <w:rFonts w:eastAsiaTheme="minorHAnsi"/>
          <w:sz w:val="32"/>
          <w:szCs w:val="32"/>
        </w:rPr>
        <w:t xml:space="preserve">предоставя обвързана с производството подкрепа за животновъдството, производството на плодове, зеленчуци, протеинови култури и памук. Страната се възползва от максимално допустимия размер за тези средства – общо 15% от пакета за директни плащания. </w:t>
      </w:r>
      <w:r w:rsidRPr="00FC2F56">
        <w:rPr>
          <w:rFonts w:eastAsiaTheme="minorHAnsi"/>
          <w:i/>
          <w:sz w:val="32"/>
          <w:szCs w:val="32"/>
        </w:rPr>
        <w:t xml:space="preserve">За 2017 г. са предоставени 224 млн. лв. за обвързана подкрепа, от които 119 млн. лв. в животновъдството. </w:t>
      </w:r>
    </w:p>
    <w:p w:rsidR="00D756F5" w:rsidRPr="00FC2F56" w:rsidRDefault="00D756F5" w:rsidP="00D756F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FC2F56">
        <w:rPr>
          <w:rFonts w:eastAsiaTheme="minorHAnsi"/>
          <w:sz w:val="32"/>
          <w:szCs w:val="32"/>
        </w:rPr>
        <w:t>Със средства от националния бюджет се предоста</w:t>
      </w:r>
      <w:r w:rsidR="004C2D22" w:rsidRPr="00FC2F56">
        <w:rPr>
          <w:rFonts w:eastAsiaTheme="minorHAnsi"/>
          <w:sz w:val="32"/>
          <w:szCs w:val="32"/>
        </w:rPr>
        <w:t>вя преходна национална помощ за</w:t>
      </w:r>
      <w:r w:rsidRPr="00FC2F56">
        <w:rPr>
          <w:rFonts w:eastAsiaTheme="minorHAnsi"/>
          <w:sz w:val="32"/>
          <w:szCs w:val="32"/>
        </w:rPr>
        <w:t xml:space="preserve"> чувствителни </w:t>
      </w:r>
      <w:r w:rsidR="004C2D22" w:rsidRPr="00FC2F56">
        <w:rPr>
          <w:rFonts w:eastAsiaTheme="minorHAnsi"/>
          <w:sz w:val="32"/>
          <w:szCs w:val="32"/>
        </w:rPr>
        <w:t>направления</w:t>
      </w:r>
      <w:r w:rsidRPr="00FC2F56">
        <w:rPr>
          <w:rFonts w:eastAsiaTheme="minorHAnsi"/>
          <w:sz w:val="32"/>
          <w:szCs w:val="32"/>
        </w:rPr>
        <w:t xml:space="preserve"> в животновъдството – говедовъдство, овцевъдство и козевъдство</w:t>
      </w:r>
      <w:r w:rsidR="004C2D22" w:rsidRPr="00FC2F56">
        <w:rPr>
          <w:rFonts w:eastAsiaTheme="minorHAnsi"/>
          <w:sz w:val="32"/>
          <w:szCs w:val="32"/>
        </w:rPr>
        <w:t>,</w:t>
      </w:r>
      <w:r w:rsidRPr="00FC2F56">
        <w:rPr>
          <w:rFonts w:eastAsiaTheme="minorHAnsi"/>
          <w:sz w:val="32"/>
          <w:szCs w:val="32"/>
        </w:rPr>
        <w:t xml:space="preserve"> и в растениевъдството</w:t>
      </w:r>
      <w:r w:rsidR="004C2D22" w:rsidRPr="00FC2F56">
        <w:rPr>
          <w:rFonts w:eastAsiaTheme="minorHAnsi"/>
          <w:sz w:val="32"/>
          <w:szCs w:val="32"/>
        </w:rPr>
        <w:t xml:space="preserve"> - за тютюнопроизводството</w:t>
      </w:r>
      <w:r w:rsidRPr="00FC2F56">
        <w:rPr>
          <w:rFonts w:eastAsiaTheme="minorHAnsi"/>
          <w:sz w:val="32"/>
          <w:szCs w:val="32"/>
        </w:rPr>
        <w:t xml:space="preserve">. </w:t>
      </w:r>
      <w:r w:rsidR="004C2D22" w:rsidRPr="00FC2F56">
        <w:rPr>
          <w:rFonts w:eastAsiaTheme="minorHAnsi"/>
          <w:i/>
          <w:sz w:val="32"/>
          <w:szCs w:val="32"/>
        </w:rPr>
        <w:t>За</w:t>
      </w:r>
      <w:r w:rsidRPr="00FC2F56">
        <w:rPr>
          <w:rFonts w:eastAsiaTheme="minorHAnsi"/>
          <w:i/>
          <w:sz w:val="32"/>
          <w:szCs w:val="32"/>
        </w:rPr>
        <w:t xml:space="preserve"> 2017 г. </w:t>
      </w:r>
      <w:r w:rsidR="004C2D22" w:rsidRPr="00FC2F56">
        <w:rPr>
          <w:rFonts w:eastAsiaTheme="minorHAnsi"/>
          <w:i/>
          <w:sz w:val="32"/>
          <w:szCs w:val="32"/>
        </w:rPr>
        <w:t>в</w:t>
      </w:r>
      <w:r w:rsidRPr="00FC2F56">
        <w:rPr>
          <w:rFonts w:eastAsiaTheme="minorHAnsi"/>
          <w:i/>
          <w:sz w:val="32"/>
          <w:szCs w:val="32"/>
        </w:rPr>
        <w:t xml:space="preserve"> животновъдството са предоставени 75 млн. лв., а </w:t>
      </w:r>
      <w:r w:rsidR="004C2D22" w:rsidRPr="00FC2F56">
        <w:rPr>
          <w:rFonts w:eastAsiaTheme="minorHAnsi"/>
          <w:i/>
          <w:sz w:val="32"/>
          <w:szCs w:val="32"/>
        </w:rPr>
        <w:t>в</w:t>
      </w:r>
      <w:r w:rsidRPr="00FC2F56">
        <w:rPr>
          <w:rFonts w:eastAsiaTheme="minorHAnsi"/>
          <w:i/>
          <w:sz w:val="32"/>
          <w:szCs w:val="32"/>
        </w:rPr>
        <w:t xml:space="preserve"> сектор тютюн 84 млн. лв.</w:t>
      </w:r>
    </w:p>
    <w:p w:rsidR="00D756F5" w:rsidRPr="00D756F5" w:rsidRDefault="00D756F5" w:rsidP="00D756F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D756F5">
        <w:rPr>
          <w:rFonts w:eastAsiaTheme="minorHAnsi"/>
          <w:sz w:val="32"/>
          <w:szCs w:val="32"/>
        </w:rPr>
        <w:lastRenderedPageBreak/>
        <w:t>Съществено значение за повишаване на конкурентоспособността и пазарната ориентация на подсекторите на земеделието има финансова подкрепа за реализация на инвестиционни проекти чрез Програмата за ра</w:t>
      </w:r>
      <w:r w:rsidR="00C6529F">
        <w:rPr>
          <w:rFonts w:eastAsiaTheme="minorHAnsi"/>
          <w:sz w:val="32"/>
          <w:szCs w:val="32"/>
        </w:rPr>
        <w:t>звитие на селските райони</w:t>
      </w:r>
      <w:r w:rsidRPr="00D756F5">
        <w:rPr>
          <w:rFonts w:eastAsiaTheme="minorHAnsi"/>
          <w:sz w:val="32"/>
          <w:szCs w:val="32"/>
        </w:rPr>
        <w:t xml:space="preserve">.  </w:t>
      </w:r>
    </w:p>
    <w:p w:rsidR="00D756F5" w:rsidRPr="00FC2F56" w:rsidRDefault="00D756F5" w:rsidP="00C92AF6">
      <w:pPr>
        <w:spacing w:line="360" w:lineRule="auto"/>
        <w:ind w:left="-851" w:firstLine="851"/>
        <w:jc w:val="both"/>
        <w:rPr>
          <w:rFonts w:eastAsiaTheme="minorHAnsi"/>
          <w:i/>
          <w:sz w:val="32"/>
          <w:szCs w:val="32"/>
          <w:lang w:val="en-US"/>
        </w:rPr>
      </w:pPr>
      <w:r w:rsidRPr="00FC2F56">
        <w:rPr>
          <w:rFonts w:eastAsiaTheme="minorHAnsi"/>
          <w:sz w:val="32"/>
          <w:szCs w:val="32"/>
        </w:rPr>
        <w:t>Като резултат от заложените в нормативната уредба за прилагане на подмярка 4.1 „Подкрепа за инвестиции в земеделски стопанства“ критерии за подбор, даващи по-голяма тежест на проекти от приоритетни сектори и отрасли, най-голям дял от сключените договори по подмярката имат сектори „Плодове и зеленчуци” - 43%</w:t>
      </w:r>
      <w:r w:rsidR="00C92AF6" w:rsidRPr="00FC2F56">
        <w:rPr>
          <w:rFonts w:eastAsiaTheme="minorHAnsi"/>
          <w:sz w:val="32"/>
          <w:szCs w:val="32"/>
        </w:rPr>
        <w:t xml:space="preserve"> </w:t>
      </w:r>
      <w:r w:rsidRPr="00FC2F56">
        <w:rPr>
          <w:rFonts w:eastAsiaTheme="minorHAnsi"/>
          <w:sz w:val="32"/>
          <w:szCs w:val="32"/>
        </w:rPr>
        <w:t xml:space="preserve">и „Животновъдство” – 40%. </w:t>
      </w:r>
    </w:p>
    <w:p w:rsidR="00D756F5" w:rsidRPr="00FC2F56" w:rsidRDefault="00D756F5" w:rsidP="00D756F5">
      <w:pPr>
        <w:spacing w:line="360" w:lineRule="auto"/>
        <w:ind w:left="-851" w:firstLine="851"/>
        <w:jc w:val="both"/>
        <w:rPr>
          <w:sz w:val="32"/>
          <w:szCs w:val="32"/>
        </w:rPr>
      </w:pPr>
      <w:r w:rsidRPr="00FC2F56">
        <w:rPr>
          <w:rFonts w:eastAsiaTheme="minorHAnsi"/>
          <w:sz w:val="32"/>
          <w:szCs w:val="32"/>
        </w:rPr>
        <w:t>Предоставя се и подкрепа по редица схеми за държавни помощи, приоритетно насочени към животновъдството.</w:t>
      </w:r>
    </w:p>
    <w:p w:rsidR="00D756F5" w:rsidRPr="00FC2F56" w:rsidRDefault="00D756F5" w:rsidP="00C6529F">
      <w:pPr>
        <w:spacing w:line="360" w:lineRule="auto"/>
        <w:ind w:left="-851" w:firstLine="851"/>
        <w:jc w:val="both"/>
        <w:rPr>
          <w:sz w:val="32"/>
          <w:szCs w:val="32"/>
        </w:rPr>
      </w:pPr>
      <w:r w:rsidRPr="00FC2F56">
        <w:rPr>
          <w:rFonts w:eastAsiaTheme="minorHAnsi"/>
          <w:i/>
          <w:sz w:val="32"/>
          <w:szCs w:val="32"/>
        </w:rPr>
        <w:t>От изплатените 119 млн. лв. за държавни помощи през 2017 г. близо 104 млн. лв. са получени от различни поднаправления на животновъдния подотрасъл. За 2018 г. са предвидени 20% повече средства за държавни помощи в животновъдството.</w:t>
      </w:r>
    </w:p>
    <w:p w:rsidR="00986FFA" w:rsidRDefault="00986FFA" w:rsidP="00490EEF">
      <w:pPr>
        <w:jc w:val="both"/>
        <w:rPr>
          <w:b/>
          <w:sz w:val="32"/>
          <w:szCs w:val="32"/>
        </w:rPr>
      </w:pPr>
    </w:p>
    <w:p w:rsidR="004327D3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p w:rsidR="00FF5135" w:rsidRDefault="00FF5135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bookmarkStart w:id="0" w:name="_GoBack"/>
      <w:bookmarkEnd w:id="0"/>
    </w:p>
    <w:sectPr w:rsidR="00FF5135" w:rsidSect="004C1860">
      <w:pgSz w:w="11907" w:h="16839" w:code="9"/>
      <w:pgMar w:top="709" w:right="708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54AE5"/>
    <w:multiLevelType w:val="hybridMultilevel"/>
    <w:tmpl w:val="FB36D26A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">
    <w:nsid w:val="25FB3B0C"/>
    <w:multiLevelType w:val="hybridMultilevel"/>
    <w:tmpl w:val="EEF846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70048"/>
    <w:multiLevelType w:val="hybridMultilevel"/>
    <w:tmpl w:val="E28CB9F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9683722"/>
    <w:multiLevelType w:val="hybridMultilevel"/>
    <w:tmpl w:val="A2FE59A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EAE0C73"/>
    <w:multiLevelType w:val="hybridMultilevel"/>
    <w:tmpl w:val="9A622A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C0BF9"/>
    <w:multiLevelType w:val="hybridMultilevel"/>
    <w:tmpl w:val="F6A6D7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D55BF0"/>
    <w:multiLevelType w:val="hybridMultilevel"/>
    <w:tmpl w:val="A9FCB4EA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777812DF"/>
    <w:multiLevelType w:val="hybridMultilevel"/>
    <w:tmpl w:val="43EAF56C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3"/>
  </w:num>
  <w:num w:numId="5">
    <w:abstractNumId w:val="0"/>
  </w:num>
  <w:num w:numId="6">
    <w:abstractNumId w:val="11"/>
  </w:num>
  <w:num w:numId="7">
    <w:abstractNumId w:val="9"/>
  </w:num>
  <w:num w:numId="8">
    <w:abstractNumId w:val="8"/>
  </w:num>
  <w:num w:numId="9">
    <w:abstractNumId w:val="12"/>
  </w:num>
  <w:num w:numId="10">
    <w:abstractNumId w:val="10"/>
  </w:num>
  <w:num w:numId="11">
    <w:abstractNumId w:val="2"/>
  </w:num>
  <w:num w:numId="12">
    <w:abstractNumId w:val="3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12E2"/>
    <w:rsid w:val="00034A41"/>
    <w:rsid w:val="00057FED"/>
    <w:rsid w:val="00093B18"/>
    <w:rsid w:val="00096C83"/>
    <w:rsid w:val="000A5E03"/>
    <w:rsid w:val="000B1CF0"/>
    <w:rsid w:val="000D6231"/>
    <w:rsid w:val="001015A0"/>
    <w:rsid w:val="00102251"/>
    <w:rsid w:val="0011362D"/>
    <w:rsid w:val="00132B31"/>
    <w:rsid w:val="00140BEE"/>
    <w:rsid w:val="0014301A"/>
    <w:rsid w:val="001A54F1"/>
    <w:rsid w:val="001A7BC4"/>
    <w:rsid w:val="001C1E54"/>
    <w:rsid w:val="002164B3"/>
    <w:rsid w:val="0022293C"/>
    <w:rsid w:val="00234795"/>
    <w:rsid w:val="00245BA1"/>
    <w:rsid w:val="00247CC2"/>
    <w:rsid w:val="002604D7"/>
    <w:rsid w:val="00274AD2"/>
    <w:rsid w:val="00293DAA"/>
    <w:rsid w:val="002A6CAD"/>
    <w:rsid w:val="002B0567"/>
    <w:rsid w:val="002B7D42"/>
    <w:rsid w:val="002C6F42"/>
    <w:rsid w:val="002D6984"/>
    <w:rsid w:val="003043C7"/>
    <w:rsid w:val="00341A74"/>
    <w:rsid w:val="00351493"/>
    <w:rsid w:val="00360F5A"/>
    <w:rsid w:val="00377280"/>
    <w:rsid w:val="00385E2F"/>
    <w:rsid w:val="00386FD9"/>
    <w:rsid w:val="00390B33"/>
    <w:rsid w:val="003A0947"/>
    <w:rsid w:val="003E50A4"/>
    <w:rsid w:val="003F24CE"/>
    <w:rsid w:val="00404FE1"/>
    <w:rsid w:val="004327D3"/>
    <w:rsid w:val="00443240"/>
    <w:rsid w:val="0046453C"/>
    <w:rsid w:val="0047220C"/>
    <w:rsid w:val="00490EEF"/>
    <w:rsid w:val="004B07F5"/>
    <w:rsid w:val="004B7471"/>
    <w:rsid w:val="004C1860"/>
    <w:rsid w:val="004C2D22"/>
    <w:rsid w:val="004F1BAE"/>
    <w:rsid w:val="00507C5A"/>
    <w:rsid w:val="00512FFD"/>
    <w:rsid w:val="00525FB2"/>
    <w:rsid w:val="00592117"/>
    <w:rsid w:val="005A7435"/>
    <w:rsid w:val="005B1200"/>
    <w:rsid w:val="005E40BD"/>
    <w:rsid w:val="00632CB0"/>
    <w:rsid w:val="00637572"/>
    <w:rsid w:val="00683A54"/>
    <w:rsid w:val="00691676"/>
    <w:rsid w:val="006C233A"/>
    <w:rsid w:val="00707170"/>
    <w:rsid w:val="0073619F"/>
    <w:rsid w:val="00736BE8"/>
    <w:rsid w:val="00741408"/>
    <w:rsid w:val="00741891"/>
    <w:rsid w:val="00742E1C"/>
    <w:rsid w:val="00760C76"/>
    <w:rsid w:val="007C6580"/>
    <w:rsid w:val="007E2A6A"/>
    <w:rsid w:val="00840165"/>
    <w:rsid w:val="00844AA7"/>
    <w:rsid w:val="00846F20"/>
    <w:rsid w:val="0085133E"/>
    <w:rsid w:val="008645BE"/>
    <w:rsid w:val="0089789E"/>
    <w:rsid w:val="008A4738"/>
    <w:rsid w:val="008C260E"/>
    <w:rsid w:val="008E00C2"/>
    <w:rsid w:val="00946443"/>
    <w:rsid w:val="00955519"/>
    <w:rsid w:val="0096064D"/>
    <w:rsid w:val="009609B3"/>
    <w:rsid w:val="00986FFA"/>
    <w:rsid w:val="009C1E68"/>
    <w:rsid w:val="009C5C21"/>
    <w:rsid w:val="009E3CC9"/>
    <w:rsid w:val="009F7CBC"/>
    <w:rsid w:val="00A03FEC"/>
    <w:rsid w:val="00A13517"/>
    <w:rsid w:val="00A16004"/>
    <w:rsid w:val="00A22CE4"/>
    <w:rsid w:val="00A24B4A"/>
    <w:rsid w:val="00A912BB"/>
    <w:rsid w:val="00AC1F5E"/>
    <w:rsid w:val="00AF273B"/>
    <w:rsid w:val="00B20BAD"/>
    <w:rsid w:val="00B34ABE"/>
    <w:rsid w:val="00B63A4F"/>
    <w:rsid w:val="00B64B34"/>
    <w:rsid w:val="00B7154D"/>
    <w:rsid w:val="00B7410F"/>
    <w:rsid w:val="00BE2025"/>
    <w:rsid w:val="00C03D2E"/>
    <w:rsid w:val="00C15037"/>
    <w:rsid w:val="00C179A6"/>
    <w:rsid w:val="00C453CB"/>
    <w:rsid w:val="00C52B8B"/>
    <w:rsid w:val="00C6529F"/>
    <w:rsid w:val="00C92AF6"/>
    <w:rsid w:val="00CC1E7B"/>
    <w:rsid w:val="00CD5D3E"/>
    <w:rsid w:val="00CF3BF6"/>
    <w:rsid w:val="00CF6B88"/>
    <w:rsid w:val="00D12923"/>
    <w:rsid w:val="00D756F5"/>
    <w:rsid w:val="00D83967"/>
    <w:rsid w:val="00DD5B85"/>
    <w:rsid w:val="00E0156E"/>
    <w:rsid w:val="00E103D0"/>
    <w:rsid w:val="00E4230F"/>
    <w:rsid w:val="00E5060D"/>
    <w:rsid w:val="00EC27B2"/>
    <w:rsid w:val="00ED655E"/>
    <w:rsid w:val="00EE2512"/>
    <w:rsid w:val="00F05ABD"/>
    <w:rsid w:val="00FA67D0"/>
    <w:rsid w:val="00FC2F56"/>
    <w:rsid w:val="00FC6BE0"/>
    <w:rsid w:val="00FE7E9A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title17">
    <w:name w:val="title17"/>
    <w:basedOn w:val="Normal"/>
    <w:rsid w:val="00341A74"/>
    <w:pPr>
      <w:spacing w:before="100" w:beforeAutospacing="1" w:after="100" w:afterAutospacing="1"/>
      <w:jc w:val="center"/>
    </w:pPr>
    <w:rPr>
      <w:b/>
      <w:bCs/>
      <w:sz w:val="30"/>
      <w:szCs w:val="3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title17">
    <w:name w:val="title17"/>
    <w:basedOn w:val="Normal"/>
    <w:rsid w:val="00341A74"/>
    <w:pPr>
      <w:spacing w:before="100" w:beforeAutospacing="1" w:after="100" w:afterAutospacing="1"/>
      <w:jc w:val="center"/>
    </w:pPr>
    <w:rPr>
      <w:b/>
      <w:bCs/>
      <w:sz w:val="30"/>
      <w:szCs w:val="3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1BBD7-718C-4E8C-9B67-26CE56C7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Ivana Arsova</cp:lastModifiedBy>
  <cp:revision>2</cp:revision>
  <cp:lastPrinted>2018-10-18T09:44:00Z</cp:lastPrinted>
  <dcterms:created xsi:type="dcterms:W3CDTF">2018-10-22T13:10:00Z</dcterms:created>
  <dcterms:modified xsi:type="dcterms:W3CDTF">2018-10-22T13:10:00Z</dcterms:modified>
</cp:coreProperties>
</file>