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084C61" w:rsidRDefault="001A7BC4" w:rsidP="004B60BE">
      <w:pPr>
        <w:ind w:left="-851" w:hanging="1"/>
        <w:jc w:val="both"/>
        <w:rPr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2164B3">
        <w:rPr>
          <w:b/>
          <w:i/>
        </w:rPr>
        <w:t>ор</w:t>
      </w:r>
      <w:r w:rsidR="00EE2512">
        <w:rPr>
          <w:b/>
          <w:i/>
        </w:rPr>
        <w:t xml:space="preserve"> на въпрос о</w:t>
      </w:r>
      <w:r w:rsidR="0031006C">
        <w:rPr>
          <w:b/>
          <w:i/>
        </w:rPr>
        <w:t>т Светла Бъчварова</w:t>
      </w:r>
      <w:r w:rsidRPr="000D6231">
        <w:rPr>
          <w:b/>
          <w:i/>
        </w:rPr>
        <w:t xml:space="preserve"> </w:t>
      </w:r>
      <w:r w:rsidR="003B5269">
        <w:rPr>
          <w:b/>
          <w:i/>
        </w:rPr>
        <w:t>и Николай Пенев</w:t>
      </w:r>
      <w:r w:rsidRPr="000D6231">
        <w:rPr>
          <w:b/>
          <w:i/>
        </w:rPr>
        <w:t>– н</w:t>
      </w:r>
      <w:r w:rsidR="003B5269">
        <w:rPr>
          <w:b/>
          <w:i/>
        </w:rPr>
        <w:t>ародни</w:t>
      </w:r>
      <w:r w:rsidR="002164B3">
        <w:rPr>
          <w:b/>
          <w:i/>
        </w:rPr>
        <w:t xml:space="preserve"> представител</w:t>
      </w:r>
      <w:r w:rsidR="003B5269">
        <w:rPr>
          <w:b/>
          <w:i/>
        </w:rPr>
        <w:t>и</w:t>
      </w:r>
      <w:r w:rsidR="00EE2512">
        <w:rPr>
          <w:b/>
          <w:i/>
        </w:rPr>
        <w:t xml:space="preserve"> от ПГ на БСП за България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956415">
        <w:rPr>
          <w:b/>
          <w:i/>
        </w:rPr>
        <w:t xml:space="preserve">о изпълнение на </w:t>
      </w:r>
      <w:r w:rsidR="00084C61">
        <w:rPr>
          <w:b/>
          <w:i/>
        </w:rPr>
        <w:t>оперативна програмата „М</w:t>
      </w:r>
      <w:r w:rsidR="00956415" w:rsidRPr="00084C61">
        <w:rPr>
          <w:b/>
          <w:i/>
        </w:rPr>
        <w:t>орско дело и рибарство</w:t>
      </w:r>
      <w:r w:rsidR="00084C61">
        <w:rPr>
          <w:b/>
          <w:i/>
        </w:rPr>
        <w:t>“</w:t>
      </w:r>
    </w:p>
    <w:p w:rsidR="00986FFA" w:rsidRPr="00986FFA" w:rsidRDefault="00986FFA" w:rsidP="00084C61">
      <w:pPr>
        <w:jc w:val="right"/>
        <w:rPr>
          <w:b/>
          <w:sz w:val="32"/>
          <w:szCs w:val="32"/>
        </w:rPr>
      </w:pPr>
    </w:p>
    <w:p w:rsidR="00EC27B2" w:rsidRDefault="004B07F5" w:rsidP="003B5269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1370B5" w:rsidRDefault="0031006C" w:rsidP="003B5269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</w:t>
      </w:r>
      <w:r w:rsidR="00EE2512">
        <w:rPr>
          <w:b/>
          <w:sz w:val="32"/>
          <w:szCs w:val="32"/>
        </w:rPr>
        <w:t>,</w:t>
      </w:r>
    </w:p>
    <w:p w:rsidR="00956415" w:rsidRDefault="003B5269" w:rsidP="00956415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ПЕНЕВ,</w:t>
      </w:r>
    </w:p>
    <w:p w:rsidR="00956415" w:rsidRDefault="00956415" w:rsidP="00956415">
      <w:pPr>
        <w:spacing w:line="276" w:lineRule="auto"/>
        <w:ind w:left="-851" w:hanging="1"/>
        <w:jc w:val="both"/>
        <w:rPr>
          <w:b/>
          <w:sz w:val="32"/>
          <w:szCs w:val="32"/>
        </w:rPr>
      </w:pPr>
    </w:p>
    <w:p w:rsidR="00956415" w:rsidRPr="002B7AEE" w:rsidRDefault="00956415" w:rsidP="002B7AEE">
      <w:pPr>
        <w:spacing w:line="360" w:lineRule="auto"/>
        <w:ind w:left="-851" w:firstLine="851"/>
        <w:jc w:val="both"/>
        <w:rPr>
          <w:sz w:val="32"/>
          <w:szCs w:val="32"/>
        </w:rPr>
      </w:pPr>
      <w:r w:rsidRPr="00BB0E3B">
        <w:rPr>
          <w:sz w:val="32"/>
          <w:szCs w:val="32"/>
        </w:rPr>
        <w:t xml:space="preserve">Управляващият орган на Програмата </w:t>
      </w:r>
      <w:r w:rsidR="002B7AEE" w:rsidRPr="00BB0E3B">
        <w:rPr>
          <w:sz w:val="32"/>
          <w:szCs w:val="32"/>
        </w:rPr>
        <w:t>за м</w:t>
      </w:r>
      <w:r w:rsidRPr="00BB0E3B">
        <w:rPr>
          <w:sz w:val="32"/>
          <w:szCs w:val="32"/>
        </w:rPr>
        <w:t>орско дело и рибарство редовно изготвя анализи относно усвояването на средствата от Европейския фонд за морско дело и рибарство</w:t>
      </w:r>
      <w:r w:rsidR="00970F7D">
        <w:rPr>
          <w:sz w:val="32"/>
          <w:szCs w:val="32"/>
        </w:rPr>
        <w:t>, както</w:t>
      </w:r>
      <w:r w:rsidR="002B7AEE" w:rsidRPr="00BB0E3B">
        <w:rPr>
          <w:sz w:val="32"/>
          <w:szCs w:val="32"/>
        </w:rPr>
        <w:t xml:space="preserve"> и </w:t>
      </w:r>
      <w:r w:rsidRPr="00BB0E3B">
        <w:rPr>
          <w:sz w:val="32"/>
          <w:szCs w:val="32"/>
        </w:rPr>
        <w:t>прогнози за риск</w:t>
      </w:r>
      <w:r w:rsidR="00970F7D">
        <w:rPr>
          <w:sz w:val="32"/>
          <w:szCs w:val="32"/>
        </w:rPr>
        <w:t>а</w:t>
      </w:r>
      <w:r w:rsidRPr="00BB0E3B">
        <w:rPr>
          <w:sz w:val="32"/>
          <w:szCs w:val="32"/>
        </w:rPr>
        <w:t xml:space="preserve"> за изпълнението на рамката за изпълнение по програмата и от автоматично отписване на средств</w:t>
      </w:r>
      <w:r w:rsidR="00F24208" w:rsidRPr="00BB0E3B">
        <w:rPr>
          <w:sz w:val="32"/>
          <w:szCs w:val="32"/>
        </w:rPr>
        <w:t>а съгласно правилото „</w:t>
      </w:r>
      <w:r w:rsidR="00F24208" w:rsidRPr="00BB0E3B">
        <w:rPr>
          <w:sz w:val="32"/>
          <w:szCs w:val="32"/>
          <w:lang w:val="en-US"/>
        </w:rPr>
        <w:t>n</w:t>
      </w:r>
      <w:r w:rsidRPr="00BB0E3B">
        <w:rPr>
          <w:sz w:val="32"/>
          <w:szCs w:val="32"/>
        </w:rPr>
        <w:t>+3</w:t>
      </w:r>
      <w:r w:rsidR="00F24208" w:rsidRPr="00BB0E3B">
        <w:rPr>
          <w:sz w:val="32"/>
          <w:szCs w:val="32"/>
        </w:rPr>
        <w:t>“</w:t>
      </w:r>
      <w:r w:rsidRPr="00BB0E3B">
        <w:rPr>
          <w:sz w:val="32"/>
          <w:szCs w:val="32"/>
        </w:rPr>
        <w:t xml:space="preserve">. </w:t>
      </w:r>
      <w:r w:rsidR="00970F7D">
        <w:rPr>
          <w:sz w:val="32"/>
          <w:szCs w:val="32"/>
        </w:rPr>
        <w:t>Р</w:t>
      </w:r>
      <w:r w:rsidR="002B7AEE" w:rsidRPr="002B7AEE">
        <w:rPr>
          <w:sz w:val="32"/>
          <w:szCs w:val="32"/>
        </w:rPr>
        <w:t>азмер</w:t>
      </w:r>
      <w:r w:rsidR="00970F7D">
        <w:rPr>
          <w:sz w:val="32"/>
          <w:szCs w:val="32"/>
        </w:rPr>
        <w:t>ът</w:t>
      </w:r>
      <w:r w:rsidR="002B7AEE" w:rsidRPr="002B7AEE">
        <w:rPr>
          <w:sz w:val="32"/>
          <w:szCs w:val="32"/>
        </w:rPr>
        <w:t xml:space="preserve"> на средства</w:t>
      </w:r>
      <w:r w:rsidR="00970F7D">
        <w:rPr>
          <w:sz w:val="32"/>
          <w:szCs w:val="32"/>
        </w:rPr>
        <w:t>та</w:t>
      </w:r>
      <w:r w:rsidR="002B7AEE" w:rsidRPr="002B7AEE">
        <w:rPr>
          <w:sz w:val="32"/>
          <w:szCs w:val="32"/>
        </w:rPr>
        <w:t xml:space="preserve"> от Е</w:t>
      </w:r>
      <w:r w:rsidR="002B7AEE">
        <w:rPr>
          <w:sz w:val="32"/>
          <w:szCs w:val="32"/>
        </w:rPr>
        <w:t xml:space="preserve">вропейския фонд за морско дело и рибарство за 2015 г. е </w:t>
      </w:r>
      <w:r w:rsidR="00970F7D">
        <w:rPr>
          <w:sz w:val="32"/>
          <w:szCs w:val="32"/>
        </w:rPr>
        <w:t>приблизително</w:t>
      </w:r>
      <w:r w:rsidR="007850ED" w:rsidRPr="000B163E">
        <w:rPr>
          <w:sz w:val="32"/>
          <w:szCs w:val="32"/>
        </w:rPr>
        <w:t xml:space="preserve"> </w:t>
      </w:r>
      <w:r w:rsidR="00F24208" w:rsidRPr="00084C61">
        <w:rPr>
          <w:b/>
          <w:sz w:val="32"/>
          <w:szCs w:val="32"/>
        </w:rPr>
        <w:t>22</w:t>
      </w:r>
      <w:r w:rsidR="007850ED" w:rsidRPr="00084C61">
        <w:rPr>
          <w:b/>
          <w:sz w:val="32"/>
          <w:szCs w:val="32"/>
        </w:rPr>
        <w:t>,8</w:t>
      </w:r>
      <w:r w:rsidR="00F24208" w:rsidRPr="00084C61">
        <w:rPr>
          <w:b/>
          <w:sz w:val="32"/>
          <w:szCs w:val="32"/>
        </w:rPr>
        <w:t xml:space="preserve"> </w:t>
      </w:r>
      <w:r w:rsidRPr="00084C61">
        <w:rPr>
          <w:b/>
          <w:sz w:val="32"/>
          <w:szCs w:val="32"/>
        </w:rPr>
        <w:t xml:space="preserve">млн. </w:t>
      </w:r>
      <w:r w:rsidR="007850ED" w:rsidRPr="00084C61">
        <w:rPr>
          <w:b/>
          <w:sz w:val="32"/>
          <w:szCs w:val="32"/>
        </w:rPr>
        <w:t>евро</w:t>
      </w:r>
      <w:r w:rsidRPr="00084C61">
        <w:rPr>
          <w:b/>
          <w:sz w:val="32"/>
          <w:szCs w:val="32"/>
        </w:rPr>
        <w:t>.</w:t>
      </w:r>
    </w:p>
    <w:p w:rsidR="00956415" w:rsidRPr="00956415" w:rsidRDefault="00E66004" w:rsidP="00956415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BB0E3B">
        <w:rPr>
          <w:sz w:val="32"/>
          <w:szCs w:val="32"/>
        </w:rPr>
        <w:t xml:space="preserve">Управляващият орган </w:t>
      </w:r>
      <w:r w:rsidR="002B7AEE">
        <w:rPr>
          <w:sz w:val="32"/>
          <w:szCs w:val="32"/>
          <w:lang w:eastAsia="fr-FR"/>
        </w:rPr>
        <w:t>е п</w:t>
      </w:r>
      <w:r w:rsidR="00956415" w:rsidRPr="00956415">
        <w:rPr>
          <w:sz w:val="32"/>
          <w:szCs w:val="32"/>
          <w:lang w:eastAsia="fr-FR"/>
        </w:rPr>
        <w:t>редприе</w:t>
      </w:r>
      <w:r>
        <w:rPr>
          <w:sz w:val="32"/>
          <w:szCs w:val="32"/>
          <w:lang w:eastAsia="fr-FR"/>
        </w:rPr>
        <w:t>л</w:t>
      </w:r>
      <w:r w:rsidR="002B7AEE">
        <w:rPr>
          <w:sz w:val="32"/>
          <w:szCs w:val="32"/>
          <w:lang w:eastAsia="fr-FR"/>
        </w:rPr>
        <w:t xml:space="preserve"> к</w:t>
      </w:r>
      <w:r w:rsidR="00956415" w:rsidRPr="00956415">
        <w:rPr>
          <w:sz w:val="32"/>
          <w:szCs w:val="32"/>
          <w:lang w:eastAsia="fr-FR"/>
        </w:rPr>
        <w:t>омплекс от мерки</w:t>
      </w:r>
      <w:r>
        <w:rPr>
          <w:sz w:val="32"/>
          <w:szCs w:val="32"/>
          <w:lang w:eastAsia="fr-FR"/>
        </w:rPr>
        <w:t xml:space="preserve"> за постигане на целите</w:t>
      </w:r>
      <w:r w:rsidR="00956415" w:rsidRPr="00956415">
        <w:rPr>
          <w:sz w:val="32"/>
          <w:szCs w:val="32"/>
          <w:lang w:eastAsia="fr-FR"/>
        </w:rPr>
        <w:t xml:space="preserve">, включващи: </w:t>
      </w:r>
    </w:p>
    <w:p w:rsidR="00956415" w:rsidRPr="00956415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>
        <w:rPr>
          <w:sz w:val="32"/>
          <w:szCs w:val="32"/>
          <w:lang w:eastAsia="fr-FR"/>
        </w:rPr>
        <w:t>Изготвен е „</w:t>
      </w:r>
      <w:r w:rsidR="002B7AEE">
        <w:rPr>
          <w:sz w:val="32"/>
          <w:szCs w:val="32"/>
          <w:lang w:eastAsia="fr-FR"/>
        </w:rPr>
        <w:t xml:space="preserve">План за действия“ </w:t>
      </w:r>
      <w:r w:rsidRPr="00956415">
        <w:rPr>
          <w:sz w:val="32"/>
          <w:szCs w:val="32"/>
          <w:lang w:eastAsia="fr-FR"/>
        </w:rPr>
        <w:t xml:space="preserve">с </w:t>
      </w:r>
      <w:r w:rsidR="00970F7D">
        <w:rPr>
          <w:sz w:val="32"/>
          <w:szCs w:val="32"/>
          <w:lang w:eastAsia="fr-FR"/>
        </w:rPr>
        <w:t>конкретни</w:t>
      </w:r>
      <w:r w:rsidR="002B7AEE">
        <w:rPr>
          <w:sz w:val="32"/>
          <w:szCs w:val="32"/>
          <w:lang w:eastAsia="fr-FR"/>
        </w:rPr>
        <w:t xml:space="preserve"> мерки и действия </w:t>
      </w:r>
      <w:r w:rsidRPr="00956415">
        <w:rPr>
          <w:sz w:val="32"/>
          <w:szCs w:val="32"/>
          <w:lang w:eastAsia="fr-FR"/>
        </w:rPr>
        <w:t>по всяка мярка</w:t>
      </w:r>
      <w:r w:rsidR="00970F7D">
        <w:rPr>
          <w:sz w:val="32"/>
          <w:szCs w:val="32"/>
          <w:lang w:eastAsia="fr-FR"/>
        </w:rPr>
        <w:t xml:space="preserve"> за подпомагане</w:t>
      </w:r>
      <w:r w:rsidRPr="00956415">
        <w:rPr>
          <w:sz w:val="32"/>
          <w:szCs w:val="32"/>
          <w:lang w:eastAsia="fr-FR"/>
        </w:rPr>
        <w:t xml:space="preserve">, както и срокове за изпълнението им; </w:t>
      </w:r>
    </w:p>
    <w:p w:rsidR="00956415" w:rsidRPr="00956415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956415">
        <w:rPr>
          <w:sz w:val="32"/>
          <w:szCs w:val="32"/>
          <w:lang w:eastAsia="fr-FR"/>
        </w:rPr>
        <w:t>Разшир</w:t>
      </w:r>
      <w:r w:rsidR="002B7AEE">
        <w:rPr>
          <w:sz w:val="32"/>
          <w:szCs w:val="32"/>
          <w:lang w:eastAsia="fr-FR"/>
        </w:rPr>
        <w:t>яв</w:t>
      </w:r>
      <w:r w:rsidRPr="00956415">
        <w:rPr>
          <w:sz w:val="32"/>
          <w:szCs w:val="32"/>
          <w:lang w:eastAsia="fr-FR"/>
        </w:rPr>
        <w:t xml:space="preserve">ане </w:t>
      </w:r>
      <w:r w:rsidR="002B7AEE">
        <w:rPr>
          <w:sz w:val="32"/>
          <w:szCs w:val="32"/>
          <w:lang w:eastAsia="fr-FR"/>
        </w:rPr>
        <w:t xml:space="preserve">на </w:t>
      </w:r>
      <w:r w:rsidRPr="00956415">
        <w:rPr>
          <w:sz w:val="32"/>
          <w:szCs w:val="32"/>
          <w:lang w:eastAsia="fr-FR"/>
        </w:rPr>
        <w:t>обхвата на лицата, които могат да кандидатстват по мерките</w:t>
      </w:r>
      <w:r w:rsidR="002B7AEE">
        <w:rPr>
          <w:sz w:val="32"/>
          <w:szCs w:val="32"/>
          <w:lang w:eastAsia="fr-FR"/>
        </w:rPr>
        <w:t xml:space="preserve"> по Програмата</w:t>
      </w:r>
      <w:r w:rsidRPr="00956415">
        <w:rPr>
          <w:sz w:val="32"/>
          <w:szCs w:val="32"/>
          <w:lang w:eastAsia="fr-FR"/>
        </w:rPr>
        <w:t>;</w:t>
      </w:r>
    </w:p>
    <w:p w:rsidR="00956415" w:rsidRPr="00956415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956415">
        <w:rPr>
          <w:sz w:val="32"/>
          <w:szCs w:val="32"/>
          <w:lang w:eastAsia="fr-FR"/>
        </w:rPr>
        <w:t>Увеличаване броя на междинните плащания</w:t>
      </w:r>
      <w:r w:rsidR="002B7AEE">
        <w:rPr>
          <w:sz w:val="32"/>
          <w:szCs w:val="32"/>
          <w:lang w:eastAsia="fr-FR"/>
        </w:rPr>
        <w:t xml:space="preserve">; </w:t>
      </w:r>
    </w:p>
    <w:p w:rsidR="00956415" w:rsidRPr="00956415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956415">
        <w:rPr>
          <w:sz w:val="32"/>
          <w:szCs w:val="32"/>
          <w:lang w:eastAsia="fr-FR"/>
        </w:rPr>
        <w:t xml:space="preserve">Разширяване на мерките </w:t>
      </w:r>
      <w:r w:rsidR="00E66004">
        <w:rPr>
          <w:sz w:val="32"/>
          <w:szCs w:val="32"/>
          <w:lang w:eastAsia="fr-FR"/>
        </w:rPr>
        <w:t xml:space="preserve">за публичност и прозрачност, </w:t>
      </w:r>
      <w:r w:rsidRPr="00956415">
        <w:rPr>
          <w:sz w:val="32"/>
          <w:szCs w:val="32"/>
          <w:lang w:eastAsia="fr-FR"/>
        </w:rPr>
        <w:t>очертаване на конк</w:t>
      </w:r>
      <w:r w:rsidR="00E66004">
        <w:rPr>
          <w:sz w:val="32"/>
          <w:szCs w:val="32"/>
          <w:lang w:eastAsia="fr-FR"/>
        </w:rPr>
        <w:t>ретните нужди от информираност</w:t>
      </w:r>
      <w:r w:rsidR="00BB0E3B" w:rsidRPr="00BB0E3B">
        <w:rPr>
          <w:sz w:val="32"/>
          <w:szCs w:val="32"/>
          <w:lang w:eastAsia="fr-FR"/>
        </w:rPr>
        <w:t>,</w:t>
      </w:r>
      <w:r w:rsidRPr="00BB0E3B">
        <w:rPr>
          <w:sz w:val="32"/>
          <w:szCs w:val="32"/>
          <w:lang w:eastAsia="fr-FR"/>
        </w:rPr>
        <w:t xml:space="preserve"> </w:t>
      </w:r>
      <w:r w:rsidRPr="00956415">
        <w:rPr>
          <w:sz w:val="32"/>
          <w:szCs w:val="32"/>
          <w:lang w:eastAsia="fr-FR"/>
        </w:rPr>
        <w:t xml:space="preserve">реклама, </w:t>
      </w:r>
      <w:r w:rsidRPr="00BB0E3B">
        <w:rPr>
          <w:sz w:val="32"/>
          <w:szCs w:val="32"/>
          <w:lang w:eastAsia="fr-FR"/>
        </w:rPr>
        <w:t>PR и обучения за администрацията, кандидатите и бенефициентите</w:t>
      </w:r>
      <w:r w:rsidRPr="00956415">
        <w:rPr>
          <w:sz w:val="32"/>
          <w:szCs w:val="32"/>
          <w:lang w:eastAsia="fr-FR"/>
        </w:rPr>
        <w:t>;</w:t>
      </w:r>
    </w:p>
    <w:p w:rsidR="00956415" w:rsidRPr="000B163E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0B163E">
        <w:rPr>
          <w:sz w:val="32"/>
          <w:szCs w:val="32"/>
          <w:lang w:eastAsia="fr-FR"/>
        </w:rPr>
        <w:t>Съкра</w:t>
      </w:r>
      <w:r w:rsidR="00BB0E3B" w:rsidRPr="000B163E">
        <w:rPr>
          <w:sz w:val="32"/>
          <w:szCs w:val="32"/>
          <w:lang w:eastAsia="fr-FR"/>
        </w:rPr>
        <w:t xml:space="preserve">щаване на </w:t>
      </w:r>
      <w:r w:rsidRPr="000B163E">
        <w:rPr>
          <w:sz w:val="32"/>
          <w:szCs w:val="32"/>
          <w:lang w:eastAsia="fr-FR"/>
        </w:rPr>
        <w:t>сроковете за оценка на проект</w:t>
      </w:r>
      <w:r w:rsidR="00BB0E3B" w:rsidRPr="000B163E">
        <w:rPr>
          <w:sz w:val="32"/>
          <w:szCs w:val="32"/>
          <w:lang w:eastAsia="fr-FR"/>
        </w:rPr>
        <w:t>и</w:t>
      </w:r>
      <w:r w:rsidR="000B163E" w:rsidRPr="000B163E">
        <w:rPr>
          <w:sz w:val="32"/>
          <w:szCs w:val="32"/>
          <w:lang w:eastAsia="fr-FR"/>
        </w:rPr>
        <w:t xml:space="preserve">, </w:t>
      </w:r>
      <w:r w:rsidRPr="000B163E">
        <w:rPr>
          <w:sz w:val="32"/>
          <w:szCs w:val="32"/>
          <w:lang w:eastAsia="fr-FR"/>
        </w:rPr>
        <w:t xml:space="preserve">за осъществяване на последващ контрол </w:t>
      </w:r>
      <w:r w:rsidR="000B163E">
        <w:rPr>
          <w:sz w:val="32"/>
          <w:szCs w:val="32"/>
          <w:lang w:eastAsia="fr-FR"/>
        </w:rPr>
        <w:t xml:space="preserve">и за </w:t>
      </w:r>
      <w:r w:rsidRPr="000B163E">
        <w:rPr>
          <w:sz w:val="32"/>
          <w:szCs w:val="32"/>
          <w:lang w:eastAsia="fr-FR"/>
        </w:rPr>
        <w:t>обработка на искания за плащане;</w:t>
      </w:r>
    </w:p>
    <w:p w:rsidR="00956415" w:rsidRPr="00956415" w:rsidRDefault="00EF450D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>
        <w:rPr>
          <w:sz w:val="32"/>
          <w:szCs w:val="32"/>
          <w:lang w:eastAsia="fr-FR"/>
        </w:rPr>
        <w:t>П</w:t>
      </w:r>
      <w:r w:rsidR="00956415" w:rsidRPr="00956415">
        <w:rPr>
          <w:sz w:val="32"/>
          <w:szCs w:val="32"/>
          <w:lang w:eastAsia="fr-FR"/>
        </w:rPr>
        <w:t>редложен</w:t>
      </w:r>
      <w:r w:rsidR="00BB0E3B">
        <w:rPr>
          <w:sz w:val="32"/>
          <w:szCs w:val="32"/>
          <w:lang w:eastAsia="fr-FR"/>
        </w:rPr>
        <w:t xml:space="preserve">о изменение </w:t>
      </w:r>
      <w:r w:rsidR="00956415" w:rsidRPr="00956415">
        <w:rPr>
          <w:sz w:val="32"/>
          <w:szCs w:val="32"/>
          <w:lang w:eastAsia="fr-FR"/>
        </w:rPr>
        <w:t xml:space="preserve">на </w:t>
      </w:r>
      <w:r w:rsidR="00956415" w:rsidRPr="00BB0E3B">
        <w:rPr>
          <w:sz w:val="32"/>
          <w:szCs w:val="32"/>
          <w:lang w:eastAsia="fr-FR"/>
        </w:rPr>
        <w:t>П</w:t>
      </w:r>
      <w:r w:rsidR="00BB0E3B" w:rsidRPr="00BB0E3B">
        <w:rPr>
          <w:sz w:val="32"/>
          <w:szCs w:val="32"/>
          <w:lang w:eastAsia="fr-FR"/>
        </w:rPr>
        <w:t>рограмата</w:t>
      </w:r>
      <w:r w:rsidR="00BB0E3B">
        <w:rPr>
          <w:sz w:val="32"/>
          <w:szCs w:val="32"/>
          <w:lang w:eastAsia="fr-FR"/>
        </w:rPr>
        <w:t xml:space="preserve">, за да се </w:t>
      </w:r>
      <w:r w:rsidR="00956415" w:rsidRPr="00956415">
        <w:rPr>
          <w:sz w:val="32"/>
          <w:szCs w:val="32"/>
          <w:lang w:eastAsia="fr-FR"/>
        </w:rPr>
        <w:t>осигур</w:t>
      </w:r>
      <w:r w:rsidR="00BB0E3B">
        <w:rPr>
          <w:sz w:val="32"/>
          <w:szCs w:val="32"/>
          <w:lang w:eastAsia="fr-FR"/>
        </w:rPr>
        <w:t xml:space="preserve">и </w:t>
      </w:r>
      <w:r w:rsidR="00956415" w:rsidRPr="00956415">
        <w:rPr>
          <w:sz w:val="32"/>
          <w:szCs w:val="32"/>
          <w:lang w:eastAsia="fr-FR"/>
        </w:rPr>
        <w:t xml:space="preserve">постигането на междинните цели и изпълнение на Рамката за изпълнение; </w:t>
      </w:r>
    </w:p>
    <w:p w:rsidR="00956415" w:rsidRPr="00956415" w:rsidRDefault="00512157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512157">
        <w:rPr>
          <w:sz w:val="32"/>
          <w:szCs w:val="32"/>
          <w:lang w:eastAsia="fr-FR"/>
        </w:rPr>
        <w:lastRenderedPageBreak/>
        <w:t>Осъществява се</w:t>
      </w:r>
      <w:r w:rsidR="00956415" w:rsidRPr="00512157">
        <w:rPr>
          <w:sz w:val="32"/>
          <w:szCs w:val="32"/>
          <w:lang w:eastAsia="fr-FR"/>
        </w:rPr>
        <w:t xml:space="preserve"> </w:t>
      </w:r>
      <w:r w:rsidR="00956415" w:rsidRPr="00956415">
        <w:rPr>
          <w:sz w:val="32"/>
          <w:szCs w:val="32"/>
          <w:lang w:eastAsia="fr-FR"/>
        </w:rPr>
        <w:t xml:space="preserve">непрекъсната комуникация с бенефициентите и </w:t>
      </w:r>
      <w:r>
        <w:rPr>
          <w:sz w:val="32"/>
          <w:szCs w:val="32"/>
          <w:lang w:eastAsia="fr-FR"/>
        </w:rPr>
        <w:t xml:space="preserve">им се </w:t>
      </w:r>
      <w:r w:rsidR="00956415" w:rsidRPr="00956415">
        <w:rPr>
          <w:sz w:val="32"/>
          <w:szCs w:val="32"/>
          <w:lang w:eastAsia="fr-FR"/>
        </w:rPr>
        <w:t>оказва методическа помощ. По проекти, по които бенефициентите не са предвидили междинни плащания, са предприети действия за анексиране на договорите с оглед осигуряване на възможност за подаване на искания за междинни плащания преди края на 2018 г.</w:t>
      </w:r>
      <w:r w:rsidR="00F534F8">
        <w:rPr>
          <w:sz w:val="32"/>
          <w:szCs w:val="32"/>
          <w:lang w:eastAsia="fr-FR"/>
        </w:rPr>
        <w:t>;</w:t>
      </w:r>
    </w:p>
    <w:p w:rsidR="00956415" w:rsidRPr="00956415" w:rsidRDefault="000B163E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>
        <w:rPr>
          <w:sz w:val="32"/>
          <w:szCs w:val="32"/>
          <w:lang w:eastAsia="fr-FR"/>
        </w:rPr>
        <w:t>О</w:t>
      </w:r>
      <w:r w:rsidRPr="00BB0E3B">
        <w:rPr>
          <w:sz w:val="32"/>
          <w:szCs w:val="32"/>
          <w:lang w:eastAsia="fr-FR"/>
        </w:rPr>
        <w:t xml:space="preserve">т Европейската комисия </w:t>
      </w:r>
      <w:r>
        <w:rPr>
          <w:sz w:val="32"/>
          <w:szCs w:val="32"/>
          <w:lang w:eastAsia="fr-FR"/>
        </w:rPr>
        <w:t>е п</w:t>
      </w:r>
      <w:r w:rsidR="00BB0E3B" w:rsidRPr="00BB0E3B">
        <w:rPr>
          <w:sz w:val="32"/>
          <w:szCs w:val="32"/>
          <w:lang w:eastAsia="fr-FR"/>
        </w:rPr>
        <w:t xml:space="preserve">оискано </w:t>
      </w:r>
      <w:r w:rsidR="00956415" w:rsidRPr="00BB0E3B">
        <w:rPr>
          <w:sz w:val="32"/>
          <w:szCs w:val="32"/>
          <w:lang w:eastAsia="bg-BG"/>
        </w:rPr>
        <w:t>допълнително пояснение относно отчитането на индикаторите в Рамката за изпълнение за 2018 г.</w:t>
      </w:r>
      <w:r w:rsidR="00F534F8">
        <w:rPr>
          <w:sz w:val="32"/>
          <w:szCs w:val="32"/>
          <w:lang w:eastAsia="bg-BG"/>
        </w:rPr>
        <w:t>;</w:t>
      </w:r>
    </w:p>
    <w:p w:rsidR="00956415" w:rsidRPr="00084C61" w:rsidRDefault="00BB0E3B" w:rsidP="00084C61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BB0E3B">
        <w:rPr>
          <w:sz w:val="32"/>
          <w:szCs w:val="32"/>
        </w:rPr>
        <w:t>О</w:t>
      </w:r>
      <w:r w:rsidR="00956415" w:rsidRPr="00BB0E3B">
        <w:rPr>
          <w:sz w:val="32"/>
          <w:szCs w:val="32"/>
        </w:rPr>
        <w:t xml:space="preserve">бявяване на възможно най-голям брой мерки, като от началото на 2018 г. са отворени </w:t>
      </w:r>
      <w:r w:rsidR="00956415" w:rsidRPr="00084C61">
        <w:rPr>
          <w:b/>
          <w:sz w:val="32"/>
          <w:szCs w:val="32"/>
        </w:rPr>
        <w:t xml:space="preserve">9 </w:t>
      </w:r>
      <w:r w:rsidR="00956415" w:rsidRPr="00BB0E3B">
        <w:rPr>
          <w:sz w:val="32"/>
          <w:szCs w:val="32"/>
        </w:rPr>
        <w:t xml:space="preserve">процедури на обща стойност приблизително </w:t>
      </w:r>
      <w:r w:rsidR="00084C61">
        <w:rPr>
          <w:sz w:val="32"/>
          <w:szCs w:val="32"/>
        </w:rPr>
        <w:t xml:space="preserve">                                     </w:t>
      </w:r>
      <w:r w:rsidR="00956415" w:rsidRPr="00084C61">
        <w:rPr>
          <w:b/>
          <w:sz w:val="32"/>
          <w:szCs w:val="32"/>
        </w:rPr>
        <w:t>1</w:t>
      </w:r>
      <w:r w:rsidR="007850ED" w:rsidRPr="00084C61">
        <w:rPr>
          <w:b/>
          <w:sz w:val="32"/>
          <w:szCs w:val="32"/>
        </w:rPr>
        <w:t>20</w:t>
      </w:r>
      <w:r w:rsidR="00956415" w:rsidRPr="00084C61">
        <w:rPr>
          <w:b/>
          <w:sz w:val="32"/>
          <w:szCs w:val="32"/>
        </w:rPr>
        <w:t xml:space="preserve"> млн. лв</w:t>
      </w:r>
      <w:r w:rsidR="00956415" w:rsidRPr="00084C61">
        <w:rPr>
          <w:sz w:val="32"/>
          <w:szCs w:val="32"/>
        </w:rPr>
        <w:t xml:space="preserve">., което представлява </w:t>
      </w:r>
      <w:r w:rsidR="00956415" w:rsidRPr="00084C61">
        <w:rPr>
          <w:b/>
          <w:sz w:val="32"/>
          <w:szCs w:val="32"/>
        </w:rPr>
        <w:t>54%</w:t>
      </w:r>
      <w:r w:rsidR="00956415" w:rsidRPr="00084C61">
        <w:rPr>
          <w:sz w:val="32"/>
          <w:szCs w:val="32"/>
        </w:rPr>
        <w:t xml:space="preserve"> от бюджета на П</w:t>
      </w:r>
      <w:r w:rsidRPr="00084C61">
        <w:rPr>
          <w:sz w:val="32"/>
          <w:szCs w:val="32"/>
        </w:rPr>
        <w:t>рограмата</w:t>
      </w:r>
      <w:r w:rsidR="00F534F8" w:rsidRPr="00084C61">
        <w:rPr>
          <w:sz w:val="32"/>
          <w:szCs w:val="32"/>
        </w:rPr>
        <w:t>;</w:t>
      </w:r>
    </w:p>
    <w:p w:rsidR="00F24208" w:rsidRPr="006D0649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6D0649">
        <w:rPr>
          <w:sz w:val="32"/>
          <w:szCs w:val="32"/>
        </w:rPr>
        <w:t xml:space="preserve">До края на 2018 г. </w:t>
      </w:r>
      <w:r w:rsidR="006D0649" w:rsidRPr="006D0649">
        <w:rPr>
          <w:sz w:val="32"/>
          <w:szCs w:val="32"/>
        </w:rPr>
        <w:t xml:space="preserve">се </w:t>
      </w:r>
      <w:r w:rsidRPr="006D0649">
        <w:rPr>
          <w:sz w:val="32"/>
          <w:szCs w:val="32"/>
        </w:rPr>
        <w:t xml:space="preserve">планира </w:t>
      </w:r>
      <w:r w:rsidR="006D0649" w:rsidRPr="006D0649">
        <w:rPr>
          <w:sz w:val="32"/>
          <w:szCs w:val="32"/>
        </w:rPr>
        <w:t>отварянето на</w:t>
      </w:r>
      <w:r w:rsidRPr="006D0649">
        <w:rPr>
          <w:sz w:val="32"/>
          <w:szCs w:val="32"/>
        </w:rPr>
        <w:t xml:space="preserve"> прием по още </w:t>
      </w:r>
      <w:r w:rsidRPr="00084C61">
        <w:rPr>
          <w:b/>
          <w:sz w:val="32"/>
          <w:szCs w:val="32"/>
        </w:rPr>
        <w:t>6</w:t>
      </w:r>
      <w:r w:rsidRPr="006D0649">
        <w:rPr>
          <w:sz w:val="32"/>
          <w:szCs w:val="32"/>
        </w:rPr>
        <w:t xml:space="preserve"> мерки на обща стойност приблизително </w:t>
      </w:r>
      <w:r w:rsidRPr="00084C61">
        <w:rPr>
          <w:b/>
          <w:sz w:val="32"/>
          <w:szCs w:val="32"/>
        </w:rPr>
        <w:t>3</w:t>
      </w:r>
      <w:r w:rsidR="007850ED" w:rsidRPr="00084C61">
        <w:rPr>
          <w:b/>
          <w:sz w:val="32"/>
          <w:szCs w:val="32"/>
        </w:rPr>
        <w:t>5 м</w:t>
      </w:r>
      <w:r w:rsidRPr="00084C61">
        <w:rPr>
          <w:b/>
          <w:sz w:val="32"/>
          <w:szCs w:val="32"/>
        </w:rPr>
        <w:t>лн. лв.,</w:t>
      </w:r>
      <w:r w:rsidRPr="006D0649">
        <w:rPr>
          <w:sz w:val="32"/>
          <w:szCs w:val="32"/>
        </w:rPr>
        <w:t xml:space="preserve"> което представлява </w:t>
      </w:r>
      <w:r w:rsidR="007850ED" w:rsidRPr="006D0649">
        <w:rPr>
          <w:sz w:val="32"/>
          <w:szCs w:val="32"/>
        </w:rPr>
        <w:t xml:space="preserve">приблизително </w:t>
      </w:r>
      <w:r w:rsidR="007850ED" w:rsidRPr="00084C61">
        <w:rPr>
          <w:b/>
          <w:sz w:val="32"/>
          <w:szCs w:val="32"/>
        </w:rPr>
        <w:t>16</w:t>
      </w:r>
      <w:r w:rsidRPr="00084C61">
        <w:rPr>
          <w:b/>
          <w:sz w:val="32"/>
          <w:szCs w:val="32"/>
        </w:rPr>
        <w:t>%</w:t>
      </w:r>
      <w:r w:rsidRPr="006D0649">
        <w:rPr>
          <w:sz w:val="32"/>
          <w:szCs w:val="32"/>
        </w:rPr>
        <w:t xml:space="preserve"> от бюджета на П</w:t>
      </w:r>
      <w:r w:rsidR="006D0649" w:rsidRPr="006D0649">
        <w:rPr>
          <w:sz w:val="32"/>
          <w:szCs w:val="32"/>
        </w:rPr>
        <w:t>рограмата</w:t>
      </w:r>
      <w:r w:rsidRPr="006D0649">
        <w:rPr>
          <w:sz w:val="32"/>
          <w:szCs w:val="32"/>
        </w:rPr>
        <w:t>;</w:t>
      </w:r>
    </w:p>
    <w:p w:rsidR="00F24208" w:rsidRPr="00F534F8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F534F8">
        <w:rPr>
          <w:sz w:val="32"/>
          <w:szCs w:val="32"/>
        </w:rPr>
        <w:t>Общо за 2018 г . приеми</w:t>
      </w:r>
      <w:r w:rsidR="00970F7D">
        <w:rPr>
          <w:sz w:val="32"/>
          <w:szCs w:val="32"/>
        </w:rPr>
        <w:t>те</w:t>
      </w:r>
      <w:r w:rsidRPr="00F534F8">
        <w:rPr>
          <w:sz w:val="32"/>
          <w:szCs w:val="32"/>
        </w:rPr>
        <w:t xml:space="preserve"> по мерки </w:t>
      </w:r>
      <w:r w:rsidR="00970F7D">
        <w:rPr>
          <w:sz w:val="32"/>
          <w:szCs w:val="32"/>
        </w:rPr>
        <w:t xml:space="preserve">са </w:t>
      </w:r>
      <w:r w:rsidRPr="00F534F8">
        <w:rPr>
          <w:sz w:val="32"/>
          <w:szCs w:val="32"/>
        </w:rPr>
        <w:t xml:space="preserve">за </w:t>
      </w:r>
      <w:r w:rsidR="007850ED" w:rsidRPr="00F534F8">
        <w:rPr>
          <w:sz w:val="32"/>
          <w:szCs w:val="32"/>
        </w:rPr>
        <w:t xml:space="preserve">повече от </w:t>
      </w:r>
      <w:r w:rsidRPr="00084C61">
        <w:rPr>
          <w:b/>
          <w:sz w:val="32"/>
          <w:szCs w:val="32"/>
        </w:rPr>
        <w:t>154</w:t>
      </w:r>
      <w:r w:rsidR="007850ED" w:rsidRPr="00084C61">
        <w:rPr>
          <w:b/>
          <w:sz w:val="32"/>
          <w:szCs w:val="32"/>
        </w:rPr>
        <w:t xml:space="preserve"> </w:t>
      </w:r>
      <w:r w:rsidRPr="00084C61">
        <w:rPr>
          <w:b/>
          <w:sz w:val="32"/>
          <w:szCs w:val="32"/>
        </w:rPr>
        <w:t>млн.</w:t>
      </w:r>
      <w:r w:rsidR="007850ED" w:rsidRPr="00084C61">
        <w:rPr>
          <w:b/>
          <w:sz w:val="32"/>
          <w:szCs w:val="32"/>
        </w:rPr>
        <w:t xml:space="preserve"> </w:t>
      </w:r>
      <w:r w:rsidRPr="00084C61">
        <w:rPr>
          <w:b/>
          <w:sz w:val="32"/>
          <w:szCs w:val="32"/>
        </w:rPr>
        <w:t>лв</w:t>
      </w:r>
      <w:r w:rsidRPr="00F534F8">
        <w:rPr>
          <w:sz w:val="32"/>
          <w:szCs w:val="32"/>
        </w:rPr>
        <w:t xml:space="preserve">. или </w:t>
      </w:r>
      <w:r w:rsidR="007850ED" w:rsidRPr="00F534F8">
        <w:rPr>
          <w:sz w:val="32"/>
          <w:szCs w:val="32"/>
        </w:rPr>
        <w:t xml:space="preserve">приблизително </w:t>
      </w:r>
      <w:r w:rsidR="007850ED" w:rsidRPr="00084C61">
        <w:rPr>
          <w:b/>
          <w:sz w:val="32"/>
          <w:szCs w:val="32"/>
        </w:rPr>
        <w:t>70</w:t>
      </w:r>
      <w:r w:rsidRPr="00084C61">
        <w:rPr>
          <w:b/>
          <w:sz w:val="32"/>
          <w:szCs w:val="32"/>
        </w:rPr>
        <w:t>%</w:t>
      </w:r>
      <w:r w:rsidRPr="00F534F8">
        <w:rPr>
          <w:sz w:val="32"/>
          <w:szCs w:val="32"/>
        </w:rPr>
        <w:t xml:space="preserve"> от бюджета </w:t>
      </w:r>
      <w:r w:rsidR="007850ED" w:rsidRPr="00F534F8">
        <w:rPr>
          <w:sz w:val="32"/>
          <w:szCs w:val="32"/>
        </w:rPr>
        <w:t xml:space="preserve">на </w:t>
      </w:r>
      <w:r w:rsidR="00C85984" w:rsidRPr="00F534F8">
        <w:rPr>
          <w:sz w:val="32"/>
          <w:szCs w:val="32"/>
        </w:rPr>
        <w:t xml:space="preserve"> Програмата;</w:t>
      </w:r>
      <w:r w:rsidRPr="00F534F8">
        <w:rPr>
          <w:sz w:val="32"/>
          <w:szCs w:val="32"/>
        </w:rPr>
        <w:t xml:space="preserve"> </w:t>
      </w:r>
    </w:p>
    <w:p w:rsidR="00F24208" w:rsidRPr="00084C61" w:rsidRDefault="00C85984" w:rsidP="00084C61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F534F8">
        <w:rPr>
          <w:sz w:val="32"/>
          <w:szCs w:val="32"/>
        </w:rPr>
        <w:t>С</w:t>
      </w:r>
      <w:r w:rsidR="00956415" w:rsidRPr="00F534F8">
        <w:rPr>
          <w:sz w:val="32"/>
          <w:szCs w:val="32"/>
        </w:rPr>
        <w:t xml:space="preserve">ключени </w:t>
      </w:r>
      <w:r w:rsidRPr="00F534F8">
        <w:rPr>
          <w:sz w:val="32"/>
          <w:szCs w:val="32"/>
        </w:rPr>
        <w:t xml:space="preserve">са </w:t>
      </w:r>
      <w:r w:rsidR="00956415" w:rsidRPr="00084C61">
        <w:rPr>
          <w:b/>
          <w:sz w:val="32"/>
          <w:szCs w:val="32"/>
        </w:rPr>
        <w:t>102</w:t>
      </w:r>
      <w:r w:rsidR="00956415" w:rsidRPr="00F534F8">
        <w:rPr>
          <w:sz w:val="32"/>
          <w:szCs w:val="32"/>
        </w:rPr>
        <w:t xml:space="preserve"> договор</w:t>
      </w:r>
      <w:r w:rsidRPr="00F534F8">
        <w:rPr>
          <w:sz w:val="32"/>
          <w:szCs w:val="32"/>
        </w:rPr>
        <w:t xml:space="preserve">а </w:t>
      </w:r>
      <w:r w:rsidR="00956415" w:rsidRPr="00F534F8">
        <w:rPr>
          <w:sz w:val="32"/>
          <w:szCs w:val="32"/>
        </w:rPr>
        <w:t xml:space="preserve">на обща стойност </w:t>
      </w:r>
      <w:r w:rsidR="007850ED" w:rsidRPr="00F534F8">
        <w:rPr>
          <w:sz w:val="32"/>
          <w:szCs w:val="32"/>
        </w:rPr>
        <w:t xml:space="preserve">приблизително </w:t>
      </w:r>
      <w:r w:rsidR="00084C61">
        <w:rPr>
          <w:sz w:val="32"/>
          <w:szCs w:val="32"/>
        </w:rPr>
        <w:t xml:space="preserve">                                                  </w:t>
      </w:r>
      <w:r w:rsidR="00956415" w:rsidRPr="00084C61">
        <w:rPr>
          <w:b/>
          <w:sz w:val="32"/>
          <w:szCs w:val="32"/>
        </w:rPr>
        <w:t>7</w:t>
      </w:r>
      <w:r w:rsidR="007850ED" w:rsidRPr="00084C61">
        <w:rPr>
          <w:b/>
          <w:sz w:val="32"/>
          <w:szCs w:val="32"/>
        </w:rPr>
        <w:t xml:space="preserve">8 </w:t>
      </w:r>
      <w:r w:rsidR="00956415" w:rsidRPr="00084C61">
        <w:rPr>
          <w:b/>
          <w:sz w:val="32"/>
          <w:szCs w:val="32"/>
        </w:rPr>
        <w:t>млн. лв.</w:t>
      </w:r>
      <w:r w:rsidR="00956415" w:rsidRPr="00084C61">
        <w:rPr>
          <w:sz w:val="32"/>
          <w:szCs w:val="32"/>
        </w:rPr>
        <w:t xml:space="preserve">, </w:t>
      </w:r>
      <w:r w:rsidRPr="00084C61">
        <w:rPr>
          <w:sz w:val="32"/>
          <w:szCs w:val="32"/>
        </w:rPr>
        <w:t>или</w:t>
      </w:r>
      <w:r w:rsidR="00F24208" w:rsidRPr="00084C61">
        <w:rPr>
          <w:sz w:val="32"/>
          <w:szCs w:val="32"/>
        </w:rPr>
        <w:t xml:space="preserve"> </w:t>
      </w:r>
      <w:r w:rsidR="007850ED" w:rsidRPr="00084C61">
        <w:rPr>
          <w:sz w:val="32"/>
          <w:szCs w:val="32"/>
        </w:rPr>
        <w:t xml:space="preserve">повече от </w:t>
      </w:r>
      <w:r w:rsidR="00F24208" w:rsidRPr="00084C61">
        <w:rPr>
          <w:b/>
          <w:sz w:val="32"/>
          <w:szCs w:val="32"/>
        </w:rPr>
        <w:t>35%</w:t>
      </w:r>
      <w:r w:rsidR="00F24208" w:rsidRPr="00084C61">
        <w:rPr>
          <w:sz w:val="32"/>
          <w:szCs w:val="32"/>
        </w:rPr>
        <w:t xml:space="preserve"> от бюджета на П</w:t>
      </w:r>
      <w:r w:rsidRPr="00084C61">
        <w:rPr>
          <w:sz w:val="32"/>
          <w:szCs w:val="32"/>
        </w:rPr>
        <w:t>рограмата;</w:t>
      </w:r>
    </w:p>
    <w:p w:rsidR="00F24208" w:rsidRPr="00F534F8" w:rsidRDefault="003F2490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F534F8">
        <w:rPr>
          <w:sz w:val="32"/>
          <w:szCs w:val="32"/>
        </w:rPr>
        <w:t xml:space="preserve">В процес на оценка са </w:t>
      </w:r>
      <w:r w:rsidRPr="00084C61">
        <w:rPr>
          <w:b/>
          <w:sz w:val="32"/>
          <w:szCs w:val="32"/>
        </w:rPr>
        <w:t>52</w:t>
      </w:r>
      <w:r w:rsidR="00956415" w:rsidRPr="00F534F8">
        <w:rPr>
          <w:sz w:val="32"/>
          <w:szCs w:val="32"/>
        </w:rPr>
        <w:t xml:space="preserve"> проект</w:t>
      </w:r>
      <w:r w:rsidR="00C85984" w:rsidRPr="00F534F8">
        <w:rPr>
          <w:sz w:val="32"/>
          <w:szCs w:val="32"/>
        </w:rPr>
        <w:t xml:space="preserve">а </w:t>
      </w:r>
      <w:r w:rsidR="00956415" w:rsidRPr="00F534F8">
        <w:rPr>
          <w:sz w:val="32"/>
          <w:szCs w:val="32"/>
        </w:rPr>
        <w:t xml:space="preserve">на обща стойност </w:t>
      </w:r>
      <w:r w:rsidR="007850ED" w:rsidRPr="00F534F8">
        <w:rPr>
          <w:sz w:val="32"/>
          <w:szCs w:val="32"/>
        </w:rPr>
        <w:t xml:space="preserve">приблизително </w:t>
      </w:r>
      <w:r w:rsidR="00956415" w:rsidRPr="00044936">
        <w:rPr>
          <w:b/>
          <w:sz w:val="32"/>
          <w:szCs w:val="32"/>
        </w:rPr>
        <w:t>1</w:t>
      </w:r>
      <w:r w:rsidR="007850ED" w:rsidRPr="00044936">
        <w:rPr>
          <w:b/>
          <w:sz w:val="32"/>
          <w:szCs w:val="32"/>
        </w:rPr>
        <w:t xml:space="preserve">9 </w:t>
      </w:r>
      <w:r w:rsidR="00956415" w:rsidRPr="00044936">
        <w:rPr>
          <w:b/>
          <w:sz w:val="32"/>
          <w:szCs w:val="32"/>
        </w:rPr>
        <w:t>млн. лв.,</w:t>
      </w:r>
      <w:r w:rsidR="00956415" w:rsidRPr="00F534F8">
        <w:rPr>
          <w:sz w:val="32"/>
          <w:szCs w:val="32"/>
        </w:rPr>
        <w:t xml:space="preserve"> </w:t>
      </w:r>
      <w:r w:rsidR="00C85984" w:rsidRPr="00F534F8">
        <w:rPr>
          <w:sz w:val="32"/>
          <w:szCs w:val="32"/>
        </w:rPr>
        <w:t>или</w:t>
      </w:r>
      <w:r w:rsidR="00956415" w:rsidRPr="00F534F8">
        <w:rPr>
          <w:sz w:val="32"/>
          <w:szCs w:val="32"/>
        </w:rPr>
        <w:t xml:space="preserve"> </w:t>
      </w:r>
      <w:r w:rsidR="007850ED" w:rsidRPr="00F534F8">
        <w:rPr>
          <w:sz w:val="32"/>
          <w:szCs w:val="32"/>
        </w:rPr>
        <w:t xml:space="preserve">приблизително </w:t>
      </w:r>
      <w:r w:rsidR="007850ED" w:rsidRPr="00044936">
        <w:rPr>
          <w:b/>
          <w:sz w:val="32"/>
          <w:szCs w:val="32"/>
        </w:rPr>
        <w:t>9</w:t>
      </w:r>
      <w:r w:rsidR="00956415" w:rsidRPr="00044936">
        <w:rPr>
          <w:b/>
          <w:sz w:val="32"/>
          <w:szCs w:val="32"/>
        </w:rPr>
        <w:t>%</w:t>
      </w:r>
      <w:r w:rsidR="00956415" w:rsidRPr="00F534F8">
        <w:rPr>
          <w:sz w:val="32"/>
          <w:szCs w:val="32"/>
        </w:rPr>
        <w:t xml:space="preserve"> </w:t>
      </w:r>
      <w:r w:rsidR="00C85984" w:rsidRPr="00F534F8">
        <w:rPr>
          <w:sz w:val="32"/>
          <w:szCs w:val="32"/>
        </w:rPr>
        <w:t>от бюджета на Програмата;</w:t>
      </w:r>
    </w:p>
    <w:p w:rsidR="00044936" w:rsidRPr="00044936" w:rsidRDefault="00C85984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F534F8">
        <w:rPr>
          <w:sz w:val="32"/>
          <w:szCs w:val="32"/>
        </w:rPr>
        <w:t>В</w:t>
      </w:r>
      <w:r w:rsidR="00956415" w:rsidRPr="00F534F8">
        <w:rPr>
          <w:sz w:val="32"/>
          <w:szCs w:val="32"/>
        </w:rPr>
        <w:t xml:space="preserve"> процес на обработка </w:t>
      </w:r>
      <w:r w:rsidRPr="00F534F8">
        <w:rPr>
          <w:sz w:val="32"/>
          <w:szCs w:val="32"/>
        </w:rPr>
        <w:t xml:space="preserve">са </w:t>
      </w:r>
      <w:r w:rsidR="00956415" w:rsidRPr="00F534F8">
        <w:rPr>
          <w:sz w:val="32"/>
          <w:szCs w:val="32"/>
        </w:rPr>
        <w:t xml:space="preserve">искания за плащания в размер </w:t>
      </w:r>
      <w:r w:rsidR="003F2490" w:rsidRPr="00F534F8">
        <w:rPr>
          <w:sz w:val="32"/>
          <w:szCs w:val="32"/>
        </w:rPr>
        <w:t xml:space="preserve">на </w:t>
      </w:r>
      <w:r w:rsidR="00044936">
        <w:rPr>
          <w:sz w:val="32"/>
          <w:szCs w:val="32"/>
        </w:rPr>
        <w:t xml:space="preserve">                                    </w:t>
      </w:r>
    </w:p>
    <w:p w:rsidR="00F24208" w:rsidRPr="00044936" w:rsidRDefault="00956415" w:rsidP="00044936">
      <w:pPr>
        <w:spacing w:line="360" w:lineRule="auto"/>
        <w:ind w:left="-851"/>
        <w:jc w:val="both"/>
        <w:rPr>
          <w:b/>
          <w:sz w:val="32"/>
          <w:szCs w:val="32"/>
        </w:rPr>
      </w:pPr>
      <w:r w:rsidRPr="00044936">
        <w:rPr>
          <w:b/>
          <w:sz w:val="32"/>
          <w:szCs w:val="32"/>
        </w:rPr>
        <w:t>2 млн. лв.,</w:t>
      </w:r>
      <w:r w:rsidRPr="00044936">
        <w:rPr>
          <w:sz w:val="32"/>
          <w:szCs w:val="32"/>
        </w:rPr>
        <w:t xml:space="preserve"> кое</w:t>
      </w:r>
      <w:r w:rsidR="00F24208" w:rsidRPr="00044936">
        <w:rPr>
          <w:sz w:val="32"/>
          <w:szCs w:val="32"/>
        </w:rPr>
        <w:t xml:space="preserve">то представлява приблизително </w:t>
      </w:r>
      <w:r w:rsidR="00F24208" w:rsidRPr="00044936">
        <w:rPr>
          <w:b/>
          <w:sz w:val="32"/>
          <w:szCs w:val="32"/>
        </w:rPr>
        <w:t>1</w:t>
      </w:r>
      <w:r w:rsidR="00C85984" w:rsidRPr="00044936">
        <w:rPr>
          <w:b/>
          <w:sz w:val="32"/>
          <w:szCs w:val="32"/>
        </w:rPr>
        <w:t>%</w:t>
      </w:r>
      <w:r w:rsidR="00C85984" w:rsidRPr="00044936">
        <w:rPr>
          <w:sz w:val="32"/>
          <w:szCs w:val="32"/>
        </w:rPr>
        <w:t xml:space="preserve"> от бюджета на Програмата;</w:t>
      </w:r>
    </w:p>
    <w:p w:rsidR="00F24208" w:rsidRPr="00F534F8" w:rsidRDefault="00CB1DA1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>
        <w:rPr>
          <w:sz w:val="32"/>
          <w:szCs w:val="32"/>
        </w:rPr>
        <w:t>Р</w:t>
      </w:r>
      <w:r w:rsidR="00956415" w:rsidRPr="00F534F8">
        <w:rPr>
          <w:sz w:val="32"/>
          <w:szCs w:val="32"/>
        </w:rPr>
        <w:t xml:space="preserve">азплатени </w:t>
      </w:r>
      <w:r>
        <w:rPr>
          <w:sz w:val="32"/>
          <w:szCs w:val="32"/>
        </w:rPr>
        <w:t xml:space="preserve">са </w:t>
      </w:r>
      <w:r w:rsidR="00956415" w:rsidRPr="00044936">
        <w:rPr>
          <w:b/>
          <w:sz w:val="32"/>
          <w:szCs w:val="32"/>
        </w:rPr>
        <w:t>3 млн. лв.,</w:t>
      </w:r>
      <w:r w:rsidR="00956415" w:rsidRPr="00F534F8">
        <w:rPr>
          <w:sz w:val="32"/>
          <w:szCs w:val="32"/>
        </w:rPr>
        <w:t xml:space="preserve"> </w:t>
      </w:r>
      <w:r w:rsidR="00C85984" w:rsidRPr="00F534F8">
        <w:rPr>
          <w:sz w:val="32"/>
          <w:szCs w:val="32"/>
        </w:rPr>
        <w:t>или</w:t>
      </w:r>
      <w:r w:rsidR="00956415" w:rsidRPr="00F534F8">
        <w:rPr>
          <w:sz w:val="32"/>
          <w:szCs w:val="32"/>
        </w:rPr>
        <w:t xml:space="preserve"> </w:t>
      </w:r>
      <w:r w:rsidR="00956415" w:rsidRPr="00044936">
        <w:rPr>
          <w:b/>
          <w:sz w:val="32"/>
          <w:szCs w:val="32"/>
        </w:rPr>
        <w:t>1,3%</w:t>
      </w:r>
      <w:r w:rsidR="00956415" w:rsidRPr="00F534F8">
        <w:rPr>
          <w:sz w:val="32"/>
          <w:szCs w:val="32"/>
        </w:rPr>
        <w:t xml:space="preserve"> от бюджета на Програмата;</w:t>
      </w:r>
    </w:p>
    <w:p w:rsidR="00956415" w:rsidRPr="00F534F8" w:rsidRDefault="00956415" w:rsidP="00970F7D">
      <w:pPr>
        <w:pStyle w:val="ListParagraph"/>
        <w:numPr>
          <w:ilvl w:val="0"/>
          <w:numId w:val="12"/>
        </w:numPr>
        <w:spacing w:line="360" w:lineRule="auto"/>
        <w:ind w:left="-851" w:firstLine="359"/>
        <w:jc w:val="both"/>
        <w:rPr>
          <w:b/>
          <w:sz w:val="32"/>
          <w:szCs w:val="32"/>
        </w:rPr>
      </w:pPr>
      <w:r w:rsidRPr="00F534F8">
        <w:rPr>
          <w:sz w:val="32"/>
          <w:szCs w:val="32"/>
        </w:rPr>
        <w:t>Към края на 2018 г. разплатените средства, договори</w:t>
      </w:r>
      <w:r w:rsidR="00C85984" w:rsidRPr="00F534F8">
        <w:rPr>
          <w:sz w:val="32"/>
          <w:szCs w:val="32"/>
        </w:rPr>
        <w:t>те</w:t>
      </w:r>
      <w:r w:rsidRPr="00F534F8">
        <w:rPr>
          <w:sz w:val="32"/>
          <w:szCs w:val="32"/>
        </w:rPr>
        <w:t xml:space="preserve"> в процес на изпълнение, проект</w:t>
      </w:r>
      <w:r w:rsidR="00C85984" w:rsidRPr="00F534F8">
        <w:rPr>
          <w:sz w:val="32"/>
          <w:szCs w:val="32"/>
        </w:rPr>
        <w:t xml:space="preserve">ите </w:t>
      </w:r>
      <w:r w:rsidRPr="00F534F8">
        <w:rPr>
          <w:sz w:val="32"/>
          <w:szCs w:val="32"/>
        </w:rPr>
        <w:t>в проце</w:t>
      </w:r>
      <w:r w:rsidR="00C85984" w:rsidRPr="00F534F8">
        <w:rPr>
          <w:sz w:val="32"/>
          <w:szCs w:val="32"/>
        </w:rPr>
        <w:t xml:space="preserve">с </w:t>
      </w:r>
      <w:r w:rsidRPr="00F534F8">
        <w:rPr>
          <w:sz w:val="32"/>
          <w:szCs w:val="32"/>
        </w:rPr>
        <w:t xml:space="preserve">на оценка и отворените приеми ще обхванат приблизително </w:t>
      </w:r>
      <w:r w:rsidRPr="00044936">
        <w:rPr>
          <w:b/>
          <w:sz w:val="32"/>
          <w:szCs w:val="32"/>
        </w:rPr>
        <w:t>97%</w:t>
      </w:r>
      <w:r w:rsidRPr="00F534F8">
        <w:rPr>
          <w:sz w:val="32"/>
          <w:szCs w:val="32"/>
        </w:rPr>
        <w:t xml:space="preserve"> от бюджета на програмата.</w:t>
      </w:r>
    </w:p>
    <w:p w:rsidR="00956415" w:rsidRPr="00956415" w:rsidRDefault="00956415" w:rsidP="00F24208">
      <w:pPr>
        <w:spacing w:line="360" w:lineRule="auto"/>
        <w:ind w:left="-851" w:firstLine="719"/>
        <w:jc w:val="both"/>
        <w:rPr>
          <w:b/>
          <w:sz w:val="32"/>
          <w:szCs w:val="32"/>
        </w:rPr>
      </w:pPr>
      <w:r w:rsidRPr="00956415">
        <w:rPr>
          <w:rFonts w:eastAsia="Calibri"/>
          <w:sz w:val="32"/>
          <w:szCs w:val="32"/>
        </w:rPr>
        <w:t xml:space="preserve">Въпреки </w:t>
      </w:r>
      <w:r w:rsidR="00C85984">
        <w:rPr>
          <w:rFonts w:eastAsia="Calibri"/>
          <w:sz w:val="32"/>
          <w:szCs w:val="32"/>
        </w:rPr>
        <w:t xml:space="preserve">полаганите </w:t>
      </w:r>
      <w:r w:rsidRPr="00956415">
        <w:rPr>
          <w:rFonts w:eastAsia="Calibri"/>
          <w:sz w:val="32"/>
          <w:szCs w:val="32"/>
        </w:rPr>
        <w:t>усилия</w:t>
      </w:r>
      <w:r w:rsidR="00C85984">
        <w:rPr>
          <w:rFonts w:eastAsia="Calibri"/>
          <w:sz w:val="32"/>
          <w:szCs w:val="32"/>
        </w:rPr>
        <w:t xml:space="preserve">, </w:t>
      </w:r>
      <w:r w:rsidRPr="00956415">
        <w:rPr>
          <w:rFonts w:eastAsia="Calibri"/>
          <w:sz w:val="32"/>
          <w:szCs w:val="32"/>
        </w:rPr>
        <w:t xml:space="preserve">усвояването на средствата по правилото „N+3“ и изпълнението на </w:t>
      </w:r>
      <w:r w:rsidR="00970F7D">
        <w:rPr>
          <w:rFonts w:eastAsia="Calibri"/>
          <w:sz w:val="32"/>
          <w:szCs w:val="32"/>
        </w:rPr>
        <w:t>рамката за изпълнение</w:t>
      </w:r>
      <w:r w:rsidRPr="00956415">
        <w:rPr>
          <w:rFonts w:eastAsia="Calibri"/>
          <w:sz w:val="32"/>
          <w:szCs w:val="32"/>
        </w:rPr>
        <w:t xml:space="preserve"> зависи до </w:t>
      </w:r>
      <w:r w:rsidRPr="00956415">
        <w:rPr>
          <w:rFonts w:eastAsia="Calibri"/>
          <w:sz w:val="32"/>
          <w:szCs w:val="32"/>
        </w:rPr>
        <w:lastRenderedPageBreak/>
        <w:t xml:space="preserve">голяма степен и </w:t>
      </w:r>
      <w:r w:rsidR="00C85984">
        <w:rPr>
          <w:rFonts w:eastAsia="Calibri"/>
          <w:sz w:val="32"/>
          <w:szCs w:val="32"/>
        </w:rPr>
        <w:t>от активността и възможностите на бенефициентите и техните изпълнители.</w:t>
      </w:r>
    </w:p>
    <w:p w:rsidR="00956415" w:rsidRPr="00956415" w:rsidRDefault="00956415" w:rsidP="003F2490">
      <w:pPr>
        <w:spacing w:line="360" w:lineRule="auto"/>
        <w:ind w:left="-851" w:firstLine="719"/>
        <w:jc w:val="both"/>
        <w:rPr>
          <w:b/>
          <w:sz w:val="32"/>
          <w:szCs w:val="32"/>
        </w:rPr>
      </w:pPr>
      <w:r w:rsidRPr="00956415">
        <w:rPr>
          <w:sz w:val="32"/>
          <w:szCs w:val="32"/>
        </w:rPr>
        <w:t>Във връзка с гореизложеното, считам че са предприети необходимите административни и управленски мерки и действия с оглед постигането на междинните цели по Програмата</w:t>
      </w:r>
      <w:bookmarkStart w:id="0" w:name="_GoBack"/>
      <w:bookmarkEnd w:id="0"/>
      <w:r w:rsidRPr="00956415">
        <w:rPr>
          <w:sz w:val="32"/>
          <w:szCs w:val="32"/>
        </w:rPr>
        <w:t xml:space="preserve">, както и намаляване на риска от загуба на средства по правилото “n+3”. </w:t>
      </w:r>
    </w:p>
    <w:p w:rsidR="003B5269" w:rsidRDefault="003B5269" w:rsidP="003F2490">
      <w:pPr>
        <w:spacing w:line="360" w:lineRule="auto"/>
        <w:jc w:val="both"/>
        <w:rPr>
          <w:rFonts w:eastAsia="Calibri"/>
          <w:sz w:val="32"/>
          <w:szCs w:val="32"/>
          <w:lang w:eastAsia="bg-BG"/>
        </w:rPr>
      </w:pP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7D06D0">
      <w:pgSz w:w="11907" w:h="16839" w:code="9"/>
      <w:pgMar w:top="709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46B" w:rsidRDefault="0034146B" w:rsidP="002B7AEE">
      <w:r>
        <w:separator/>
      </w:r>
    </w:p>
  </w:endnote>
  <w:endnote w:type="continuationSeparator" w:id="0">
    <w:p w:rsidR="0034146B" w:rsidRDefault="0034146B" w:rsidP="002B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46B" w:rsidRDefault="0034146B" w:rsidP="002B7AEE">
      <w:r>
        <w:separator/>
      </w:r>
    </w:p>
  </w:footnote>
  <w:footnote w:type="continuationSeparator" w:id="0">
    <w:p w:rsidR="0034146B" w:rsidRDefault="0034146B" w:rsidP="002B7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9DA"/>
    <w:multiLevelType w:val="hybridMultilevel"/>
    <w:tmpl w:val="11321756"/>
    <w:lvl w:ilvl="0" w:tplc="040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47406"/>
    <w:multiLevelType w:val="hybridMultilevel"/>
    <w:tmpl w:val="9214B3D4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4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615FE"/>
    <w:multiLevelType w:val="hybridMultilevel"/>
    <w:tmpl w:val="E3AE4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40517"/>
    <w:multiLevelType w:val="hybridMultilevel"/>
    <w:tmpl w:val="D276915E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EBD0AB3"/>
    <w:multiLevelType w:val="hybridMultilevel"/>
    <w:tmpl w:val="3ADEB170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70181809"/>
    <w:multiLevelType w:val="hybridMultilevel"/>
    <w:tmpl w:val="5CBE6DFA"/>
    <w:lvl w:ilvl="0" w:tplc="04021B9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F4A097A"/>
    <w:multiLevelType w:val="hybridMultilevel"/>
    <w:tmpl w:val="7C7E55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44936"/>
    <w:rsid w:val="00057C72"/>
    <w:rsid w:val="00084C61"/>
    <w:rsid w:val="00093B18"/>
    <w:rsid w:val="000A5E03"/>
    <w:rsid w:val="000B163E"/>
    <w:rsid w:val="000D6231"/>
    <w:rsid w:val="00102251"/>
    <w:rsid w:val="0011362D"/>
    <w:rsid w:val="00132B31"/>
    <w:rsid w:val="001370B5"/>
    <w:rsid w:val="0014301A"/>
    <w:rsid w:val="0018075C"/>
    <w:rsid w:val="001A54F1"/>
    <w:rsid w:val="001A7BC4"/>
    <w:rsid w:val="002056BE"/>
    <w:rsid w:val="002164B3"/>
    <w:rsid w:val="00234071"/>
    <w:rsid w:val="00234795"/>
    <w:rsid w:val="00245BA1"/>
    <w:rsid w:val="00274AD2"/>
    <w:rsid w:val="002A6CAD"/>
    <w:rsid w:val="002B7AEE"/>
    <w:rsid w:val="002D2A09"/>
    <w:rsid w:val="0031006C"/>
    <w:rsid w:val="0034146B"/>
    <w:rsid w:val="00385E2F"/>
    <w:rsid w:val="00390B33"/>
    <w:rsid w:val="00393DB9"/>
    <w:rsid w:val="003B5269"/>
    <w:rsid w:val="003E50A4"/>
    <w:rsid w:val="003F2490"/>
    <w:rsid w:val="003F24CE"/>
    <w:rsid w:val="00410D1F"/>
    <w:rsid w:val="00420650"/>
    <w:rsid w:val="00420827"/>
    <w:rsid w:val="0043160C"/>
    <w:rsid w:val="004327D3"/>
    <w:rsid w:val="00443240"/>
    <w:rsid w:val="0046453C"/>
    <w:rsid w:val="004915D6"/>
    <w:rsid w:val="004A7CA9"/>
    <w:rsid w:val="004B07F5"/>
    <w:rsid w:val="004B60BE"/>
    <w:rsid w:val="00512157"/>
    <w:rsid w:val="00525783"/>
    <w:rsid w:val="00541067"/>
    <w:rsid w:val="00556449"/>
    <w:rsid w:val="005B26B7"/>
    <w:rsid w:val="005E40BD"/>
    <w:rsid w:val="00637572"/>
    <w:rsid w:val="006728E4"/>
    <w:rsid w:val="00675D2F"/>
    <w:rsid w:val="00683848"/>
    <w:rsid w:val="006B4B5E"/>
    <w:rsid w:val="006C233A"/>
    <w:rsid w:val="006D0649"/>
    <w:rsid w:val="00707170"/>
    <w:rsid w:val="00721DF0"/>
    <w:rsid w:val="00741408"/>
    <w:rsid w:val="00742E1C"/>
    <w:rsid w:val="007517D9"/>
    <w:rsid w:val="00760C76"/>
    <w:rsid w:val="007850ED"/>
    <w:rsid w:val="007A303E"/>
    <w:rsid w:val="007D06D0"/>
    <w:rsid w:val="00816150"/>
    <w:rsid w:val="008263F5"/>
    <w:rsid w:val="00833D58"/>
    <w:rsid w:val="00840165"/>
    <w:rsid w:val="0085133E"/>
    <w:rsid w:val="00853AA3"/>
    <w:rsid w:val="00854459"/>
    <w:rsid w:val="0089789E"/>
    <w:rsid w:val="008E00C2"/>
    <w:rsid w:val="00946443"/>
    <w:rsid w:val="00947CBE"/>
    <w:rsid w:val="00955519"/>
    <w:rsid w:val="00956415"/>
    <w:rsid w:val="0096064D"/>
    <w:rsid w:val="009609B3"/>
    <w:rsid w:val="0096432F"/>
    <w:rsid w:val="00970F7D"/>
    <w:rsid w:val="00986FFA"/>
    <w:rsid w:val="00991AF2"/>
    <w:rsid w:val="009C1E68"/>
    <w:rsid w:val="009C5C21"/>
    <w:rsid w:val="009E3CC9"/>
    <w:rsid w:val="00A16004"/>
    <w:rsid w:val="00A24B4A"/>
    <w:rsid w:val="00A30307"/>
    <w:rsid w:val="00A306E4"/>
    <w:rsid w:val="00A362CF"/>
    <w:rsid w:val="00A63916"/>
    <w:rsid w:val="00AA6D97"/>
    <w:rsid w:val="00AD0B55"/>
    <w:rsid w:val="00AE4E0C"/>
    <w:rsid w:val="00B20BAD"/>
    <w:rsid w:val="00B63A4F"/>
    <w:rsid w:val="00B6724C"/>
    <w:rsid w:val="00B839D5"/>
    <w:rsid w:val="00B8508E"/>
    <w:rsid w:val="00BA228D"/>
    <w:rsid w:val="00BB0E3B"/>
    <w:rsid w:val="00C03D2E"/>
    <w:rsid w:val="00C254A9"/>
    <w:rsid w:val="00C453CB"/>
    <w:rsid w:val="00C527FD"/>
    <w:rsid w:val="00C52B8B"/>
    <w:rsid w:val="00C85984"/>
    <w:rsid w:val="00C94FF8"/>
    <w:rsid w:val="00C9502F"/>
    <w:rsid w:val="00CA51DB"/>
    <w:rsid w:val="00CB1DA1"/>
    <w:rsid w:val="00CF3BF6"/>
    <w:rsid w:val="00D00D55"/>
    <w:rsid w:val="00D12923"/>
    <w:rsid w:val="00D53D87"/>
    <w:rsid w:val="00D70ABB"/>
    <w:rsid w:val="00D733FA"/>
    <w:rsid w:val="00DA17C8"/>
    <w:rsid w:val="00DB1A40"/>
    <w:rsid w:val="00E103D0"/>
    <w:rsid w:val="00E5060D"/>
    <w:rsid w:val="00E66004"/>
    <w:rsid w:val="00E71E3A"/>
    <w:rsid w:val="00EC1BFF"/>
    <w:rsid w:val="00EC27B2"/>
    <w:rsid w:val="00EC564E"/>
    <w:rsid w:val="00EE2512"/>
    <w:rsid w:val="00EF450D"/>
    <w:rsid w:val="00EF726E"/>
    <w:rsid w:val="00F05ABD"/>
    <w:rsid w:val="00F17E06"/>
    <w:rsid w:val="00F24208"/>
    <w:rsid w:val="00F27EAE"/>
    <w:rsid w:val="00F534F8"/>
    <w:rsid w:val="00FC6BE0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234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DF2F-8D0F-4AB8-8056-BCBF95A8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Sashka Tsenova</cp:lastModifiedBy>
  <cp:revision>13</cp:revision>
  <cp:lastPrinted>2018-09-19T09:06:00Z</cp:lastPrinted>
  <dcterms:created xsi:type="dcterms:W3CDTF">2018-09-19T10:07:00Z</dcterms:created>
  <dcterms:modified xsi:type="dcterms:W3CDTF">2018-09-19T15:03:00Z</dcterms:modified>
</cp:coreProperties>
</file>