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Default="00F22C9B" w:rsidP="00112C7F">
      <w:pPr>
        <w:rPr>
          <w:lang w:val="en-US"/>
        </w:rPr>
      </w:pPr>
      <w:bookmarkStart w:id="0" w:name="_GoBack"/>
      <w:bookmarkEnd w:id="0"/>
    </w:p>
    <w:p w:rsidR="00B54450" w:rsidRPr="00B54450" w:rsidRDefault="00147E6D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p w:rsidR="0003244D" w:rsidRDefault="004A6E62" w:rsidP="0003244D">
      <w:pPr>
        <w:spacing w:after="0" w:line="240" w:lineRule="auto"/>
        <w:ind w:left="456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4252E">
        <w:rPr>
          <w:rFonts w:ascii="Verdana" w:eastAsia="Times New Roman" w:hAnsi="Verdana" w:cs="Times New Roman"/>
          <w:b/>
          <w:sz w:val="20"/>
          <w:szCs w:val="20"/>
        </w:rPr>
        <w:t>МЕТОДИКА И КРИТЕРИИ ЗА ОЦЕНКА НА ОФЕРТИТЕ</w:t>
      </w:r>
    </w:p>
    <w:p w:rsidR="0003244D" w:rsidRPr="0074252E" w:rsidRDefault="0003244D">
      <w:pPr>
        <w:spacing w:after="0" w:line="240" w:lineRule="auto"/>
        <w:ind w:left="456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03244D" w:rsidRDefault="00B96A71" w:rsidP="0003244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</w:rPr>
        <w:t>в обществена поръчка с предмет:</w:t>
      </w:r>
    </w:p>
    <w:p w:rsidR="00ED307E" w:rsidRPr="0074252E" w:rsidRDefault="00B96A71" w:rsidP="0003244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4252E">
        <w:rPr>
          <w:rFonts w:ascii="Verdana" w:eastAsia="Times New Roman" w:hAnsi="Verdana" w:cs="Times New Roman"/>
          <w:b/>
          <w:sz w:val="20"/>
          <w:szCs w:val="20"/>
        </w:rPr>
        <w:t>„Провеждане на задължителни периодични профилактични прегледи на служителите в Министерство на земеделието и храните“</w:t>
      </w:r>
    </w:p>
    <w:p w:rsidR="00ED307E" w:rsidRDefault="00ED307E">
      <w:pPr>
        <w:spacing w:after="0" w:line="240" w:lineRule="auto"/>
        <w:ind w:right="23" w:firstLine="456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6773BE" w:rsidRPr="0074252E" w:rsidRDefault="006773BE">
      <w:pPr>
        <w:spacing w:after="0" w:line="240" w:lineRule="auto"/>
        <w:ind w:right="23" w:firstLine="456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b/>
          <w:sz w:val="20"/>
          <w:szCs w:val="20"/>
        </w:rPr>
        <w:t>Критерият за оценка на офертите е „Икономически най-изгодна оферта”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, където класирането на допуснатите до участие оферти се извършва на база получената от всяка оферта </w:t>
      </w:r>
      <w:r w:rsidRPr="0074252E">
        <w:rPr>
          <w:rFonts w:ascii="Verdana" w:eastAsia="Times New Roman" w:hAnsi="Verdana" w:cs="Times New Roman"/>
          <w:b/>
          <w:sz w:val="20"/>
          <w:szCs w:val="20"/>
        </w:rPr>
        <w:t xml:space="preserve">„Комплексна оценка” 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- </w:t>
      </w:r>
      <w:r w:rsidRPr="0074252E">
        <w:rPr>
          <w:rFonts w:ascii="Verdana" w:eastAsia="Times New Roman" w:hAnsi="Verdana" w:cs="Times New Roman"/>
          <w:b/>
          <w:sz w:val="20"/>
          <w:szCs w:val="20"/>
        </w:rPr>
        <w:t>(КО)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, като сума от индивидуалните оценки по предварително определените показатели. За всеки предварително определен показател, възложителят определя максимално възможния брой точки и относителната му тежест. </w:t>
      </w:r>
    </w:p>
    <w:p w:rsidR="00ED307E" w:rsidRDefault="00ED307E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773BE" w:rsidRPr="0074252E" w:rsidRDefault="006773BE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</w:rPr>
        <w:t>Отделните показатели и съответните им относителни тегла в комплексната оценка, са както следва:</w:t>
      </w:r>
    </w:p>
    <w:p w:rsidR="00ED307E" w:rsidRPr="0074252E" w:rsidRDefault="00ED30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4"/>
        <w:gridCol w:w="1832"/>
        <w:gridCol w:w="1698"/>
        <w:gridCol w:w="1716"/>
      </w:tblGrid>
      <w:tr w:rsidR="00ED307E" w:rsidRPr="0074252E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Показател - П</w:t>
            </w:r>
          </w:p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Относително тегло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Максимално възможен брой точки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Символно обозначение</w:t>
            </w:r>
          </w:p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>(точките по показателя)</w:t>
            </w:r>
          </w:p>
        </w:tc>
      </w:tr>
      <w:tr w:rsidR="00ED307E" w:rsidRPr="0074252E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4</w:t>
            </w:r>
          </w:p>
        </w:tc>
      </w:tr>
      <w:tr w:rsidR="00ED307E" w:rsidRPr="0074252E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 xml:space="preserve">1. Предложена цена – </w:t>
            </w: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П</w:t>
            </w: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E235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4</w:t>
            </w: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>5% (0,</w:t>
            </w:r>
            <w:r w:rsidRPr="00742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4</w:t>
            </w:r>
            <w:r w:rsidR="004A6E62" w:rsidRPr="0074252E">
              <w:rPr>
                <w:rFonts w:ascii="Verdana" w:eastAsia="Times New Roman" w:hAnsi="Verdana" w:cs="Times New Roman"/>
                <w:sz w:val="20"/>
                <w:szCs w:val="20"/>
              </w:rPr>
              <w:t>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Тц</w:t>
            </w:r>
            <w:proofErr w:type="spellEnd"/>
          </w:p>
        </w:tc>
      </w:tr>
      <w:tr w:rsidR="00ED307E" w:rsidRPr="0074252E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 xml:space="preserve">2. Техническо предложение – </w:t>
            </w: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П</w:t>
            </w: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E235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5</w:t>
            </w: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>5% (0,</w:t>
            </w:r>
            <w:r w:rsidRPr="00742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5</w:t>
            </w:r>
            <w:r w:rsidR="004A6E62" w:rsidRPr="0074252E">
              <w:rPr>
                <w:rFonts w:ascii="Verdana" w:eastAsia="Times New Roman" w:hAnsi="Verdana" w:cs="Times New Roman"/>
                <w:sz w:val="20"/>
                <w:szCs w:val="20"/>
              </w:rPr>
              <w:t>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Тт</w:t>
            </w:r>
            <w:proofErr w:type="spellEnd"/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.о.</w:t>
            </w:r>
          </w:p>
        </w:tc>
      </w:tr>
    </w:tbl>
    <w:p w:rsidR="00ED307E" w:rsidRDefault="00ED307E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6773BE" w:rsidRPr="0074252E" w:rsidRDefault="006773BE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74252E">
        <w:rPr>
          <w:rFonts w:ascii="Verdana" w:eastAsia="Times New Roman" w:hAnsi="Verdana" w:cs="Times New Roman"/>
          <w:b/>
          <w:i/>
          <w:sz w:val="20"/>
          <w:szCs w:val="20"/>
        </w:rPr>
        <w:t>Указания за определяне на оценката по всеки показател:</w:t>
      </w: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  <w:u w:val="single"/>
        </w:rPr>
        <w:t>Показател 1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 – „Предложена цена”, с максимален брой точки – 100 и относително тегло в комплексната оценка – 0,</w:t>
      </w:r>
      <w:r w:rsidR="004E2357" w:rsidRPr="0074252E">
        <w:rPr>
          <w:rFonts w:ascii="Verdana" w:eastAsia="Times New Roman" w:hAnsi="Verdana" w:cs="Times New Roman"/>
          <w:sz w:val="20"/>
          <w:szCs w:val="20"/>
          <w:lang w:val="en-US"/>
        </w:rPr>
        <w:t>4</w:t>
      </w:r>
      <w:r w:rsidR="00263589" w:rsidRPr="0074252E">
        <w:rPr>
          <w:rFonts w:ascii="Verdana" w:eastAsia="Times New Roman" w:hAnsi="Verdana" w:cs="Times New Roman"/>
          <w:sz w:val="20"/>
          <w:szCs w:val="20"/>
        </w:rPr>
        <w:t>5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pacing w:val="-2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</w:rPr>
        <w:t xml:space="preserve">Максималният брой точки получава офертата с предложена най-ниска цена – 100 точки. </w:t>
      </w:r>
      <w:r w:rsidRPr="0074252E">
        <w:rPr>
          <w:rFonts w:ascii="Verdana" w:eastAsia="Times New Roman" w:hAnsi="Verdana" w:cs="Times New Roman"/>
          <w:spacing w:val="1"/>
          <w:sz w:val="20"/>
          <w:szCs w:val="20"/>
        </w:rPr>
        <w:t xml:space="preserve">Точките на останалите участници се определят в съотношение към най-ниската </w:t>
      </w:r>
      <w:r w:rsidRPr="0074252E">
        <w:rPr>
          <w:rFonts w:ascii="Verdana" w:eastAsia="Times New Roman" w:hAnsi="Verdana" w:cs="Times New Roman"/>
          <w:spacing w:val="-2"/>
          <w:sz w:val="20"/>
          <w:szCs w:val="20"/>
        </w:rPr>
        <w:t>предложена цена по следната формула:</w:t>
      </w:r>
    </w:p>
    <w:p w:rsidR="00ED307E" w:rsidRPr="0074252E" w:rsidRDefault="00ED307E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pacing w:val="-2"/>
          <w:sz w:val="20"/>
          <w:szCs w:val="20"/>
        </w:rPr>
      </w:pPr>
    </w:p>
    <w:p w:rsidR="00ED307E" w:rsidRPr="0074252E" w:rsidRDefault="004A6E62">
      <w:pPr>
        <w:spacing w:after="0" w:line="240" w:lineRule="auto"/>
        <w:jc w:val="both"/>
        <w:rPr>
          <w:rFonts w:ascii="Verdana" w:eastAsia="Times New Roman" w:hAnsi="Verdana" w:cs="Times New Roman"/>
          <w:spacing w:val="-2"/>
          <w:sz w:val="20"/>
          <w:szCs w:val="20"/>
        </w:rPr>
      </w:pPr>
      <w:r w:rsidRPr="0074252E">
        <w:rPr>
          <w:rFonts w:ascii="Verdana" w:eastAsia="Times New Roman" w:hAnsi="Verdana" w:cs="Times New Roman"/>
          <w:spacing w:val="-2"/>
          <w:sz w:val="20"/>
          <w:szCs w:val="20"/>
        </w:rPr>
        <w:t xml:space="preserve">                                            </w:t>
      </w:r>
      <w:proofErr w:type="spellStart"/>
      <w:r w:rsidRPr="0074252E">
        <w:rPr>
          <w:rFonts w:ascii="Verdana" w:eastAsia="Times New Roman" w:hAnsi="Verdana" w:cs="Times New Roman"/>
          <w:spacing w:val="-2"/>
          <w:sz w:val="20"/>
          <w:szCs w:val="20"/>
        </w:rPr>
        <w:t>Сmin</w:t>
      </w:r>
      <w:proofErr w:type="spellEnd"/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74252E">
        <w:rPr>
          <w:rFonts w:ascii="Verdana" w:eastAsia="Times New Roman" w:hAnsi="Verdana" w:cs="Times New Roman"/>
          <w:b/>
          <w:sz w:val="20"/>
          <w:szCs w:val="20"/>
        </w:rPr>
        <w:t>Тц</w:t>
      </w:r>
      <w:proofErr w:type="spellEnd"/>
      <w:r w:rsidRPr="0074252E">
        <w:rPr>
          <w:rFonts w:ascii="Verdana" w:eastAsia="Times New Roman" w:hAnsi="Verdana" w:cs="Times New Roman"/>
          <w:sz w:val="20"/>
          <w:szCs w:val="20"/>
        </w:rPr>
        <w:t xml:space="preserve">  = 100   х    -----------------, където:</w:t>
      </w:r>
    </w:p>
    <w:p w:rsidR="00ED307E" w:rsidRPr="0074252E" w:rsidRDefault="004A6E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</w:t>
      </w:r>
      <w:proofErr w:type="spellStart"/>
      <w:r w:rsidRPr="0074252E">
        <w:rPr>
          <w:rFonts w:ascii="Verdana" w:eastAsia="Times New Roman" w:hAnsi="Verdana" w:cs="Times New Roman"/>
          <w:sz w:val="20"/>
          <w:szCs w:val="20"/>
        </w:rPr>
        <w:t>Cn</w:t>
      </w:r>
      <w:proofErr w:type="spellEnd"/>
      <w:r w:rsidRPr="0074252E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ED307E" w:rsidRPr="0074252E" w:rsidRDefault="004A6E62">
      <w:pPr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pacing w:val="-3"/>
          <w:sz w:val="20"/>
          <w:szCs w:val="20"/>
        </w:rPr>
        <w:t>„100” е максималните точки по показателя;</w:t>
      </w:r>
    </w:p>
    <w:p w:rsidR="00ED307E" w:rsidRPr="0074252E" w:rsidRDefault="004A6E62">
      <w:pPr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pacing w:val="-1"/>
          <w:sz w:val="20"/>
          <w:szCs w:val="20"/>
        </w:rPr>
        <w:t>„</w:t>
      </w:r>
      <w:proofErr w:type="spellStart"/>
      <w:r w:rsidRPr="0074252E">
        <w:rPr>
          <w:rFonts w:ascii="Verdana" w:eastAsia="Times New Roman" w:hAnsi="Verdana" w:cs="Times New Roman"/>
          <w:spacing w:val="-1"/>
          <w:sz w:val="20"/>
          <w:szCs w:val="20"/>
        </w:rPr>
        <w:t>C</w:t>
      </w:r>
      <w:r w:rsidRPr="0074252E">
        <w:rPr>
          <w:rFonts w:ascii="Verdana" w:eastAsia="Times New Roman" w:hAnsi="Verdana" w:cs="Times New Roman"/>
          <w:spacing w:val="-1"/>
          <w:sz w:val="20"/>
          <w:szCs w:val="20"/>
          <w:vertAlign w:val="subscript"/>
        </w:rPr>
        <w:t>min</w:t>
      </w:r>
      <w:proofErr w:type="spellEnd"/>
      <w:r w:rsidRPr="0074252E">
        <w:rPr>
          <w:rFonts w:ascii="Verdana" w:eastAsia="Times New Roman" w:hAnsi="Verdana" w:cs="Times New Roman"/>
          <w:spacing w:val="-1"/>
          <w:sz w:val="20"/>
          <w:szCs w:val="20"/>
        </w:rPr>
        <w:t>” е най-ниската предложена цена;</w:t>
      </w:r>
    </w:p>
    <w:p w:rsidR="00ED307E" w:rsidRPr="0074252E" w:rsidRDefault="004A6E62">
      <w:pPr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pacing w:val="-1"/>
          <w:sz w:val="20"/>
          <w:szCs w:val="20"/>
        </w:rPr>
        <w:t>„</w:t>
      </w:r>
      <w:proofErr w:type="spellStart"/>
      <w:r w:rsidRPr="0074252E">
        <w:rPr>
          <w:rFonts w:ascii="Verdana" w:eastAsia="Times New Roman" w:hAnsi="Verdana" w:cs="Times New Roman"/>
          <w:spacing w:val="-1"/>
          <w:sz w:val="20"/>
          <w:szCs w:val="20"/>
        </w:rPr>
        <w:t>C</w:t>
      </w:r>
      <w:r w:rsidRPr="0074252E">
        <w:rPr>
          <w:rFonts w:ascii="Verdana" w:eastAsia="Times New Roman" w:hAnsi="Verdana" w:cs="Times New Roman"/>
          <w:spacing w:val="-1"/>
          <w:sz w:val="20"/>
          <w:szCs w:val="20"/>
          <w:vertAlign w:val="subscript"/>
        </w:rPr>
        <w:t>n</w:t>
      </w:r>
      <w:proofErr w:type="spellEnd"/>
      <w:r w:rsidRPr="0074252E">
        <w:rPr>
          <w:rFonts w:ascii="Verdana" w:eastAsia="Times New Roman" w:hAnsi="Verdana" w:cs="Times New Roman"/>
          <w:spacing w:val="-1"/>
          <w:sz w:val="20"/>
          <w:szCs w:val="20"/>
        </w:rPr>
        <w:t xml:space="preserve"> ”е цената на n-я участник.</w:t>
      </w:r>
    </w:p>
    <w:p w:rsidR="00ED307E" w:rsidRPr="0074252E" w:rsidRDefault="00ED30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pacing w:val="-1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</w:rPr>
        <w:t xml:space="preserve">Точките по първия показател на </w:t>
      </w:r>
      <w:r w:rsidRPr="0074252E">
        <w:rPr>
          <w:rFonts w:ascii="Verdana" w:eastAsia="Times New Roman" w:hAnsi="Verdana" w:cs="Times New Roman"/>
          <w:spacing w:val="-1"/>
          <w:sz w:val="20"/>
          <w:szCs w:val="20"/>
        </w:rPr>
        <w:t>n-я участник се получават по следната формула:</w:t>
      </w:r>
    </w:p>
    <w:p w:rsidR="00ED307E" w:rsidRPr="0074252E" w:rsidRDefault="00ED30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b/>
          <w:sz w:val="20"/>
          <w:szCs w:val="20"/>
        </w:rPr>
        <w:t>П</w:t>
      </w:r>
      <w:r w:rsidRPr="0074252E">
        <w:rPr>
          <w:rFonts w:ascii="Verdana" w:eastAsia="Times New Roman" w:hAnsi="Verdana" w:cs="Times New Roman"/>
          <w:b/>
          <w:sz w:val="20"/>
          <w:szCs w:val="20"/>
          <w:vertAlign w:val="subscript"/>
        </w:rPr>
        <w:t>1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E2357" w:rsidRPr="0074252E">
        <w:rPr>
          <w:rFonts w:ascii="Verdana" w:eastAsia="Times New Roman" w:hAnsi="Verdana" w:cs="Times New Roman"/>
          <w:b/>
          <w:sz w:val="20"/>
          <w:szCs w:val="20"/>
        </w:rPr>
        <w:t xml:space="preserve">=  </w:t>
      </w:r>
      <w:proofErr w:type="spellStart"/>
      <w:r w:rsidR="004E2357" w:rsidRPr="0074252E">
        <w:rPr>
          <w:rFonts w:ascii="Verdana" w:eastAsia="Times New Roman" w:hAnsi="Verdana" w:cs="Times New Roman"/>
          <w:b/>
          <w:sz w:val="20"/>
          <w:szCs w:val="20"/>
        </w:rPr>
        <w:t>Тц</w:t>
      </w:r>
      <w:proofErr w:type="spellEnd"/>
      <w:r w:rsidR="004E2357" w:rsidRPr="0074252E">
        <w:rPr>
          <w:rFonts w:ascii="Verdana" w:eastAsia="Times New Roman" w:hAnsi="Verdana" w:cs="Times New Roman"/>
          <w:b/>
          <w:sz w:val="20"/>
          <w:szCs w:val="20"/>
        </w:rPr>
        <w:t xml:space="preserve"> х 0,</w:t>
      </w:r>
      <w:r w:rsidR="004E2357" w:rsidRPr="0074252E">
        <w:rPr>
          <w:rFonts w:ascii="Verdana" w:eastAsia="Times New Roman" w:hAnsi="Verdana" w:cs="Times New Roman"/>
          <w:b/>
          <w:sz w:val="20"/>
          <w:szCs w:val="20"/>
          <w:lang w:val="en-US"/>
        </w:rPr>
        <w:t>4</w:t>
      </w:r>
      <w:r w:rsidRPr="0074252E"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4252E">
        <w:rPr>
          <w:rFonts w:ascii="Verdana" w:eastAsia="Times New Roman" w:hAnsi="Verdana" w:cs="Times New Roman"/>
          <w:sz w:val="20"/>
          <w:szCs w:val="20"/>
        </w:rPr>
        <w:t>, където:</w:t>
      </w:r>
    </w:p>
    <w:p w:rsidR="00ED307E" w:rsidRPr="0074252E" w:rsidRDefault="004A6E62">
      <w:pPr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pacing w:val="-3"/>
          <w:sz w:val="20"/>
          <w:szCs w:val="20"/>
        </w:rPr>
      </w:pPr>
      <w:r w:rsidRPr="0074252E">
        <w:rPr>
          <w:rFonts w:ascii="Verdana" w:eastAsia="Times New Roman" w:hAnsi="Verdana" w:cs="Times New Roman"/>
          <w:spacing w:val="-3"/>
          <w:sz w:val="20"/>
          <w:szCs w:val="20"/>
        </w:rPr>
        <w:t>„0,</w:t>
      </w:r>
      <w:r w:rsidR="00771E18">
        <w:rPr>
          <w:rFonts w:ascii="Verdana" w:eastAsia="Times New Roman" w:hAnsi="Verdana" w:cs="Times New Roman"/>
          <w:spacing w:val="-3"/>
          <w:sz w:val="20"/>
          <w:szCs w:val="20"/>
        </w:rPr>
        <w:t>4</w:t>
      </w:r>
      <w:r w:rsidRPr="0074252E">
        <w:rPr>
          <w:rFonts w:ascii="Verdana" w:eastAsia="Times New Roman" w:hAnsi="Verdana" w:cs="Times New Roman"/>
          <w:spacing w:val="-3"/>
          <w:sz w:val="20"/>
          <w:szCs w:val="20"/>
        </w:rPr>
        <w:t>5” е относителното тегло на показателя.</w:t>
      </w:r>
    </w:p>
    <w:p w:rsidR="00ED307E" w:rsidRPr="0074252E" w:rsidRDefault="00ED30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  <w:u w:val="single"/>
        </w:rPr>
        <w:t>Показател 2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 – “Техническо предложение”, с максимален брой точки</w:t>
      </w:r>
      <w:r w:rsidR="004E2357" w:rsidRPr="0074252E">
        <w:rPr>
          <w:rFonts w:ascii="Verdana" w:eastAsia="Times New Roman" w:hAnsi="Verdana" w:cs="Times New Roman"/>
          <w:sz w:val="20"/>
          <w:szCs w:val="20"/>
        </w:rPr>
        <w:t xml:space="preserve"> – 100 и относително тегло - 0,</w:t>
      </w:r>
      <w:r w:rsidR="004E2357" w:rsidRPr="0074252E">
        <w:rPr>
          <w:rFonts w:ascii="Verdana" w:eastAsia="Times New Roman" w:hAnsi="Verdana" w:cs="Times New Roman"/>
          <w:sz w:val="20"/>
          <w:szCs w:val="20"/>
          <w:lang w:val="en-US"/>
        </w:rPr>
        <w:t>5</w:t>
      </w:r>
      <w:r w:rsidRPr="0074252E">
        <w:rPr>
          <w:rFonts w:ascii="Verdana" w:eastAsia="Times New Roman" w:hAnsi="Verdana" w:cs="Times New Roman"/>
          <w:sz w:val="20"/>
          <w:szCs w:val="20"/>
        </w:rPr>
        <w:t>5.</w:t>
      </w: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</w:rPr>
        <w:t>Максималният брой точки получава офертата/те, която/които е с предложени най-добри условия по отношение на техническото предложение. Точките по показателя за всяка оферта се изчисляват, като сума от точките посочени в таблица № 2.</w:t>
      </w:r>
    </w:p>
    <w:p w:rsidR="00ED307E" w:rsidRPr="0074252E" w:rsidRDefault="00ED307E">
      <w:pPr>
        <w:spacing w:after="0" w:line="240" w:lineRule="auto"/>
        <w:rPr>
          <w:rFonts w:ascii="Verdana" w:eastAsia="Times New Roman" w:hAnsi="Verdana" w:cs="Times New Roman"/>
          <w:spacing w:val="3"/>
          <w:sz w:val="20"/>
          <w:szCs w:val="20"/>
        </w:rPr>
      </w:pPr>
    </w:p>
    <w:p w:rsidR="003E2498" w:rsidRPr="0074252E" w:rsidRDefault="003E2498">
      <w:pPr>
        <w:spacing w:after="0" w:line="240" w:lineRule="auto"/>
        <w:ind w:firstLine="709"/>
        <w:rPr>
          <w:rFonts w:ascii="Verdana" w:eastAsia="Times New Roman" w:hAnsi="Verdana" w:cs="Times New Roman"/>
          <w:spacing w:val="3"/>
          <w:sz w:val="20"/>
          <w:szCs w:val="20"/>
        </w:rPr>
      </w:pPr>
    </w:p>
    <w:p w:rsidR="003E2498" w:rsidRPr="0074252E" w:rsidRDefault="003E2498">
      <w:pPr>
        <w:spacing w:after="0" w:line="240" w:lineRule="auto"/>
        <w:ind w:firstLine="709"/>
        <w:rPr>
          <w:rFonts w:ascii="Verdana" w:eastAsia="Times New Roman" w:hAnsi="Verdana" w:cs="Times New Roman"/>
          <w:spacing w:val="3"/>
          <w:sz w:val="20"/>
          <w:szCs w:val="20"/>
        </w:rPr>
      </w:pPr>
    </w:p>
    <w:p w:rsidR="003E2498" w:rsidRPr="0074252E" w:rsidRDefault="003E2498">
      <w:pPr>
        <w:spacing w:after="0" w:line="240" w:lineRule="auto"/>
        <w:ind w:firstLine="709"/>
        <w:rPr>
          <w:rFonts w:ascii="Verdana" w:eastAsia="Times New Roman" w:hAnsi="Verdana" w:cs="Times New Roman"/>
          <w:spacing w:val="3"/>
          <w:sz w:val="20"/>
          <w:szCs w:val="20"/>
        </w:rPr>
      </w:pPr>
    </w:p>
    <w:p w:rsidR="004B3268" w:rsidRPr="0074252E" w:rsidRDefault="004B3268">
      <w:pPr>
        <w:spacing w:after="0" w:line="240" w:lineRule="auto"/>
        <w:ind w:firstLine="709"/>
        <w:rPr>
          <w:rFonts w:ascii="Verdana" w:eastAsia="Times New Roman" w:hAnsi="Verdana" w:cs="Times New Roman"/>
          <w:spacing w:val="3"/>
          <w:sz w:val="20"/>
          <w:szCs w:val="20"/>
        </w:rPr>
      </w:pPr>
    </w:p>
    <w:p w:rsidR="004B3268" w:rsidRPr="0074252E" w:rsidRDefault="004B3268">
      <w:pPr>
        <w:spacing w:after="0" w:line="240" w:lineRule="auto"/>
        <w:ind w:firstLine="709"/>
        <w:rPr>
          <w:rFonts w:ascii="Verdana" w:eastAsia="Times New Roman" w:hAnsi="Verdana" w:cs="Times New Roman"/>
          <w:spacing w:val="3"/>
          <w:sz w:val="20"/>
          <w:szCs w:val="20"/>
        </w:rPr>
      </w:pPr>
    </w:p>
    <w:p w:rsidR="00CA51BF" w:rsidRPr="0074252E" w:rsidRDefault="00CA51BF">
      <w:pPr>
        <w:spacing w:after="0" w:line="240" w:lineRule="auto"/>
        <w:ind w:firstLine="709"/>
        <w:rPr>
          <w:rFonts w:ascii="Verdana" w:eastAsia="Times New Roman" w:hAnsi="Verdana" w:cs="Times New Roman"/>
          <w:spacing w:val="3"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09"/>
        <w:rPr>
          <w:rFonts w:ascii="Verdana" w:eastAsia="Times New Roman" w:hAnsi="Verdana" w:cs="Times New Roman"/>
          <w:spacing w:val="3"/>
          <w:sz w:val="20"/>
          <w:szCs w:val="20"/>
          <w:vertAlign w:val="subscript"/>
        </w:rPr>
      </w:pPr>
      <w:r w:rsidRPr="0074252E">
        <w:rPr>
          <w:rFonts w:ascii="Verdana" w:eastAsia="Times New Roman" w:hAnsi="Verdana" w:cs="Times New Roman"/>
          <w:spacing w:val="3"/>
          <w:sz w:val="20"/>
          <w:szCs w:val="20"/>
        </w:rPr>
        <w:t>Таблица № 2 за показател П</w:t>
      </w:r>
      <w:r w:rsidRPr="0074252E">
        <w:rPr>
          <w:rFonts w:ascii="Verdana" w:eastAsia="Times New Roman" w:hAnsi="Verdana" w:cs="Times New Roman"/>
          <w:spacing w:val="3"/>
          <w:sz w:val="20"/>
          <w:szCs w:val="20"/>
          <w:vertAlign w:val="subscript"/>
        </w:rPr>
        <w:t>2</w:t>
      </w:r>
    </w:p>
    <w:p w:rsidR="00ED307E" w:rsidRPr="0074252E" w:rsidRDefault="00ED307E">
      <w:pPr>
        <w:tabs>
          <w:tab w:val="left" w:pos="4153"/>
          <w:tab w:val="left" w:pos="8306"/>
        </w:tabs>
        <w:spacing w:after="0" w:line="240" w:lineRule="auto"/>
        <w:rPr>
          <w:rFonts w:ascii="Verdana" w:eastAsia="Times New Roman" w:hAnsi="Verdana" w:cs="Times New Roman"/>
          <w:spacing w:val="3"/>
          <w:sz w:val="20"/>
          <w:szCs w:val="20"/>
        </w:rPr>
      </w:pPr>
    </w:p>
    <w:tbl>
      <w:tblPr>
        <w:tblW w:w="946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4"/>
        <w:gridCol w:w="1100"/>
      </w:tblGrid>
      <w:tr w:rsidR="00ED307E" w:rsidRPr="0074252E" w:rsidTr="008D5054">
        <w:trPr>
          <w:trHeight w:val="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ind w:firstLine="720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Параметри на показател </w:t>
            </w:r>
            <w:r w:rsidRPr="0074252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„Техническо предложение” – </w:t>
            </w:r>
            <w:proofErr w:type="spellStart"/>
            <w:r w:rsidRPr="0074252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Тт</w:t>
            </w:r>
            <w:proofErr w:type="spellEnd"/>
            <w:r w:rsidRPr="0074252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.о.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Точки</w:t>
            </w:r>
          </w:p>
        </w:tc>
      </w:tr>
      <w:tr w:rsidR="00ED307E" w:rsidRPr="0074252E" w:rsidTr="008D5054">
        <w:trPr>
          <w:trHeight w:val="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</w:tcPr>
          <w:p w:rsidR="00ED307E" w:rsidRPr="0074252E" w:rsidRDefault="00D00C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Методология за изпълнение на поръчката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</w:tcPr>
          <w:p w:rsidR="00ED307E" w:rsidRPr="0074252E" w:rsidRDefault="00D00CA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100</w:t>
            </w:r>
          </w:p>
        </w:tc>
      </w:tr>
      <w:tr w:rsidR="00ED307E" w:rsidRPr="0074252E" w:rsidTr="008D5054">
        <w:trPr>
          <w:trHeight w:val="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представената </w:t>
            </w:r>
            <w:r w:rsidR="00D00CAB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методология </w:t>
            </w: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са налице всички от следните обстоятелства:</w:t>
            </w:r>
          </w:p>
          <w:p w:rsidR="00ED307E" w:rsidRPr="0074252E" w:rsidRDefault="004A6E62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Идентифицирани са рисковете за изпълнение на поръчката, като те са </w:t>
            </w:r>
            <w:r w:rsidR="00D00CAB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обосновани</w:t>
            </w: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и са предложени начини за тяхното преодоляване</w:t>
            </w:r>
            <w:r w:rsidR="00D00CAB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;</w:t>
            </w:r>
          </w:p>
          <w:p w:rsidR="00ED307E" w:rsidRPr="0074252E" w:rsidRDefault="004A6E62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Обосновано е мнение по отношение на целите и очакваните резултати от изпълнението на поръчката, като те са обвързани с общата и специфичните цели на </w:t>
            </w:r>
            <w:r w:rsidR="00AA6A17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поръчката</w:t>
            </w:r>
            <w:r w:rsidR="00D00CAB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;</w:t>
            </w:r>
          </w:p>
          <w:p w:rsidR="00D50CC0" w:rsidRPr="0074252E" w:rsidRDefault="004A6E62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Представен е подходът за изпълнение на поръчката, както и ключовите моменти, свързани с нейната реализация</w:t>
            </w:r>
            <w:r w:rsidR="00D00CAB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;</w:t>
            </w: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Описани са дейностите и под-дейностите, които ще бъдат извършени във връзка с изпълнението на поръчката;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Описана е организацията на работата по време на извършването на медицинските прегледи;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Описани са резултатите от изпълнението на поръчката;</w:t>
            </w:r>
          </w:p>
          <w:p w:rsidR="00D00CAB" w:rsidRPr="0074252E" w:rsidRDefault="00D00CAB" w:rsidP="00564BE2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Представен е </w:t>
            </w:r>
            <w:r w:rsidR="00B96A71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индикативен </w:t>
            </w: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план-график за изпълнението на поръчката</w:t>
            </w:r>
            <w:r w:rsidR="00564BE2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7E" w:rsidRPr="0074252E" w:rsidRDefault="00D00C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>100</w:t>
            </w:r>
          </w:p>
          <w:p w:rsidR="00ED307E" w:rsidRPr="0074252E" w:rsidRDefault="00ED30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D307E" w:rsidRPr="0074252E" w:rsidTr="008D5054">
        <w:trPr>
          <w:trHeight w:val="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CAB" w:rsidRPr="0074252E" w:rsidRDefault="00D00CAB" w:rsidP="00D00C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представената методология са налице всички от следните обстоятелства: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Идентифицирани са рисковете за изпълнение на поръчката, като същите не са обосновани, но са предложени начини за тяхното преодоляване;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Представен е подходът за изпълнение на поръчката;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Описани са дейностите, които ще бъдат извършени във връзка с изпълнението на поръчката;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Описани са резултатите от изпълнението на поръчката;</w:t>
            </w:r>
          </w:p>
          <w:p w:rsidR="008D5054" w:rsidRPr="0074252E" w:rsidRDefault="00D00CAB" w:rsidP="00564BE2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Представен е </w:t>
            </w:r>
            <w:r w:rsidR="00B96A71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индикативен </w:t>
            </w: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план-график за изпълнението на поръчката</w:t>
            </w:r>
            <w:r w:rsidR="00564BE2"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7E" w:rsidRPr="0074252E" w:rsidRDefault="00D00CA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="004A6E62" w:rsidRPr="0074252E"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</w:p>
        </w:tc>
      </w:tr>
      <w:tr w:rsidR="00ED307E" w:rsidRPr="0074252E" w:rsidTr="008D5054">
        <w:trPr>
          <w:trHeight w:val="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CAB" w:rsidRPr="0074252E" w:rsidRDefault="00D00CAB" w:rsidP="00D00C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представената методология са налице всички от следните обстоятелства: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Представен е подходът за изпълнение на поръчката;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Описани са дейностите, които ще бъдат извършени във връзка с изпълнението на поръчката;</w:t>
            </w:r>
          </w:p>
          <w:p w:rsidR="00D00CAB" w:rsidRPr="0074252E" w:rsidRDefault="00D00CAB" w:rsidP="00D00CA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Описани са резултатите от изпълнението на поръчката;</w:t>
            </w:r>
          </w:p>
          <w:p w:rsidR="00D50CC0" w:rsidRPr="0074252E" w:rsidRDefault="00D50CC0" w:rsidP="00B96A71">
            <w:pPr>
              <w:tabs>
                <w:tab w:val="left" w:pos="6336"/>
              </w:tabs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</w:tr>
      <w:tr w:rsidR="00ED307E" w:rsidRPr="0074252E" w:rsidTr="008D5054">
        <w:trPr>
          <w:trHeight w:val="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ind w:left="284"/>
              <w:jc w:val="righ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Максимално възможни точки по показател  </w:t>
            </w:r>
          </w:p>
          <w:p w:rsidR="00ED307E" w:rsidRPr="0074252E" w:rsidRDefault="004A6E62">
            <w:pPr>
              <w:spacing w:after="0" w:line="240" w:lineRule="auto"/>
              <w:ind w:left="284"/>
              <w:jc w:val="right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„Техническо предложение” – </w:t>
            </w:r>
            <w:proofErr w:type="spellStart"/>
            <w:r w:rsidRPr="0074252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Тт</w:t>
            </w:r>
            <w:proofErr w:type="spellEnd"/>
            <w:r w:rsidRPr="0074252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.о.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7E" w:rsidRPr="0074252E" w:rsidRDefault="004A6E6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4252E">
              <w:rPr>
                <w:rFonts w:ascii="Verdana" w:eastAsia="Times New Roman" w:hAnsi="Verdana" w:cs="Times New Roman"/>
                <w:b/>
                <w:sz w:val="20"/>
                <w:szCs w:val="20"/>
              </w:rPr>
              <w:t>100</w:t>
            </w:r>
          </w:p>
        </w:tc>
      </w:tr>
    </w:tbl>
    <w:p w:rsidR="00ED307E" w:rsidRPr="0074252E" w:rsidRDefault="00ED30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pacing w:val="-1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</w:rPr>
        <w:t xml:space="preserve">Точките по втория показател на </w:t>
      </w:r>
      <w:r w:rsidRPr="0074252E">
        <w:rPr>
          <w:rFonts w:ascii="Verdana" w:eastAsia="Times New Roman" w:hAnsi="Verdana" w:cs="Times New Roman"/>
          <w:spacing w:val="-1"/>
          <w:sz w:val="20"/>
          <w:szCs w:val="20"/>
        </w:rPr>
        <w:t>n- я участник се получават по следната формула:</w:t>
      </w:r>
    </w:p>
    <w:p w:rsidR="00ED307E" w:rsidRPr="0074252E" w:rsidRDefault="00ED307E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b/>
          <w:sz w:val="20"/>
          <w:szCs w:val="20"/>
        </w:rPr>
        <w:t>П</w:t>
      </w:r>
      <w:r w:rsidRPr="0074252E">
        <w:rPr>
          <w:rFonts w:ascii="Verdana" w:eastAsia="Times New Roman" w:hAnsi="Verdana" w:cs="Times New Roman"/>
          <w:b/>
          <w:sz w:val="20"/>
          <w:szCs w:val="20"/>
          <w:vertAlign w:val="subscript"/>
        </w:rPr>
        <w:t>2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4252E">
        <w:rPr>
          <w:rFonts w:ascii="Verdana" w:eastAsia="Times New Roman" w:hAnsi="Verdana" w:cs="Times New Roman"/>
          <w:b/>
          <w:sz w:val="20"/>
          <w:szCs w:val="20"/>
        </w:rPr>
        <w:t xml:space="preserve">=  </w:t>
      </w:r>
      <w:proofErr w:type="spellStart"/>
      <w:r w:rsidRPr="0074252E">
        <w:rPr>
          <w:rFonts w:ascii="Verdana" w:eastAsia="Times New Roman" w:hAnsi="Verdana" w:cs="Times New Roman"/>
          <w:b/>
          <w:sz w:val="20"/>
          <w:szCs w:val="20"/>
        </w:rPr>
        <w:t>Тт</w:t>
      </w:r>
      <w:proofErr w:type="spellEnd"/>
      <w:r w:rsidRPr="0074252E">
        <w:rPr>
          <w:rFonts w:ascii="Verdana" w:eastAsia="Times New Roman" w:hAnsi="Verdana" w:cs="Times New Roman"/>
          <w:b/>
          <w:sz w:val="20"/>
          <w:szCs w:val="20"/>
        </w:rPr>
        <w:t>.о.</w:t>
      </w:r>
      <w:r w:rsidR="004E2357" w:rsidRPr="0074252E">
        <w:rPr>
          <w:rFonts w:ascii="Verdana" w:eastAsia="Times New Roman" w:hAnsi="Verdana" w:cs="Times New Roman"/>
          <w:b/>
          <w:sz w:val="20"/>
          <w:szCs w:val="20"/>
        </w:rPr>
        <w:t xml:space="preserve"> х 0,</w:t>
      </w:r>
      <w:r w:rsidR="004E2357" w:rsidRPr="0074252E">
        <w:rPr>
          <w:rFonts w:ascii="Verdana" w:eastAsia="Times New Roman" w:hAnsi="Verdana" w:cs="Times New Roman"/>
          <w:b/>
          <w:sz w:val="20"/>
          <w:szCs w:val="20"/>
          <w:lang w:val="en-US"/>
        </w:rPr>
        <w:t>5</w:t>
      </w:r>
      <w:r w:rsidRPr="0074252E"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 , където:</w:t>
      </w:r>
    </w:p>
    <w:p w:rsidR="00ED307E" w:rsidRPr="0074252E" w:rsidRDefault="00ED307E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>
      <w:pPr>
        <w:numPr>
          <w:ilvl w:val="0"/>
          <w:numId w:val="9"/>
        </w:numPr>
        <w:tabs>
          <w:tab w:val="left" w:pos="360"/>
          <w:tab w:val="left" w:pos="1134"/>
        </w:tabs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pacing w:val="-3"/>
          <w:sz w:val="20"/>
          <w:szCs w:val="20"/>
        </w:rPr>
      </w:pPr>
      <w:r w:rsidRPr="0074252E">
        <w:rPr>
          <w:rFonts w:ascii="Verdana" w:eastAsia="Times New Roman" w:hAnsi="Verdana" w:cs="Times New Roman"/>
          <w:spacing w:val="-3"/>
          <w:sz w:val="20"/>
          <w:szCs w:val="20"/>
        </w:rPr>
        <w:t>„0,</w:t>
      </w:r>
      <w:r w:rsidR="00D25EE2">
        <w:rPr>
          <w:rFonts w:ascii="Verdana" w:eastAsia="Times New Roman" w:hAnsi="Verdana" w:cs="Times New Roman"/>
          <w:spacing w:val="-3"/>
          <w:sz w:val="20"/>
          <w:szCs w:val="20"/>
        </w:rPr>
        <w:t>5</w:t>
      </w:r>
      <w:r w:rsidRPr="0074252E">
        <w:rPr>
          <w:rFonts w:ascii="Verdana" w:eastAsia="Times New Roman" w:hAnsi="Verdana" w:cs="Times New Roman"/>
          <w:spacing w:val="-3"/>
          <w:sz w:val="20"/>
          <w:szCs w:val="20"/>
        </w:rPr>
        <w:t>5” е относителното тегло на показателя.</w:t>
      </w:r>
    </w:p>
    <w:p w:rsidR="00ED307E" w:rsidRPr="0074252E" w:rsidRDefault="00ED307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74252E">
        <w:rPr>
          <w:rFonts w:ascii="Verdana" w:eastAsia="Times New Roman" w:hAnsi="Verdana" w:cs="Times New Roman"/>
          <w:sz w:val="20"/>
          <w:szCs w:val="20"/>
        </w:rPr>
        <w:t>Комплексната оценка (</w:t>
      </w:r>
      <w:r w:rsidRPr="0074252E">
        <w:rPr>
          <w:rFonts w:ascii="Verdana" w:eastAsia="Times New Roman" w:hAnsi="Verdana" w:cs="Times New Roman"/>
          <w:b/>
          <w:sz w:val="20"/>
          <w:szCs w:val="20"/>
        </w:rPr>
        <w:t>КО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) на всеки </w:t>
      </w:r>
      <w:r w:rsidRPr="0074252E">
        <w:rPr>
          <w:rFonts w:ascii="Verdana" w:eastAsia="Times New Roman" w:hAnsi="Verdana" w:cs="Times New Roman"/>
          <w:spacing w:val="-1"/>
          <w:sz w:val="20"/>
          <w:szCs w:val="20"/>
        </w:rPr>
        <w:t>участник</w:t>
      </w:r>
      <w:r w:rsidRPr="0074252E">
        <w:rPr>
          <w:rFonts w:ascii="Verdana" w:eastAsia="Times New Roman" w:hAnsi="Verdana" w:cs="Times New Roman"/>
          <w:sz w:val="20"/>
          <w:szCs w:val="20"/>
        </w:rPr>
        <w:t xml:space="preserve"> се получава като сума от оценките на офертата по трите показателя, изчислени по формулата: </w:t>
      </w:r>
    </w:p>
    <w:p w:rsidR="00ED307E" w:rsidRPr="0074252E" w:rsidRDefault="00ED307E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74252E">
        <w:rPr>
          <w:rFonts w:ascii="Verdana" w:eastAsia="Times New Roman" w:hAnsi="Verdana" w:cs="Times New Roman"/>
          <w:b/>
          <w:sz w:val="20"/>
          <w:szCs w:val="20"/>
        </w:rPr>
        <w:t>КО = П</w:t>
      </w:r>
      <w:r w:rsidRPr="0074252E">
        <w:rPr>
          <w:rFonts w:ascii="Verdana" w:eastAsia="Times New Roman" w:hAnsi="Verdana" w:cs="Times New Roman"/>
          <w:b/>
          <w:sz w:val="20"/>
          <w:szCs w:val="20"/>
          <w:vertAlign w:val="subscript"/>
        </w:rPr>
        <w:t>1</w:t>
      </w:r>
      <w:r w:rsidRPr="0074252E">
        <w:rPr>
          <w:rFonts w:ascii="Verdana" w:eastAsia="Times New Roman" w:hAnsi="Verdana" w:cs="Times New Roman"/>
          <w:b/>
          <w:sz w:val="20"/>
          <w:szCs w:val="20"/>
        </w:rPr>
        <w:t xml:space="preserve"> + П</w:t>
      </w:r>
      <w:r w:rsidRPr="0074252E">
        <w:rPr>
          <w:rFonts w:ascii="Verdana" w:eastAsia="Times New Roman" w:hAnsi="Verdana" w:cs="Times New Roman"/>
          <w:b/>
          <w:sz w:val="20"/>
          <w:szCs w:val="20"/>
          <w:vertAlign w:val="subscript"/>
        </w:rPr>
        <w:t>2</w:t>
      </w:r>
    </w:p>
    <w:p w:rsidR="00E14120" w:rsidRPr="0074252E" w:rsidRDefault="00E14120" w:rsidP="004E2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D307E" w:rsidRPr="0074252E" w:rsidRDefault="004A6E62" w:rsidP="004E2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74252E">
        <w:rPr>
          <w:rFonts w:ascii="Verdana" w:eastAsia="Times New Roman" w:hAnsi="Verdana" w:cs="Times New Roman"/>
          <w:sz w:val="20"/>
          <w:szCs w:val="20"/>
        </w:rPr>
        <w:t>Офертата получила най-висока комплексна оценка, се класира на първо място.</w:t>
      </w:r>
    </w:p>
    <w:p w:rsidR="00370E59" w:rsidRPr="0074252E" w:rsidRDefault="00370E59" w:rsidP="00CA51B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4252E" w:rsidRDefault="0074252E" w:rsidP="004E2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4252E" w:rsidRDefault="0074252E" w:rsidP="004E2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370E59" w:rsidRPr="0074252E" w:rsidRDefault="00370E59" w:rsidP="004E2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370E59" w:rsidRPr="0074252E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6E" w:rsidRDefault="00FA346E" w:rsidP="00AE7758">
      <w:pPr>
        <w:spacing w:after="0" w:line="240" w:lineRule="auto"/>
      </w:pPr>
      <w:r>
        <w:separator/>
      </w:r>
    </w:p>
  </w:endnote>
  <w:endnote w:type="continuationSeparator" w:id="0">
    <w:p w:rsidR="00FA346E" w:rsidRDefault="00FA346E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4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6E" w:rsidRDefault="00FA346E" w:rsidP="00AE7758">
      <w:pPr>
        <w:spacing w:after="0" w:line="240" w:lineRule="auto"/>
      </w:pPr>
      <w:r>
        <w:separator/>
      </w:r>
    </w:p>
  </w:footnote>
  <w:footnote w:type="continuationSeparator" w:id="0">
    <w:p w:rsidR="00FA346E" w:rsidRDefault="00FA346E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112C7F"/>
    <w:rsid w:val="00147E6D"/>
    <w:rsid w:val="00185895"/>
    <w:rsid w:val="00263589"/>
    <w:rsid w:val="002C3301"/>
    <w:rsid w:val="002E7DC6"/>
    <w:rsid w:val="00370E59"/>
    <w:rsid w:val="003D0848"/>
    <w:rsid w:val="003E2498"/>
    <w:rsid w:val="00462763"/>
    <w:rsid w:val="00463BE2"/>
    <w:rsid w:val="004A6E62"/>
    <w:rsid w:val="004B3268"/>
    <w:rsid w:val="004C1395"/>
    <w:rsid w:val="004E2357"/>
    <w:rsid w:val="004E785B"/>
    <w:rsid w:val="005263D2"/>
    <w:rsid w:val="00564BE2"/>
    <w:rsid w:val="00566E83"/>
    <w:rsid w:val="006773BE"/>
    <w:rsid w:val="0074252E"/>
    <w:rsid w:val="00771E18"/>
    <w:rsid w:val="007F35A7"/>
    <w:rsid w:val="00820430"/>
    <w:rsid w:val="008D5054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CA51BF"/>
    <w:rsid w:val="00D00CAB"/>
    <w:rsid w:val="00D25EE2"/>
    <w:rsid w:val="00D50CC0"/>
    <w:rsid w:val="00E12DE6"/>
    <w:rsid w:val="00E14120"/>
    <w:rsid w:val="00E73E37"/>
    <w:rsid w:val="00EA4825"/>
    <w:rsid w:val="00ED307E"/>
    <w:rsid w:val="00F22C9B"/>
    <w:rsid w:val="00F71E47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D8B5-2D86-46A0-AA3F-E02D0276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19</cp:revision>
  <cp:lastPrinted>2015-04-28T12:47:00Z</cp:lastPrinted>
  <dcterms:created xsi:type="dcterms:W3CDTF">2015-04-28T10:48:00Z</dcterms:created>
  <dcterms:modified xsi:type="dcterms:W3CDTF">2015-05-15T06:31:00Z</dcterms:modified>
</cp:coreProperties>
</file>