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344"/>
        <w:gridCol w:w="1080"/>
        <w:gridCol w:w="1275"/>
        <w:gridCol w:w="1351"/>
        <w:gridCol w:w="1326"/>
        <w:gridCol w:w="1259"/>
        <w:gridCol w:w="1550"/>
        <w:gridCol w:w="1194"/>
        <w:gridCol w:w="1194"/>
        <w:gridCol w:w="1338"/>
        <w:gridCol w:w="1389"/>
        <w:gridCol w:w="1005"/>
      </w:tblGrid>
      <w:tr w:rsidR="00AC276A" w:rsidRPr="008B5C4B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0959DC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443448">
              <w:rPr>
                <w:rFonts w:ascii="Verdana" w:hAnsi="Verdana"/>
                <w:b/>
                <w:sz w:val="20"/>
                <w:szCs w:val="20"/>
                <w:lang w:val="bg-BG"/>
              </w:rPr>
              <w:t>48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443448">
              <w:rPr>
                <w:rFonts w:ascii="Verdana" w:hAnsi="Verdana"/>
                <w:b/>
                <w:sz w:val="20"/>
                <w:szCs w:val="20"/>
                <w:lang w:val="bg-BG"/>
              </w:rPr>
              <w:t>14</w:t>
            </w:r>
            <w:r w:rsidR="000959DC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443448">
              <w:rPr>
                <w:rFonts w:ascii="Verdana" w:hAnsi="Verdana"/>
                <w:b/>
                <w:sz w:val="20"/>
                <w:szCs w:val="20"/>
                <w:lang w:val="bg-BG"/>
              </w:rPr>
              <w:t>5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C3B1D" w:rsidRDefault="00AC276A" w:rsidP="00443448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443448" w:rsidRPr="00443448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Избор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независим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регистриран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одитор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негово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предприятие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или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специализирано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одиторско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предприятие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вписано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в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регистъра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регистрираните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одитори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към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Института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дипломираните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експерт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–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счетоводители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които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да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извършат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независим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финансов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одит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Годишния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отчет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„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Напоителни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системи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“ ЕАД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направените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разходи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при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обществената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услуга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защита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от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вредното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въздействие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водите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предходната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спрямо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годината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одита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година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заедно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с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необходимите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43448" w:rsidRPr="00443448">
              <w:rPr>
                <w:rFonts w:ascii="Verdana" w:hAnsi="Verdana"/>
                <w:sz w:val="20"/>
                <w:szCs w:val="20"/>
              </w:rPr>
              <w:t>доказателства</w:t>
            </w:r>
            <w:proofErr w:type="spellEnd"/>
            <w:r w:rsidR="00443448" w:rsidRPr="00443448">
              <w:rPr>
                <w:rFonts w:ascii="Verdana" w:hAnsi="Verdana"/>
                <w:sz w:val="20"/>
                <w:szCs w:val="20"/>
              </w:rPr>
              <w:t>”</w:t>
            </w:r>
          </w:p>
          <w:p w:rsidR="00443448" w:rsidRDefault="00443448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443448">
              <w:rPr>
                <w:rFonts w:ascii="Verdana" w:hAnsi="Verdana"/>
                <w:b/>
                <w:sz w:val="20"/>
                <w:szCs w:val="20"/>
                <w:lang w:val="bg-BG"/>
              </w:rPr>
              <w:t>АБВП Стандарт 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AC276A" w:rsidRPr="00A85E98" w:rsidTr="000959DC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43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9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0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4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5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AC276A" w:rsidRPr="009A0F69" w:rsidTr="000959DC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44344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14.05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343" w:type="dxa"/>
            <w:vMerge w:val="restart"/>
            <w:vAlign w:val="center"/>
          </w:tcPr>
          <w:p w:rsidR="00D63363" w:rsidRPr="00D63363" w:rsidRDefault="00443448" w:rsidP="00D45084">
            <w:pPr>
              <w:jc w:val="center"/>
              <w:rPr>
                <w:lang w:val="bg-BG"/>
              </w:rPr>
            </w:pPr>
            <w:r w:rsidRPr="00443448">
              <w:rPr>
                <w:lang w:val="bg-BG"/>
              </w:rPr>
              <w:t>до 60 дни от първи април на всяка календарна година за четири кале</w:t>
            </w:r>
            <w:r>
              <w:rPr>
                <w:lang w:val="bg-BG"/>
              </w:rPr>
              <w:t>ндарни години</w:t>
            </w:r>
          </w:p>
        </w:tc>
        <w:tc>
          <w:tcPr>
            <w:tcW w:w="1080" w:type="dxa"/>
            <w:vMerge w:val="restart"/>
            <w:vAlign w:val="center"/>
          </w:tcPr>
          <w:p w:rsidR="00FA3B6A" w:rsidRPr="00FA3B6A" w:rsidRDefault="00443448" w:rsidP="00443448">
            <w:pPr>
              <w:jc w:val="center"/>
              <w:rPr>
                <w:lang w:val="bg-BG"/>
              </w:rPr>
            </w:pPr>
            <w:r w:rsidRPr="00443448">
              <w:rPr>
                <w:lang w:val="bg-BG"/>
              </w:rPr>
              <w:t>899,4</w:t>
            </w:r>
          </w:p>
        </w:tc>
        <w:tc>
          <w:tcPr>
            <w:tcW w:w="1291" w:type="dxa"/>
            <w:vMerge w:val="restart"/>
            <w:vAlign w:val="center"/>
          </w:tcPr>
          <w:p w:rsidR="00C63245" w:rsidRPr="009D552E" w:rsidRDefault="00A520AE" w:rsidP="00D45084">
            <w:pPr>
              <w:jc w:val="center"/>
              <w:rPr>
                <w:lang w:val="bg-BG"/>
              </w:rPr>
            </w:pPr>
            <w:r w:rsidRPr="00A520AE">
              <w:rPr>
                <w:lang w:val="bg-BG"/>
              </w:rPr>
              <w:t>платежно нареждане</w:t>
            </w:r>
          </w:p>
        </w:tc>
        <w:tc>
          <w:tcPr>
            <w:tcW w:w="1308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A94B0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28.12</w:t>
            </w:r>
            <w:r w:rsidR="000959DC">
              <w:rPr>
                <w:lang w:val="bg-BG"/>
              </w:rPr>
              <w:t>.2015г.</w:t>
            </w:r>
          </w:p>
        </w:tc>
        <w:tc>
          <w:tcPr>
            <w:tcW w:w="1248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443448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10740.00лв</w:t>
            </w:r>
            <w:r w:rsidR="000959DC">
              <w:rPr>
                <w:lang w:val="bg-BG"/>
              </w:rPr>
              <w:t>.</w:t>
            </w:r>
          </w:p>
        </w:tc>
        <w:tc>
          <w:tcPr>
            <w:tcW w:w="1259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56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443448" w:rsidP="002A68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51-48</w:t>
            </w:r>
            <w:r w:rsidR="00D45084">
              <w:rPr>
                <w:lang w:val="bg-BG"/>
              </w:rPr>
              <w:t>/</w:t>
            </w:r>
            <w:r>
              <w:rPr>
                <w:lang w:val="bg-BG"/>
              </w:rPr>
              <w:t>14.05</w:t>
            </w:r>
            <w:r w:rsidR="00D45084"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4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08" w:type="dxa"/>
            <w:vAlign w:val="center"/>
          </w:tcPr>
          <w:p w:rsidR="00420D36" w:rsidRPr="001174F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Pr="008C229B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8C229B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Pr="009A0F69" w:rsidRDefault="00420D36" w:rsidP="001174F9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4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08" w:type="dxa"/>
            <w:vAlign w:val="center"/>
          </w:tcPr>
          <w:p w:rsidR="00420D36" w:rsidRPr="00AC276A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Pr="00A8423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A8423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4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08" w:type="dxa"/>
            <w:vAlign w:val="center"/>
          </w:tcPr>
          <w:p w:rsidR="00420D36" w:rsidRPr="00136B1F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Pr="008D0081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8D0081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4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08" w:type="dxa"/>
            <w:vAlign w:val="center"/>
          </w:tcPr>
          <w:p w:rsidR="00420D36" w:rsidRPr="00EE5F53" w:rsidRDefault="00420D36" w:rsidP="00D45084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Pr="00D45084" w:rsidRDefault="00420D36" w:rsidP="00D4508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4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08" w:type="dxa"/>
            <w:vAlign w:val="center"/>
          </w:tcPr>
          <w:p w:rsidR="00420D36" w:rsidRPr="006F5AB0" w:rsidRDefault="00420D36" w:rsidP="00D45084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Pr="006F5AB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6F5AB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</w:tr>
      <w:tr w:rsidR="00420D36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Pr="00094B5F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Pr="00D45084" w:rsidRDefault="00420D36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Pr="006F5AB0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Pr="006F5AB0" w:rsidRDefault="00420D36" w:rsidP="009A3236">
            <w:pPr>
              <w:jc w:val="center"/>
              <w:rPr>
                <w:lang w:val="bg-BG"/>
              </w:rPr>
            </w:pPr>
            <w:bookmarkStart w:id="0" w:name="_GoBack"/>
            <w:bookmarkEnd w:id="0"/>
          </w:p>
        </w:tc>
        <w:tc>
          <w:tcPr>
            <w:tcW w:w="1259" w:type="dxa"/>
            <w:vAlign w:val="center"/>
          </w:tcPr>
          <w:p w:rsidR="00420D36" w:rsidRPr="006F5AB0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Pr="00FA354E" w:rsidRDefault="00420D36" w:rsidP="00CA4264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Pr="00D45084" w:rsidRDefault="00420D36" w:rsidP="00CA426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CA4264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CA426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Pr="00620587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Pr="00FA354E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Pr="00D45084" w:rsidRDefault="00420D36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Pr="00FA354E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Pr="00D45084" w:rsidRDefault="00420D36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Pr="00FA354E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Pr="00D45084" w:rsidRDefault="00420D36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Default="00420D36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54082B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54082B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Default="00420D36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Pr="008870BA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Pr="006F5AB0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6F5AB0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0959DC">
        <w:trPr>
          <w:jc w:val="center"/>
        </w:trPr>
        <w:tc>
          <w:tcPr>
            <w:tcW w:w="135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Pr="009A0F69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8870BA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Pr="008870BA" w:rsidRDefault="00420D36" w:rsidP="009A0F69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0959DC">
        <w:trPr>
          <w:jc w:val="center"/>
        </w:trPr>
        <w:tc>
          <w:tcPr>
            <w:tcW w:w="135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Pr="00D5371F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9A0F69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D5371F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0959DC">
        <w:trPr>
          <w:jc w:val="center"/>
        </w:trPr>
        <w:tc>
          <w:tcPr>
            <w:tcW w:w="135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D5371F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5348C9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0959DC">
        <w:trPr>
          <w:jc w:val="center"/>
        </w:trPr>
        <w:tc>
          <w:tcPr>
            <w:tcW w:w="135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5348C9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1B72C3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</w:tbl>
    <w:p w:rsidR="006A7415" w:rsidRDefault="006A7415" w:rsidP="006A7415"/>
    <w:p w:rsidR="006A7415" w:rsidRDefault="006A7415" w:rsidP="006A7415"/>
    <w:p w:rsidR="008B5C4B" w:rsidRDefault="008B5C4B" w:rsidP="006A7415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4792E"/>
    <w:rsid w:val="000662FE"/>
    <w:rsid w:val="00094B5F"/>
    <w:rsid w:val="000959DC"/>
    <w:rsid w:val="000D3271"/>
    <w:rsid w:val="001174F9"/>
    <w:rsid w:val="00136B1F"/>
    <w:rsid w:val="00161881"/>
    <w:rsid w:val="0019058F"/>
    <w:rsid w:val="001B72C3"/>
    <w:rsid w:val="001C5196"/>
    <w:rsid w:val="001E2A72"/>
    <w:rsid w:val="00240875"/>
    <w:rsid w:val="00292941"/>
    <w:rsid w:val="00292A94"/>
    <w:rsid w:val="002A6802"/>
    <w:rsid w:val="00315F8C"/>
    <w:rsid w:val="003520A3"/>
    <w:rsid w:val="00382881"/>
    <w:rsid w:val="003B4DC1"/>
    <w:rsid w:val="003E3B04"/>
    <w:rsid w:val="003F5623"/>
    <w:rsid w:val="00407C41"/>
    <w:rsid w:val="00420D36"/>
    <w:rsid w:val="00443448"/>
    <w:rsid w:val="00485FEF"/>
    <w:rsid w:val="004D4EB5"/>
    <w:rsid w:val="004F5360"/>
    <w:rsid w:val="005036CD"/>
    <w:rsid w:val="00504577"/>
    <w:rsid w:val="005348C9"/>
    <w:rsid w:val="00546A0B"/>
    <w:rsid w:val="005B2164"/>
    <w:rsid w:val="005E4460"/>
    <w:rsid w:val="00620587"/>
    <w:rsid w:val="00687D03"/>
    <w:rsid w:val="006A7415"/>
    <w:rsid w:val="006B2E35"/>
    <w:rsid w:val="006C3B1D"/>
    <w:rsid w:val="006F5AB0"/>
    <w:rsid w:val="00712EAA"/>
    <w:rsid w:val="007570E2"/>
    <w:rsid w:val="008016AF"/>
    <w:rsid w:val="008227EB"/>
    <w:rsid w:val="00873FBF"/>
    <w:rsid w:val="008870BA"/>
    <w:rsid w:val="008B5C4B"/>
    <w:rsid w:val="008C229B"/>
    <w:rsid w:val="008D0081"/>
    <w:rsid w:val="008E34A8"/>
    <w:rsid w:val="00973DAD"/>
    <w:rsid w:val="009A0F69"/>
    <w:rsid w:val="009D552E"/>
    <w:rsid w:val="00A20A83"/>
    <w:rsid w:val="00A520AE"/>
    <w:rsid w:val="00A84230"/>
    <w:rsid w:val="00A85E98"/>
    <w:rsid w:val="00A94B08"/>
    <w:rsid w:val="00AC276A"/>
    <w:rsid w:val="00AC3D50"/>
    <w:rsid w:val="00AF0E50"/>
    <w:rsid w:val="00B02AC5"/>
    <w:rsid w:val="00B47C5A"/>
    <w:rsid w:val="00B640FF"/>
    <w:rsid w:val="00B86E88"/>
    <w:rsid w:val="00C16365"/>
    <w:rsid w:val="00C2437D"/>
    <w:rsid w:val="00C31756"/>
    <w:rsid w:val="00C63245"/>
    <w:rsid w:val="00C81A3D"/>
    <w:rsid w:val="00CA66A1"/>
    <w:rsid w:val="00D45084"/>
    <w:rsid w:val="00D5371F"/>
    <w:rsid w:val="00D63363"/>
    <w:rsid w:val="00DE7080"/>
    <w:rsid w:val="00E83AF8"/>
    <w:rsid w:val="00E84357"/>
    <w:rsid w:val="00EC55A8"/>
    <w:rsid w:val="00ED6E00"/>
    <w:rsid w:val="00EE5F53"/>
    <w:rsid w:val="00EF6A29"/>
    <w:rsid w:val="00F34827"/>
    <w:rsid w:val="00FA13C0"/>
    <w:rsid w:val="00FA354E"/>
    <w:rsid w:val="00FA3B6A"/>
    <w:rsid w:val="00F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AA72-A108-43E7-A1B2-1CC24997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Todorova</cp:lastModifiedBy>
  <cp:revision>3</cp:revision>
  <dcterms:created xsi:type="dcterms:W3CDTF">2016-01-11T09:01:00Z</dcterms:created>
  <dcterms:modified xsi:type="dcterms:W3CDTF">2016-01-11T09:04:00Z</dcterms:modified>
</cp:coreProperties>
</file>