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F4A" w:rsidRPr="00C83058" w:rsidRDefault="00437F4A" w:rsidP="00437F4A">
      <w:pPr>
        <w:rPr>
          <w:b/>
          <w:sz w:val="26"/>
          <w:szCs w:val="26"/>
          <w:lang w:val="bg-BG"/>
        </w:rPr>
      </w:pPr>
      <w:r w:rsidRPr="00942927">
        <w:rPr>
          <w:b/>
          <w:sz w:val="26"/>
          <w:szCs w:val="26"/>
          <w:lang w:val="bg-BG"/>
        </w:rPr>
        <w:t>Изх. №</w:t>
      </w:r>
      <w:r w:rsidR="00C83058">
        <w:rPr>
          <w:b/>
          <w:sz w:val="26"/>
          <w:szCs w:val="26"/>
        </w:rPr>
        <w:t xml:space="preserve"> </w:t>
      </w:r>
      <w:r w:rsidR="00C83058">
        <w:rPr>
          <w:b/>
          <w:sz w:val="26"/>
          <w:szCs w:val="26"/>
          <w:lang w:val="bg-BG"/>
        </w:rPr>
        <w:t>Е-31-00-056665</w:t>
      </w:r>
    </w:p>
    <w:p w:rsidR="00437F4A" w:rsidRPr="00942927" w:rsidRDefault="00437F4A" w:rsidP="00437F4A">
      <w:pPr>
        <w:rPr>
          <w:b/>
          <w:sz w:val="20"/>
          <w:szCs w:val="20"/>
          <w:lang w:val="bg-BG"/>
        </w:rPr>
      </w:pPr>
    </w:p>
    <w:p w:rsidR="00437F4A" w:rsidRPr="00942927" w:rsidRDefault="00437F4A" w:rsidP="00437F4A">
      <w:pPr>
        <w:tabs>
          <w:tab w:val="left" w:pos="5040"/>
        </w:tabs>
        <w:jc w:val="both"/>
        <w:rPr>
          <w:b/>
          <w:sz w:val="26"/>
          <w:szCs w:val="26"/>
          <w:lang w:val="bg-BG"/>
        </w:rPr>
      </w:pPr>
      <w:r w:rsidRPr="00942927">
        <w:rPr>
          <w:b/>
          <w:sz w:val="26"/>
          <w:szCs w:val="26"/>
          <w:lang w:val="bg-BG"/>
        </w:rPr>
        <w:t>Дата:</w:t>
      </w:r>
      <w:r w:rsidR="00C83058">
        <w:rPr>
          <w:b/>
          <w:sz w:val="26"/>
          <w:szCs w:val="26"/>
          <w:lang w:val="bg-BG"/>
        </w:rPr>
        <w:t xml:space="preserve"> 05.03.2015 г.</w:t>
      </w:r>
      <w:bookmarkStart w:id="0" w:name="_GoBack"/>
      <w:bookmarkEnd w:id="0"/>
    </w:p>
    <w:p w:rsidR="00437F4A" w:rsidRPr="00437F4A" w:rsidRDefault="00437F4A" w:rsidP="00437F4A">
      <w:pPr>
        <w:tabs>
          <w:tab w:val="right" w:pos="9360"/>
        </w:tabs>
        <w:autoSpaceDE w:val="0"/>
        <w:autoSpaceDN w:val="0"/>
        <w:adjustRightInd w:val="0"/>
        <w:jc w:val="center"/>
        <w:rPr>
          <w:b/>
          <w:bCs/>
          <w:sz w:val="28"/>
          <w:szCs w:val="28"/>
          <w:lang w:val="bg-BG"/>
        </w:rPr>
      </w:pPr>
    </w:p>
    <w:p w:rsidR="00437F4A" w:rsidRDefault="00437F4A" w:rsidP="00437F4A">
      <w:pPr>
        <w:tabs>
          <w:tab w:val="right" w:pos="9360"/>
        </w:tabs>
        <w:autoSpaceDE w:val="0"/>
        <w:autoSpaceDN w:val="0"/>
        <w:adjustRightInd w:val="0"/>
        <w:jc w:val="center"/>
        <w:rPr>
          <w:b/>
          <w:bCs/>
          <w:sz w:val="28"/>
          <w:szCs w:val="28"/>
        </w:rPr>
      </w:pPr>
    </w:p>
    <w:p w:rsidR="00257C65" w:rsidRPr="00257C65" w:rsidRDefault="00257C65" w:rsidP="00437F4A">
      <w:pPr>
        <w:tabs>
          <w:tab w:val="right" w:pos="9360"/>
        </w:tabs>
        <w:autoSpaceDE w:val="0"/>
        <w:autoSpaceDN w:val="0"/>
        <w:adjustRightInd w:val="0"/>
        <w:jc w:val="center"/>
        <w:rPr>
          <w:b/>
          <w:bCs/>
          <w:sz w:val="28"/>
          <w:szCs w:val="28"/>
        </w:rPr>
      </w:pPr>
    </w:p>
    <w:p w:rsidR="00437F4A" w:rsidRPr="00437F4A" w:rsidRDefault="00437F4A" w:rsidP="00437F4A">
      <w:pPr>
        <w:tabs>
          <w:tab w:val="right" w:pos="9360"/>
        </w:tabs>
        <w:autoSpaceDE w:val="0"/>
        <w:autoSpaceDN w:val="0"/>
        <w:adjustRightInd w:val="0"/>
        <w:jc w:val="center"/>
        <w:rPr>
          <w:b/>
          <w:bCs/>
          <w:sz w:val="28"/>
          <w:szCs w:val="28"/>
          <w:lang w:val="bg-BG"/>
        </w:rPr>
      </w:pPr>
      <w:r w:rsidRPr="00437F4A">
        <w:rPr>
          <w:b/>
          <w:bCs/>
          <w:sz w:val="28"/>
          <w:szCs w:val="28"/>
          <w:lang w:val="bg-BG"/>
        </w:rPr>
        <w:t>СТАНОВИЩЕ</w:t>
      </w:r>
    </w:p>
    <w:p w:rsidR="00437F4A" w:rsidRPr="00437F4A" w:rsidRDefault="00437F4A" w:rsidP="00437F4A">
      <w:pPr>
        <w:tabs>
          <w:tab w:val="right" w:pos="9360"/>
        </w:tabs>
        <w:autoSpaceDE w:val="0"/>
        <w:autoSpaceDN w:val="0"/>
        <w:adjustRightInd w:val="0"/>
        <w:jc w:val="center"/>
        <w:rPr>
          <w:b/>
          <w:bCs/>
          <w:sz w:val="28"/>
          <w:szCs w:val="28"/>
          <w:lang w:val="bg-BG"/>
        </w:rPr>
      </w:pPr>
      <w:r w:rsidRPr="00437F4A">
        <w:rPr>
          <w:b/>
          <w:bCs/>
          <w:sz w:val="28"/>
          <w:szCs w:val="28"/>
          <w:lang w:val="bg-BG"/>
        </w:rPr>
        <w:t>за осъществен предварителен контрол</w:t>
      </w:r>
    </w:p>
    <w:p w:rsidR="00437F4A" w:rsidRPr="00437F4A" w:rsidRDefault="00437F4A" w:rsidP="00437F4A">
      <w:pPr>
        <w:tabs>
          <w:tab w:val="right" w:pos="9360"/>
        </w:tabs>
        <w:autoSpaceDE w:val="0"/>
        <w:autoSpaceDN w:val="0"/>
        <w:adjustRightInd w:val="0"/>
        <w:jc w:val="center"/>
        <w:rPr>
          <w:bCs/>
          <w:sz w:val="28"/>
          <w:szCs w:val="28"/>
          <w:lang w:val="bg-BG"/>
        </w:rPr>
      </w:pPr>
      <w:r w:rsidRPr="00437F4A">
        <w:rPr>
          <w:bCs/>
          <w:sz w:val="28"/>
          <w:szCs w:val="28"/>
          <w:lang w:val="bg-BG"/>
        </w:rPr>
        <w:t>по чл. 19, ал. 2, т. 24 от ЗОП</w:t>
      </w:r>
    </w:p>
    <w:p w:rsidR="00437F4A" w:rsidRPr="00437F4A" w:rsidRDefault="00437F4A" w:rsidP="00437F4A">
      <w:pPr>
        <w:rPr>
          <w:sz w:val="28"/>
          <w:szCs w:val="28"/>
          <w:lang w:val="bg-BG"/>
        </w:rPr>
      </w:pPr>
    </w:p>
    <w:p w:rsidR="00437F4A" w:rsidRDefault="00437F4A" w:rsidP="00437F4A">
      <w:pPr>
        <w:rPr>
          <w:sz w:val="28"/>
          <w:szCs w:val="28"/>
        </w:rPr>
      </w:pPr>
    </w:p>
    <w:p w:rsidR="00257C65" w:rsidRPr="00257C65" w:rsidRDefault="00257C65" w:rsidP="00437F4A">
      <w:pPr>
        <w:rPr>
          <w:sz w:val="28"/>
          <w:szCs w:val="28"/>
        </w:rPr>
      </w:pPr>
    </w:p>
    <w:p w:rsidR="00437F4A" w:rsidRPr="00437F4A" w:rsidRDefault="00437F4A" w:rsidP="00437F4A">
      <w:pPr>
        <w:keepNext/>
        <w:tabs>
          <w:tab w:val="right" w:pos="9360"/>
        </w:tabs>
        <w:autoSpaceDE w:val="0"/>
        <w:autoSpaceDN w:val="0"/>
        <w:adjustRightInd w:val="0"/>
        <w:outlineLvl w:val="2"/>
        <w:rPr>
          <w:b/>
          <w:bCs/>
          <w:sz w:val="26"/>
          <w:szCs w:val="17"/>
          <w:lang w:val="bg-BG"/>
        </w:rPr>
      </w:pPr>
      <w:r w:rsidRPr="00437F4A">
        <w:rPr>
          <w:b/>
          <w:bCs/>
          <w:sz w:val="26"/>
          <w:szCs w:val="17"/>
          <w:lang w:val="bg-BG"/>
        </w:rPr>
        <w:t>ВЪЗЛОЖИТЕЛ</w:t>
      </w:r>
    </w:p>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9"/>
        <w:gridCol w:w="5701"/>
      </w:tblGrid>
      <w:tr w:rsidR="00437F4A" w:rsidRPr="00437F4A" w:rsidTr="0014580A">
        <w:trPr>
          <w:trHeight w:val="550"/>
        </w:trPr>
        <w:tc>
          <w:tcPr>
            <w:tcW w:w="3119" w:type="dxa"/>
            <w:vAlign w:val="center"/>
          </w:tcPr>
          <w:p w:rsidR="00437F4A" w:rsidRPr="00437F4A" w:rsidRDefault="00437F4A" w:rsidP="00437F4A">
            <w:pPr>
              <w:tabs>
                <w:tab w:val="right" w:pos="9360"/>
              </w:tabs>
              <w:ind w:left="43"/>
              <w:rPr>
                <w:sz w:val="26"/>
                <w:lang w:val="bg-BG"/>
              </w:rPr>
            </w:pPr>
            <w:r w:rsidRPr="00437F4A">
              <w:rPr>
                <w:sz w:val="26"/>
                <w:lang w:val="bg-BG"/>
              </w:rPr>
              <w:t>Официално наименование</w:t>
            </w:r>
          </w:p>
        </w:tc>
        <w:tc>
          <w:tcPr>
            <w:tcW w:w="5701" w:type="dxa"/>
            <w:vAlign w:val="center"/>
          </w:tcPr>
          <w:p w:rsidR="00437F4A" w:rsidRPr="00437F4A" w:rsidRDefault="00C40E65" w:rsidP="00437F4A">
            <w:pPr>
              <w:tabs>
                <w:tab w:val="right" w:pos="9360"/>
              </w:tabs>
              <w:rPr>
                <w:b/>
                <w:sz w:val="26"/>
                <w:lang w:val="bg-BG"/>
              </w:rPr>
            </w:pPr>
            <w:r>
              <w:rPr>
                <w:b/>
                <w:sz w:val="26"/>
                <w:szCs w:val="26"/>
                <w:lang w:val="bg-BG"/>
              </w:rPr>
              <w:t>Министерство на земеделието и храните (МЗХ)</w:t>
            </w:r>
          </w:p>
        </w:tc>
      </w:tr>
      <w:tr w:rsidR="00437F4A" w:rsidRPr="00437F4A" w:rsidTr="0014580A">
        <w:trPr>
          <w:trHeight w:val="550"/>
        </w:trPr>
        <w:tc>
          <w:tcPr>
            <w:tcW w:w="3119" w:type="dxa"/>
            <w:vAlign w:val="center"/>
          </w:tcPr>
          <w:p w:rsidR="00437F4A" w:rsidRPr="00437F4A" w:rsidRDefault="00437F4A" w:rsidP="00437F4A">
            <w:pPr>
              <w:tabs>
                <w:tab w:val="right" w:pos="9360"/>
              </w:tabs>
              <w:ind w:left="43"/>
              <w:rPr>
                <w:sz w:val="26"/>
                <w:lang w:val="bg-BG"/>
              </w:rPr>
            </w:pPr>
            <w:r w:rsidRPr="00437F4A">
              <w:rPr>
                <w:sz w:val="26"/>
                <w:lang w:val="bg-BG"/>
              </w:rPr>
              <w:t>Адрес</w:t>
            </w:r>
          </w:p>
        </w:tc>
        <w:tc>
          <w:tcPr>
            <w:tcW w:w="5701" w:type="dxa"/>
            <w:vAlign w:val="center"/>
          </w:tcPr>
          <w:p w:rsidR="00437F4A" w:rsidRPr="00437F4A" w:rsidRDefault="00C40E65" w:rsidP="00437F4A">
            <w:pPr>
              <w:tabs>
                <w:tab w:val="right" w:pos="9360"/>
              </w:tabs>
              <w:rPr>
                <w:b/>
                <w:sz w:val="26"/>
              </w:rPr>
            </w:pPr>
            <w:r>
              <w:rPr>
                <w:b/>
                <w:sz w:val="26"/>
                <w:lang w:val="bg-BG"/>
              </w:rPr>
              <w:t>гр. София, бул. „Христо Ботев“ № 55</w:t>
            </w:r>
          </w:p>
        </w:tc>
      </w:tr>
      <w:tr w:rsidR="00437F4A" w:rsidRPr="00437F4A" w:rsidTr="0014580A">
        <w:trPr>
          <w:trHeight w:val="550"/>
        </w:trPr>
        <w:tc>
          <w:tcPr>
            <w:tcW w:w="3119" w:type="dxa"/>
            <w:vAlign w:val="center"/>
          </w:tcPr>
          <w:p w:rsidR="00437F4A" w:rsidRPr="00437F4A" w:rsidRDefault="00437F4A" w:rsidP="00437F4A">
            <w:pPr>
              <w:tabs>
                <w:tab w:val="right" w:pos="9360"/>
              </w:tabs>
              <w:ind w:left="43"/>
              <w:rPr>
                <w:sz w:val="26"/>
                <w:lang w:val="bg-BG"/>
              </w:rPr>
            </w:pPr>
            <w:r w:rsidRPr="00437F4A">
              <w:rPr>
                <w:sz w:val="26"/>
                <w:lang w:val="bg-BG"/>
              </w:rPr>
              <w:t>Партиден номер в РОП</w:t>
            </w:r>
          </w:p>
        </w:tc>
        <w:tc>
          <w:tcPr>
            <w:tcW w:w="5701" w:type="dxa"/>
            <w:vAlign w:val="center"/>
          </w:tcPr>
          <w:p w:rsidR="00437F4A" w:rsidRPr="00437F4A" w:rsidRDefault="00C40E65" w:rsidP="00437F4A">
            <w:pPr>
              <w:tabs>
                <w:tab w:val="right" w:pos="9360"/>
              </w:tabs>
              <w:rPr>
                <w:b/>
                <w:sz w:val="26"/>
              </w:rPr>
            </w:pPr>
            <w:r>
              <w:rPr>
                <w:b/>
                <w:sz w:val="26"/>
                <w:lang w:val="bg-BG"/>
              </w:rPr>
              <w:t>00696</w:t>
            </w:r>
          </w:p>
        </w:tc>
      </w:tr>
    </w:tbl>
    <w:p w:rsidR="00437F4A" w:rsidRPr="00437F4A" w:rsidRDefault="00437F4A" w:rsidP="00437F4A">
      <w:pPr>
        <w:rPr>
          <w:sz w:val="28"/>
          <w:szCs w:val="28"/>
          <w:lang w:val="bg-BG"/>
        </w:rPr>
      </w:pPr>
    </w:p>
    <w:p w:rsidR="00437F4A" w:rsidRPr="00437F4A" w:rsidRDefault="00437F4A" w:rsidP="00437F4A">
      <w:pPr>
        <w:rPr>
          <w:sz w:val="28"/>
          <w:szCs w:val="28"/>
          <w:lang w:val="bg-BG"/>
        </w:rPr>
      </w:pPr>
    </w:p>
    <w:p w:rsidR="00437F4A" w:rsidRPr="00437F4A" w:rsidRDefault="00437F4A" w:rsidP="00437F4A">
      <w:pPr>
        <w:keepNext/>
        <w:tabs>
          <w:tab w:val="right" w:pos="9360"/>
        </w:tabs>
        <w:autoSpaceDE w:val="0"/>
        <w:autoSpaceDN w:val="0"/>
        <w:adjustRightInd w:val="0"/>
        <w:outlineLvl w:val="2"/>
        <w:rPr>
          <w:b/>
          <w:bCs/>
          <w:sz w:val="26"/>
          <w:szCs w:val="17"/>
          <w:lang w:val="bg-BG"/>
        </w:rPr>
      </w:pPr>
      <w:r w:rsidRPr="00437F4A">
        <w:rPr>
          <w:b/>
          <w:bCs/>
          <w:sz w:val="26"/>
          <w:szCs w:val="17"/>
          <w:lang w:val="bg-BG"/>
        </w:rPr>
        <w:t>ПРОЦЕДУРА</w:t>
      </w:r>
    </w:p>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87"/>
        <w:gridCol w:w="5733"/>
      </w:tblGrid>
      <w:tr w:rsidR="00437F4A" w:rsidRPr="00437F4A" w:rsidTr="0014580A">
        <w:trPr>
          <w:trHeight w:val="550"/>
        </w:trPr>
        <w:tc>
          <w:tcPr>
            <w:tcW w:w="3119" w:type="dxa"/>
            <w:vAlign w:val="center"/>
          </w:tcPr>
          <w:p w:rsidR="00437F4A" w:rsidRPr="00437F4A" w:rsidRDefault="00437F4A" w:rsidP="00437F4A">
            <w:pPr>
              <w:tabs>
                <w:tab w:val="right" w:pos="9360"/>
              </w:tabs>
              <w:ind w:left="43"/>
              <w:rPr>
                <w:sz w:val="26"/>
                <w:lang w:val="bg-BG"/>
              </w:rPr>
            </w:pPr>
            <w:r w:rsidRPr="00437F4A">
              <w:rPr>
                <w:sz w:val="26"/>
                <w:lang w:val="bg-BG"/>
              </w:rPr>
              <w:t>Уникален номер в РОП</w:t>
            </w:r>
          </w:p>
        </w:tc>
        <w:tc>
          <w:tcPr>
            <w:tcW w:w="5701" w:type="dxa"/>
            <w:vAlign w:val="center"/>
          </w:tcPr>
          <w:tbl>
            <w:tblPr>
              <w:tblpPr w:leftFromText="141" w:rightFromText="141" w:vertAnchor="text" w:horzAnchor="margin" w:tblpY="-187"/>
              <w:tblOverlap w:val="never"/>
              <w:tblW w:w="5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
              <w:gridCol w:w="372"/>
              <w:gridCol w:w="372"/>
              <w:gridCol w:w="372"/>
              <w:gridCol w:w="372"/>
              <w:gridCol w:w="372"/>
              <w:gridCol w:w="372"/>
              <w:gridCol w:w="372"/>
              <w:gridCol w:w="372"/>
              <w:gridCol w:w="372"/>
              <w:gridCol w:w="372"/>
              <w:gridCol w:w="372"/>
              <w:gridCol w:w="373"/>
              <w:gridCol w:w="373"/>
              <w:gridCol w:w="373"/>
            </w:tblGrid>
            <w:tr w:rsidR="00437F4A" w:rsidRPr="00437F4A" w:rsidTr="0014580A">
              <w:trPr>
                <w:trHeight w:val="262"/>
              </w:trPr>
              <w:tc>
                <w:tcPr>
                  <w:tcW w:w="372" w:type="dxa"/>
                  <w:shd w:val="clear" w:color="auto" w:fill="auto"/>
                </w:tcPr>
                <w:p w:rsidR="00437F4A" w:rsidRPr="00C40E65" w:rsidRDefault="00C40E65" w:rsidP="00437F4A">
                  <w:pPr>
                    <w:tabs>
                      <w:tab w:val="right" w:pos="9360"/>
                    </w:tabs>
                    <w:jc w:val="both"/>
                    <w:rPr>
                      <w:b/>
                      <w:sz w:val="26"/>
                    </w:rPr>
                  </w:pPr>
                  <w:r>
                    <w:rPr>
                      <w:b/>
                      <w:sz w:val="26"/>
                    </w:rPr>
                    <w:t>0</w:t>
                  </w:r>
                </w:p>
              </w:tc>
              <w:tc>
                <w:tcPr>
                  <w:tcW w:w="372" w:type="dxa"/>
                  <w:shd w:val="clear" w:color="auto" w:fill="auto"/>
                </w:tcPr>
                <w:p w:rsidR="00437F4A" w:rsidRPr="00437F4A" w:rsidRDefault="00C40E65" w:rsidP="00437F4A">
                  <w:pPr>
                    <w:tabs>
                      <w:tab w:val="right" w:pos="9360"/>
                    </w:tabs>
                    <w:jc w:val="both"/>
                    <w:rPr>
                      <w:b/>
                      <w:sz w:val="26"/>
                    </w:rPr>
                  </w:pPr>
                  <w:r>
                    <w:rPr>
                      <w:b/>
                      <w:sz w:val="26"/>
                    </w:rPr>
                    <w:t>0</w:t>
                  </w:r>
                </w:p>
              </w:tc>
              <w:tc>
                <w:tcPr>
                  <w:tcW w:w="372" w:type="dxa"/>
                  <w:shd w:val="clear" w:color="auto" w:fill="auto"/>
                </w:tcPr>
                <w:p w:rsidR="00437F4A" w:rsidRPr="00437F4A" w:rsidRDefault="00C40E65" w:rsidP="00437F4A">
                  <w:pPr>
                    <w:tabs>
                      <w:tab w:val="right" w:pos="9360"/>
                    </w:tabs>
                    <w:jc w:val="both"/>
                    <w:rPr>
                      <w:b/>
                      <w:sz w:val="26"/>
                    </w:rPr>
                  </w:pPr>
                  <w:r>
                    <w:rPr>
                      <w:b/>
                      <w:sz w:val="26"/>
                    </w:rPr>
                    <w:t>6</w:t>
                  </w:r>
                </w:p>
              </w:tc>
              <w:tc>
                <w:tcPr>
                  <w:tcW w:w="372" w:type="dxa"/>
                  <w:shd w:val="clear" w:color="auto" w:fill="auto"/>
                </w:tcPr>
                <w:p w:rsidR="00437F4A" w:rsidRPr="00437F4A" w:rsidRDefault="00C40E65" w:rsidP="00437F4A">
                  <w:pPr>
                    <w:tabs>
                      <w:tab w:val="right" w:pos="9360"/>
                    </w:tabs>
                    <w:jc w:val="both"/>
                    <w:rPr>
                      <w:b/>
                      <w:sz w:val="26"/>
                    </w:rPr>
                  </w:pPr>
                  <w:r>
                    <w:rPr>
                      <w:b/>
                      <w:sz w:val="26"/>
                    </w:rPr>
                    <w:t>9</w:t>
                  </w:r>
                </w:p>
              </w:tc>
              <w:tc>
                <w:tcPr>
                  <w:tcW w:w="372" w:type="dxa"/>
                  <w:shd w:val="clear" w:color="auto" w:fill="auto"/>
                </w:tcPr>
                <w:p w:rsidR="00437F4A" w:rsidRPr="00437F4A" w:rsidRDefault="00C40E65" w:rsidP="00437F4A">
                  <w:pPr>
                    <w:tabs>
                      <w:tab w:val="right" w:pos="9360"/>
                    </w:tabs>
                    <w:jc w:val="both"/>
                    <w:rPr>
                      <w:b/>
                      <w:sz w:val="26"/>
                    </w:rPr>
                  </w:pPr>
                  <w:r>
                    <w:rPr>
                      <w:b/>
                      <w:sz w:val="26"/>
                    </w:rPr>
                    <w:t>6</w:t>
                  </w:r>
                </w:p>
              </w:tc>
              <w:tc>
                <w:tcPr>
                  <w:tcW w:w="372" w:type="dxa"/>
                  <w:tcBorders>
                    <w:top w:val="nil"/>
                    <w:bottom w:val="nil"/>
                  </w:tcBorders>
                  <w:shd w:val="clear" w:color="auto" w:fill="auto"/>
                </w:tcPr>
                <w:p w:rsidR="00437F4A" w:rsidRPr="00437F4A" w:rsidRDefault="00437F4A" w:rsidP="00437F4A">
                  <w:pPr>
                    <w:tabs>
                      <w:tab w:val="right" w:pos="9360"/>
                    </w:tabs>
                    <w:jc w:val="both"/>
                    <w:rPr>
                      <w:b/>
                      <w:sz w:val="26"/>
                      <w:lang w:val="bg-BG"/>
                    </w:rPr>
                  </w:pPr>
                </w:p>
              </w:tc>
              <w:tc>
                <w:tcPr>
                  <w:tcW w:w="372" w:type="dxa"/>
                  <w:shd w:val="clear" w:color="auto" w:fill="auto"/>
                </w:tcPr>
                <w:p w:rsidR="00437F4A" w:rsidRPr="00C40E65" w:rsidRDefault="00C40E65" w:rsidP="00437F4A">
                  <w:pPr>
                    <w:tabs>
                      <w:tab w:val="right" w:pos="9360"/>
                    </w:tabs>
                    <w:jc w:val="both"/>
                    <w:rPr>
                      <w:b/>
                      <w:sz w:val="26"/>
                    </w:rPr>
                  </w:pPr>
                  <w:r>
                    <w:rPr>
                      <w:b/>
                      <w:sz w:val="26"/>
                    </w:rPr>
                    <w:t>2</w:t>
                  </w:r>
                </w:p>
              </w:tc>
              <w:tc>
                <w:tcPr>
                  <w:tcW w:w="372" w:type="dxa"/>
                  <w:shd w:val="clear" w:color="auto" w:fill="auto"/>
                </w:tcPr>
                <w:p w:rsidR="00437F4A" w:rsidRPr="00C40E65" w:rsidRDefault="00C40E65" w:rsidP="00437F4A">
                  <w:pPr>
                    <w:tabs>
                      <w:tab w:val="right" w:pos="9360"/>
                    </w:tabs>
                    <w:jc w:val="both"/>
                    <w:rPr>
                      <w:b/>
                      <w:sz w:val="26"/>
                    </w:rPr>
                  </w:pPr>
                  <w:r>
                    <w:rPr>
                      <w:b/>
                      <w:sz w:val="26"/>
                    </w:rPr>
                    <w:t>0</w:t>
                  </w:r>
                </w:p>
              </w:tc>
              <w:tc>
                <w:tcPr>
                  <w:tcW w:w="372" w:type="dxa"/>
                  <w:shd w:val="clear" w:color="auto" w:fill="auto"/>
                </w:tcPr>
                <w:p w:rsidR="00437F4A" w:rsidRPr="00C40E65" w:rsidRDefault="00C40E65" w:rsidP="00437F4A">
                  <w:pPr>
                    <w:tabs>
                      <w:tab w:val="right" w:pos="9360"/>
                    </w:tabs>
                    <w:jc w:val="both"/>
                    <w:rPr>
                      <w:b/>
                      <w:sz w:val="26"/>
                    </w:rPr>
                  </w:pPr>
                  <w:r>
                    <w:rPr>
                      <w:b/>
                      <w:sz w:val="26"/>
                    </w:rPr>
                    <w:t>1</w:t>
                  </w:r>
                </w:p>
              </w:tc>
              <w:tc>
                <w:tcPr>
                  <w:tcW w:w="372" w:type="dxa"/>
                  <w:shd w:val="clear" w:color="auto" w:fill="auto"/>
                </w:tcPr>
                <w:p w:rsidR="00437F4A" w:rsidRPr="00C40E65" w:rsidRDefault="00C40E65" w:rsidP="00437F4A">
                  <w:pPr>
                    <w:tabs>
                      <w:tab w:val="right" w:pos="9360"/>
                    </w:tabs>
                    <w:jc w:val="both"/>
                    <w:rPr>
                      <w:b/>
                      <w:sz w:val="26"/>
                    </w:rPr>
                  </w:pPr>
                  <w:r>
                    <w:rPr>
                      <w:b/>
                      <w:sz w:val="26"/>
                    </w:rPr>
                    <w:t>4</w:t>
                  </w:r>
                </w:p>
              </w:tc>
              <w:tc>
                <w:tcPr>
                  <w:tcW w:w="372" w:type="dxa"/>
                  <w:tcBorders>
                    <w:top w:val="nil"/>
                    <w:bottom w:val="nil"/>
                  </w:tcBorders>
                  <w:shd w:val="clear" w:color="auto" w:fill="auto"/>
                </w:tcPr>
                <w:p w:rsidR="00437F4A" w:rsidRPr="00437F4A" w:rsidRDefault="00437F4A" w:rsidP="00437F4A">
                  <w:pPr>
                    <w:tabs>
                      <w:tab w:val="right" w:pos="9360"/>
                    </w:tabs>
                    <w:jc w:val="both"/>
                    <w:rPr>
                      <w:b/>
                      <w:sz w:val="26"/>
                      <w:lang w:val="bg-BG"/>
                    </w:rPr>
                  </w:pPr>
                </w:p>
              </w:tc>
              <w:tc>
                <w:tcPr>
                  <w:tcW w:w="372" w:type="dxa"/>
                  <w:shd w:val="clear" w:color="auto" w:fill="auto"/>
                </w:tcPr>
                <w:p w:rsidR="00437F4A" w:rsidRPr="00C40E65" w:rsidRDefault="00C40E65" w:rsidP="00437F4A">
                  <w:pPr>
                    <w:tabs>
                      <w:tab w:val="right" w:pos="9360"/>
                    </w:tabs>
                    <w:jc w:val="both"/>
                    <w:rPr>
                      <w:b/>
                      <w:sz w:val="26"/>
                    </w:rPr>
                  </w:pPr>
                  <w:r>
                    <w:rPr>
                      <w:b/>
                      <w:sz w:val="26"/>
                    </w:rPr>
                    <w:t>0</w:t>
                  </w:r>
                </w:p>
              </w:tc>
              <w:tc>
                <w:tcPr>
                  <w:tcW w:w="373" w:type="dxa"/>
                  <w:shd w:val="clear" w:color="auto" w:fill="auto"/>
                </w:tcPr>
                <w:p w:rsidR="00437F4A" w:rsidRPr="00437F4A" w:rsidRDefault="00C40E65" w:rsidP="00437F4A">
                  <w:pPr>
                    <w:tabs>
                      <w:tab w:val="right" w:pos="9360"/>
                    </w:tabs>
                    <w:jc w:val="both"/>
                    <w:rPr>
                      <w:b/>
                      <w:sz w:val="26"/>
                    </w:rPr>
                  </w:pPr>
                  <w:r>
                    <w:rPr>
                      <w:b/>
                      <w:sz w:val="26"/>
                    </w:rPr>
                    <w:t>0</w:t>
                  </w:r>
                </w:p>
              </w:tc>
              <w:tc>
                <w:tcPr>
                  <w:tcW w:w="373" w:type="dxa"/>
                  <w:shd w:val="clear" w:color="auto" w:fill="auto"/>
                </w:tcPr>
                <w:p w:rsidR="00437F4A" w:rsidRPr="00437F4A" w:rsidRDefault="00C40E65" w:rsidP="00437F4A">
                  <w:pPr>
                    <w:tabs>
                      <w:tab w:val="right" w:pos="9360"/>
                    </w:tabs>
                    <w:jc w:val="both"/>
                    <w:rPr>
                      <w:b/>
                      <w:sz w:val="26"/>
                    </w:rPr>
                  </w:pPr>
                  <w:r>
                    <w:rPr>
                      <w:b/>
                      <w:sz w:val="26"/>
                    </w:rPr>
                    <w:t>3</w:t>
                  </w:r>
                </w:p>
              </w:tc>
              <w:tc>
                <w:tcPr>
                  <w:tcW w:w="373" w:type="dxa"/>
                  <w:shd w:val="clear" w:color="auto" w:fill="auto"/>
                </w:tcPr>
                <w:p w:rsidR="00437F4A" w:rsidRPr="00437F4A" w:rsidRDefault="00C40E65" w:rsidP="00437F4A">
                  <w:pPr>
                    <w:tabs>
                      <w:tab w:val="right" w:pos="9360"/>
                    </w:tabs>
                    <w:jc w:val="both"/>
                    <w:rPr>
                      <w:b/>
                      <w:sz w:val="26"/>
                    </w:rPr>
                  </w:pPr>
                  <w:r>
                    <w:rPr>
                      <w:b/>
                      <w:sz w:val="26"/>
                    </w:rPr>
                    <w:t>8</w:t>
                  </w:r>
                </w:p>
              </w:tc>
            </w:tr>
          </w:tbl>
          <w:p w:rsidR="00437F4A" w:rsidRPr="00437F4A" w:rsidRDefault="00437F4A" w:rsidP="00437F4A">
            <w:pPr>
              <w:tabs>
                <w:tab w:val="right" w:pos="9360"/>
              </w:tabs>
              <w:rPr>
                <w:b/>
                <w:sz w:val="26"/>
                <w:lang w:val="bg-BG"/>
              </w:rPr>
            </w:pPr>
          </w:p>
        </w:tc>
      </w:tr>
      <w:tr w:rsidR="00437F4A" w:rsidRPr="00437F4A" w:rsidTr="0014580A">
        <w:trPr>
          <w:trHeight w:val="550"/>
        </w:trPr>
        <w:tc>
          <w:tcPr>
            <w:tcW w:w="3119" w:type="dxa"/>
            <w:vAlign w:val="center"/>
          </w:tcPr>
          <w:p w:rsidR="00437F4A" w:rsidRPr="00437F4A" w:rsidRDefault="00437F4A" w:rsidP="00437F4A">
            <w:pPr>
              <w:tabs>
                <w:tab w:val="right" w:pos="9360"/>
              </w:tabs>
              <w:ind w:left="43"/>
              <w:rPr>
                <w:sz w:val="26"/>
                <w:lang w:val="bg-BG"/>
              </w:rPr>
            </w:pPr>
            <w:r w:rsidRPr="00437F4A">
              <w:rPr>
                <w:sz w:val="26"/>
                <w:lang w:val="bg-BG"/>
              </w:rPr>
              <w:t>Основание за откриване</w:t>
            </w:r>
          </w:p>
        </w:tc>
        <w:tc>
          <w:tcPr>
            <w:tcW w:w="5701" w:type="dxa"/>
            <w:vAlign w:val="center"/>
          </w:tcPr>
          <w:p w:rsidR="00437F4A" w:rsidRPr="00437F4A" w:rsidRDefault="00437F4A" w:rsidP="008750A9">
            <w:pPr>
              <w:tabs>
                <w:tab w:val="right" w:pos="9360"/>
              </w:tabs>
              <w:rPr>
                <w:b/>
                <w:sz w:val="26"/>
              </w:rPr>
            </w:pPr>
            <w:r w:rsidRPr="00437F4A">
              <w:rPr>
                <w:b/>
                <w:sz w:val="26"/>
                <w:lang w:val="bg-BG"/>
              </w:rPr>
              <w:t xml:space="preserve">чл. 90, ал. 1, т. </w:t>
            </w:r>
            <w:r w:rsidR="008750A9">
              <w:rPr>
                <w:b/>
                <w:sz w:val="26"/>
                <w:lang w:val="bg-BG"/>
              </w:rPr>
              <w:t>4</w:t>
            </w:r>
            <w:r w:rsidR="004C771D">
              <w:rPr>
                <w:b/>
                <w:sz w:val="26"/>
                <w:lang w:val="bg-BG"/>
              </w:rPr>
              <w:t xml:space="preserve"> </w:t>
            </w:r>
            <w:r w:rsidRPr="00437F4A">
              <w:rPr>
                <w:b/>
                <w:sz w:val="26"/>
                <w:lang w:val="bg-BG"/>
              </w:rPr>
              <w:t>от ЗОП</w:t>
            </w:r>
          </w:p>
        </w:tc>
      </w:tr>
      <w:tr w:rsidR="00437F4A" w:rsidRPr="00437F4A" w:rsidTr="0014580A">
        <w:trPr>
          <w:trHeight w:val="550"/>
        </w:trPr>
        <w:tc>
          <w:tcPr>
            <w:tcW w:w="3119" w:type="dxa"/>
            <w:vAlign w:val="center"/>
          </w:tcPr>
          <w:p w:rsidR="00437F4A" w:rsidRPr="00437F4A" w:rsidRDefault="00437F4A" w:rsidP="00437F4A">
            <w:pPr>
              <w:tabs>
                <w:tab w:val="right" w:pos="9360"/>
              </w:tabs>
              <w:ind w:left="43"/>
              <w:rPr>
                <w:sz w:val="26"/>
                <w:lang w:val="bg-BG"/>
              </w:rPr>
            </w:pPr>
            <w:r w:rsidRPr="00437F4A">
              <w:rPr>
                <w:sz w:val="26"/>
                <w:lang w:val="bg-BG"/>
              </w:rPr>
              <w:t>Обект на поръчката</w:t>
            </w:r>
          </w:p>
        </w:tc>
        <w:tc>
          <w:tcPr>
            <w:tcW w:w="5701" w:type="dxa"/>
            <w:vAlign w:val="center"/>
          </w:tcPr>
          <w:p w:rsidR="00437F4A" w:rsidRPr="00437F4A" w:rsidRDefault="00437F4A" w:rsidP="00C40E65">
            <w:pPr>
              <w:tabs>
                <w:tab w:val="right" w:pos="9360"/>
              </w:tabs>
              <w:rPr>
                <w:b/>
                <w:sz w:val="26"/>
              </w:rPr>
            </w:pPr>
            <w:r w:rsidRPr="00437F4A">
              <w:rPr>
                <w:b/>
                <w:sz w:val="26"/>
                <w:lang w:val="bg-BG"/>
              </w:rPr>
              <w:fldChar w:fldCharType="begin">
                <w:ffData>
                  <w:name w:val="Check34"/>
                  <w:enabled/>
                  <w:calcOnExit w:val="0"/>
                  <w:checkBox>
                    <w:sizeAuto/>
                    <w:default w:val="0"/>
                  </w:checkBox>
                </w:ffData>
              </w:fldChar>
            </w:r>
            <w:bookmarkStart w:id="1" w:name="Check34"/>
            <w:r w:rsidRPr="00437F4A">
              <w:rPr>
                <w:b/>
                <w:sz w:val="26"/>
                <w:lang w:val="bg-BG"/>
              </w:rPr>
              <w:instrText xml:space="preserve"> FORMCHECKBOX </w:instrText>
            </w:r>
            <w:r w:rsidR="00C83058">
              <w:rPr>
                <w:b/>
                <w:sz w:val="26"/>
                <w:lang w:val="bg-BG"/>
              </w:rPr>
            </w:r>
            <w:r w:rsidR="00C83058">
              <w:rPr>
                <w:b/>
                <w:sz w:val="26"/>
                <w:lang w:val="bg-BG"/>
              </w:rPr>
              <w:fldChar w:fldCharType="separate"/>
            </w:r>
            <w:r w:rsidRPr="00437F4A">
              <w:rPr>
                <w:b/>
                <w:sz w:val="26"/>
                <w:lang w:val="bg-BG"/>
              </w:rPr>
              <w:fldChar w:fldCharType="end"/>
            </w:r>
            <w:bookmarkEnd w:id="1"/>
            <w:r w:rsidRPr="00437F4A">
              <w:rPr>
                <w:b/>
                <w:sz w:val="26"/>
                <w:lang w:val="bg-BG"/>
              </w:rPr>
              <w:t xml:space="preserve"> Строителство    </w:t>
            </w:r>
            <w:r w:rsidRPr="00437F4A">
              <w:rPr>
                <w:b/>
                <w:sz w:val="26"/>
                <w:lang w:val="bg-BG"/>
              </w:rPr>
              <w:fldChar w:fldCharType="begin">
                <w:ffData>
                  <w:name w:val="Check35"/>
                  <w:enabled/>
                  <w:calcOnExit w:val="0"/>
                  <w:checkBox>
                    <w:sizeAuto/>
                    <w:default w:val="0"/>
                  </w:checkBox>
                </w:ffData>
              </w:fldChar>
            </w:r>
            <w:bookmarkStart w:id="2" w:name="Check35"/>
            <w:r w:rsidRPr="00437F4A">
              <w:rPr>
                <w:b/>
                <w:sz w:val="26"/>
                <w:lang w:val="bg-BG"/>
              </w:rPr>
              <w:instrText xml:space="preserve"> FORMCHECKBOX </w:instrText>
            </w:r>
            <w:r w:rsidR="00C83058">
              <w:rPr>
                <w:b/>
                <w:sz w:val="26"/>
                <w:lang w:val="bg-BG"/>
              </w:rPr>
            </w:r>
            <w:r w:rsidR="00C83058">
              <w:rPr>
                <w:b/>
                <w:sz w:val="26"/>
                <w:lang w:val="bg-BG"/>
              </w:rPr>
              <w:fldChar w:fldCharType="separate"/>
            </w:r>
            <w:r w:rsidRPr="00437F4A">
              <w:rPr>
                <w:b/>
                <w:sz w:val="26"/>
                <w:lang w:val="bg-BG"/>
              </w:rPr>
              <w:fldChar w:fldCharType="end"/>
            </w:r>
            <w:bookmarkEnd w:id="2"/>
            <w:r w:rsidRPr="00437F4A">
              <w:rPr>
                <w:b/>
                <w:sz w:val="26"/>
                <w:lang w:val="bg-BG"/>
              </w:rPr>
              <w:t xml:space="preserve"> Доставки     </w:t>
            </w:r>
            <w:bookmarkStart w:id="3" w:name="Check36"/>
            <w:r w:rsidR="00C40E65">
              <w:rPr>
                <w:b/>
                <w:sz w:val="26"/>
                <w:lang w:val="bg-BG"/>
              </w:rPr>
              <w:fldChar w:fldCharType="begin">
                <w:ffData>
                  <w:name w:val="Check36"/>
                  <w:enabled/>
                  <w:calcOnExit w:val="0"/>
                  <w:checkBox>
                    <w:sizeAuto/>
                    <w:default w:val="1"/>
                  </w:checkBox>
                </w:ffData>
              </w:fldChar>
            </w:r>
            <w:r w:rsidR="00C40E65">
              <w:rPr>
                <w:b/>
                <w:sz w:val="26"/>
                <w:lang w:val="bg-BG"/>
              </w:rPr>
              <w:instrText xml:space="preserve"> FORMCHECKBOX </w:instrText>
            </w:r>
            <w:r w:rsidR="00C83058">
              <w:rPr>
                <w:b/>
                <w:sz w:val="26"/>
                <w:lang w:val="bg-BG"/>
              </w:rPr>
            </w:r>
            <w:r w:rsidR="00C83058">
              <w:rPr>
                <w:b/>
                <w:sz w:val="26"/>
                <w:lang w:val="bg-BG"/>
              </w:rPr>
              <w:fldChar w:fldCharType="separate"/>
            </w:r>
            <w:r w:rsidR="00C40E65">
              <w:rPr>
                <w:b/>
                <w:sz w:val="26"/>
                <w:lang w:val="bg-BG"/>
              </w:rPr>
              <w:fldChar w:fldCharType="end"/>
            </w:r>
            <w:bookmarkEnd w:id="3"/>
            <w:r w:rsidRPr="00437F4A">
              <w:rPr>
                <w:b/>
                <w:sz w:val="26"/>
                <w:lang w:val="bg-BG"/>
              </w:rPr>
              <w:t xml:space="preserve"> Услуги</w:t>
            </w:r>
          </w:p>
        </w:tc>
      </w:tr>
      <w:tr w:rsidR="00437F4A" w:rsidRPr="00437F4A" w:rsidTr="0014580A">
        <w:trPr>
          <w:trHeight w:val="550"/>
        </w:trPr>
        <w:tc>
          <w:tcPr>
            <w:tcW w:w="3119" w:type="dxa"/>
            <w:vAlign w:val="center"/>
          </w:tcPr>
          <w:p w:rsidR="00437F4A" w:rsidRPr="00437F4A" w:rsidRDefault="00437F4A" w:rsidP="00437F4A">
            <w:pPr>
              <w:tabs>
                <w:tab w:val="right" w:pos="9360"/>
              </w:tabs>
              <w:ind w:left="43"/>
              <w:rPr>
                <w:sz w:val="26"/>
                <w:lang w:val="bg-BG"/>
              </w:rPr>
            </w:pPr>
            <w:r w:rsidRPr="00437F4A">
              <w:rPr>
                <w:sz w:val="26"/>
                <w:lang w:val="bg-BG"/>
              </w:rPr>
              <w:t>Предмет на поръчката</w:t>
            </w:r>
          </w:p>
        </w:tc>
        <w:tc>
          <w:tcPr>
            <w:tcW w:w="5701" w:type="dxa"/>
            <w:vAlign w:val="center"/>
          </w:tcPr>
          <w:p w:rsidR="00437F4A" w:rsidRPr="00FE540E" w:rsidRDefault="00C40E65" w:rsidP="00FE540E">
            <w:pPr>
              <w:tabs>
                <w:tab w:val="right" w:pos="9360"/>
              </w:tabs>
              <w:jc w:val="both"/>
              <w:rPr>
                <w:b/>
                <w:sz w:val="26"/>
                <w:lang w:val="bg-BG"/>
              </w:rPr>
            </w:pPr>
            <w:r w:rsidRPr="00A81137">
              <w:rPr>
                <w:b/>
                <w:sz w:val="26"/>
                <w:szCs w:val="26"/>
              </w:rPr>
              <w:t xml:space="preserve">Извършване като Сертифициращ орган на </w:t>
            </w:r>
            <w:proofErr w:type="spellStart"/>
            <w:r w:rsidRPr="00A81137">
              <w:rPr>
                <w:b/>
                <w:sz w:val="26"/>
                <w:szCs w:val="26"/>
              </w:rPr>
              <w:t>сертификационен</w:t>
            </w:r>
            <w:proofErr w:type="spellEnd"/>
            <w:r w:rsidRPr="00A81137">
              <w:rPr>
                <w:b/>
                <w:sz w:val="26"/>
                <w:szCs w:val="26"/>
              </w:rPr>
              <w:t xml:space="preserve"> </w:t>
            </w:r>
            <w:proofErr w:type="spellStart"/>
            <w:r w:rsidRPr="00A81137">
              <w:rPr>
                <w:b/>
                <w:sz w:val="26"/>
                <w:szCs w:val="26"/>
              </w:rPr>
              <w:t>одит</w:t>
            </w:r>
            <w:proofErr w:type="spellEnd"/>
            <w:r w:rsidRPr="00A81137">
              <w:rPr>
                <w:b/>
                <w:sz w:val="26"/>
                <w:szCs w:val="26"/>
              </w:rPr>
              <w:t xml:space="preserve"> </w:t>
            </w:r>
            <w:proofErr w:type="spellStart"/>
            <w:r w:rsidRPr="00A81137">
              <w:rPr>
                <w:b/>
                <w:sz w:val="26"/>
                <w:szCs w:val="26"/>
              </w:rPr>
              <w:t>на</w:t>
            </w:r>
            <w:proofErr w:type="spellEnd"/>
            <w:r w:rsidRPr="00A81137">
              <w:rPr>
                <w:b/>
                <w:sz w:val="26"/>
                <w:szCs w:val="26"/>
              </w:rPr>
              <w:t xml:space="preserve"> </w:t>
            </w:r>
            <w:proofErr w:type="spellStart"/>
            <w:r w:rsidRPr="00A81137">
              <w:rPr>
                <w:b/>
                <w:sz w:val="26"/>
                <w:szCs w:val="26"/>
              </w:rPr>
              <w:t>Разплащателна</w:t>
            </w:r>
            <w:proofErr w:type="spellEnd"/>
            <w:r w:rsidRPr="00A81137">
              <w:rPr>
                <w:b/>
                <w:sz w:val="26"/>
                <w:szCs w:val="26"/>
              </w:rPr>
              <w:t xml:space="preserve"> </w:t>
            </w:r>
            <w:proofErr w:type="spellStart"/>
            <w:r w:rsidRPr="00A81137">
              <w:rPr>
                <w:b/>
                <w:sz w:val="26"/>
                <w:szCs w:val="26"/>
              </w:rPr>
              <w:t>агенция</w:t>
            </w:r>
            <w:proofErr w:type="spellEnd"/>
            <w:r w:rsidRPr="00A81137">
              <w:rPr>
                <w:b/>
                <w:sz w:val="26"/>
                <w:szCs w:val="26"/>
              </w:rPr>
              <w:t xml:space="preserve"> </w:t>
            </w:r>
            <w:proofErr w:type="spellStart"/>
            <w:r w:rsidRPr="00A81137">
              <w:rPr>
                <w:b/>
                <w:sz w:val="26"/>
                <w:szCs w:val="26"/>
              </w:rPr>
              <w:t>на</w:t>
            </w:r>
            <w:proofErr w:type="spellEnd"/>
            <w:r w:rsidRPr="00A81137">
              <w:rPr>
                <w:b/>
                <w:sz w:val="26"/>
                <w:szCs w:val="26"/>
              </w:rPr>
              <w:t xml:space="preserve"> </w:t>
            </w:r>
            <w:proofErr w:type="spellStart"/>
            <w:r w:rsidRPr="00A81137">
              <w:rPr>
                <w:b/>
                <w:sz w:val="26"/>
                <w:szCs w:val="26"/>
              </w:rPr>
              <w:t>Република</w:t>
            </w:r>
            <w:proofErr w:type="spellEnd"/>
            <w:r w:rsidRPr="00A81137">
              <w:rPr>
                <w:b/>
                <w:sz w:val="26"/>
                <w:szCs w:val="26"/>
              </w:rPr>
              <w:t xml:space="preserve"> </w:t>
            </w:r>
            <w:proofErr w:type="spellStart"/>
            <w:r w:rsidRPr="00A81137">
              <w:rPr>
                <w:b/>
                <w:sz w:val="26"/>
                <w:szCs w:val="26"/>
              </w:rPr>
              <w:t>България</w:t>
            </w:r>
            <w:proofErr w:type="spellEnd"/>
            <w:r w:rsidRPr="00A81137">
              <w:rPr>
                <w:b/>
                <w:sz w:val="26"/>
                <w:szCs w:val="26"/>
              </w:rPr>
              <w:t xml:space="preserve"> </w:t>
            </w:r>
            <w:proofErr w:type="spellStart"/>
            <w:r w:rsidRPr="00A81137">
              <w:rPr>
                <w:b/>
                <w:sz w:val="26"/>
                <w:szCs w:val="26"/>
              </w:rPr>
              <w:t>за</w:t>
            </w:r>
            <w:proofErr w:type="spellEnd"/>
            <w:r w:rsidRPr="00A81137">
              <w:rPr>
                <w:b/>
                <w:sz w:val="26"/>
                <w:szCs w:val="26"/>
              </w:rPr>
              <w:t xml:space="preserve"> </w:t>
            </w:r>
            <w:proofErr w:type="spellStart"/>
            <w:r w:rsidRPr="00A81137">
              <w:rPr>
                <w:b/>
                <w:sz w:val="26"/>
                <w:szCs w:val="26"/>
              </w:rPr>
              <w:t>финансовата</w:t>
            </w:r>
            <w:proofErr w:type="spellEnd"/>
            <w:r w:rsidRPr="00A81137">
              <w:rPr>
                <w:b/>
                <w:sz w:val="26"/>
                <w:szCs w:val="26"/>
              </w:rPr>
              <w:t xml:space="preserve"> </w:t>
            </w:r>
            <w:proofErr w:type="spellStart"/>
            <w:r w:rsidRPr="00A81137">
              <w:rPr>
                <w:b/>
                <w:sz w:val="26"/>
                <w:szCs w:val="26"/>
              </w:rPr>
              <w:t>година</w:t>
            </w:r>
            <w:proofErr w:type="spellEnd"/>
            <w:r w:rsidRPr="00A81137">
              <w:rPr>
                <w:b/>
                <w:sz w:val="26"/>
                <w:szCs w:val="26"/>
              </w:rPr>
              <w:t xml:space="preserve">, </w:t>
            </w:r>
            <w:proofErr w:type="spellStart"/>
            <w:r w:rsidRPr="00A81137">
              <w:rPr>
                <w:b/>
                <w:sz w:val="26"/>
                <w:szCs w:val="26"/>
              </w:rPr>
              <w:t>включваща</w:t>
            </w:r>
            <w:proofErr w:type="spellEnd"/>
            <w:r w:rsidRPr="00A81137">
              <w:rPr>
                <w:b/>
                <w:sz w:val="26"/>
                <w:szCs w:val="26"/>
              </w:rPr>
              <w:t xml:space="preserve"> </w:t>
            </w:r>
            <w:proofErr w:type="spellStart"/>
            <w:r w:rsidRPr="00A81137">
              <w:rPr>
                <w:b/>
                <w:sz w:val="26"/>
                <w:szCs w:val="26"/>
              </w:rPr>
              <w:t>периода</w:t>
            </w:r>
            <w:proofErr w:type="spellEnd"/>
            <w:r w:rsidRPr="00A81137">
              <w:rPr>
                <w:b/>
                <w:sz w:val="26"/>
                <w:szCs w:val="26"/>
              </w:rPr>
              <w:t xml:space="preserve"> 16 </w:t>
            </w:r>
            <w:proofErr w:type="spellStart"/>
            <w:r w:rsidRPr="00A81137">
              <w:rPr>
                <w:b/>
                <w:sz w:val="26"/>
                <w:szCs w:val="26"/>
              </w:rPr>
              <w:t>октомври</w:t>
            </w:r>
            <w:proofErr w:type="spellEnd"/>
            <w:r w:rsidRPr="00A81137">
              <w:rPr>
                <w:b/>
                <w:sz w:val="26"/>
                <w:szCs w:val="26"/>
              </w:rPr>
              <w:t xml:space="preserve"> 2013 г. – 15 </w:t>
            </w:r>
            <w:proofErr w:type="spellStart"/>
            <w:r w:rsidRPr="00A81137">
              <w:rPr>
                <w:b/>
                <w:sz w:val="26"/>
                <w:szCs w:val="26"/>
              </w:rPr>
              <w:t>октомври</w:t>
            </w:r>
            <w:proofErr w:type="spellEnd"/>
            <w:r w:rsidRPr="00A81137">
              <w:rPr>
                <w:b/>
                <w:sz w:val="26"/>
                <w:szCs w:val="26"/>
              </w:rPr>
              <w:t xml:space="preserve"> 2014 г., и </w:t>
            </w:r>
            <w:proofErr w:type="spellStart"/>
            <w:r w:rsidRPr="00A81137">
              <w:rPr>
                <w:b/>
                <w:sz w:val="26"/>
                <w:szCs w:val="26"/>
              </w:rPr>
              <w:t>препотвърждаване</w:t>
            </w:r>
            <w:proofErr w:type="spellEnd"/>
            <w:r w:rsidRPr="00A81137">
              <w:rPr>
                <w:b/>
                <w:sz w:val="26"/>
                <w:szCs w:val="26"/>
              </w:rPr>
              <w:t xml:space="preserve"> </w:t>
            </w:r>
            <w:proofErr w:type="spellStart"/>
            <w:r w:rsidRPr="00A81137">
              <w:rPr>
                <w:b/>
                <w:sz w:val="26"/>
                <w:szCs w:val="26"/>
              </w:rPr>
              <w:t>на</w:t>
            </w:r>
            <w:proofErr w:type="spellEnd"/>
            <w:r w:rsidRPr="00A81137">
              <w:rPr>
                <w:b/>
                <w:sz w:val="26"/>
                <w:szCs w:val="26"/>
              </w:rPr>
              <w:t xml:space="preserve"> </w:t>
            </w:r>
            <w:proofErr w:type="spellStart"/>
            <w:r w:rsidRPr="00A81137">
              <w:rPr>
                <w:b/>
                <w:sz w:val="26"/>
                <w:szCs w:val="26"/>
              </w:rPr>
              <w:t>проверки</w:t>
            </w:r>
            <w:proofErr w:type="spellEnd"/>
            <w:r w:rsidRPr="00A81137">
              <w:rPr>
                <w:b/>
                <w:sz w:val="26"/>
                <w:szCs w:val="26"/>
              </w:rPr>
              <w:t xml:space="preserve"> </w:t>
            </w:r>
            <w:proofErr w:type="spellStart"/>
            <w:r w:rsidRPr="00A81137">
              <w:rPr>
                <w:b/>
                <w:sz w:val="26"/>
                <w:szCs w:val="26"/>
              </w:rPr>
              <w:t>на</w:t>
            </w:r>
            <w:proofErr w:type="spellEnd"/>
            <w:r w:rsidRPr="00A81137">
              <w:rPr>
                <w:b/>
                <w:sz w:val="26"/>
                <w:szCs w:val="26"/>
              </w:rPr>
              <w:t xml:space="preserve"> </w:t>
            </w:r>
            <w:proofErr w:type="spellStart"/>
            <w:r w:rsidRPr="00A81137">
              <w:rPr>
                <w:b/>
                <w:sz w:val="26"/>
                <w:szCs w:val="26"/>
              </w:rPr>
              <w:t>място</w:t>
            </w:r>
            <w:proofErr w:type="spellEnd"/>
            <w:r w:rsidRPr="00A81137">
              <w:rPr>
                <w:b/>
                <w:sz w:val="26"/>
                <w:szCs w:val="26"/>
              </w:rPr>
              <w:t xml:space="preserve">, </w:t>
            </w:r>
            <w:proofErr w:type="spellStart"/>
            <w:r w:rsidRPr="00A81137">
              <w:rPr>
                <w:b/>
                <w:sz w:val="26"/>
                <w:szCs w:val="26"/>
              </w:rPr>
              <w:t>извършени</w:t>
            </w:r>
            <w:proofErr w:type="spellEnd"/>
            <w:r w:rsidRPr="00A81137">
              <w:rPr>
                <w:b/>
                <w:sz w:val="26"/>
                <w:szCs w:val="26"/>
              </w:rPr>
              <w:t xml:space="preserve"> </w:t>
            </w:r>
            <w:proofErr w:type="spellStart"/>
            <w:r w:rsidRPr="00A81137">
              <w:rPr>
                <w:b/>
                <w:sz w:val="26"/>
                <w:szCs w:val="26"/>
              </w:rPr>
              <w:t>от</w:t>
            </w:r>
            <w:proofErr w:type="spellEnd"/>
            <w:r w:rsidRPr="00A81137">
              <w:rPr>
                <w:b/>
                <w:sz w:val="26"/>
                <w:szCs w:val="26"/>
              </w:rPr>
              <w:t xml:space="preserve"> </w:t>
            </w:r>
            <w:proofErr w:type="spellStart"/>
            <w:r w:rsidRPr="00A81137">
              <w:rPr>
                <w:b/>
                <w:sz w:val="26"/>
                <w:szCs w:val="26"/>
              </w:rPr>
              <w:t>Разплащателна</w:t>
            </w:r>
            <w:proofErr w:type="spellEnd"/>
            <w:r w:rsidRPr="00A81137">
              <w:rPr>
                <w:b/>
                <w:sz w:val="26"/>
                <w:szCs w:val="26"/>
              </w:rPr>
              <w:t xml:space="preserve"> </w:t>
            </w:r>
            <w:proofErr w:type="spellStart"/>
            <w:r w:rsidRPr="00A81137">
              <w:rPr>
                <w:b/>
                <w:sz w:val="26"/>
                <w:szCs w:val="26"/>
              </w:rPr>
              <w:t>агенция</w:t>
            </w:r>
            <w:proofErr w:type="spellEnd"/>
            <w:r w:rsidRPr="00A81137">
              <w:rPr>
                <w:b/>
                <w:sz w:val="26"/>
                <w:szCs w:val="26"/>
              </w:rPr>
              <w:t xml:space="preserve"> </w:t>
            </w:r>
            <w:proofErr w:type="spellStart"/>
            <w:r w:rsidRPr="00A81137">
              <w:rPr>
                <w:b/>
                <w:sz w:val="26"/>
                <w:szCs w:val="26"/>
              </w:rPr>
              <w:t>във</w:t>
            </w:r>
            <w:proofErr w:type="spellEnd"/>
            <w:r w:rsidRPr="00A81137">
              <w:rPr>
                <w:b/>
                <w:sz w:val="26"/>
                <w:szCs w:val="26"/>
              </w:rPr>
              <w:t xml:space="preserve"> </w:t>
            </w:r>
            <w:proofErr w:type="spellStart"/>
            <w:r w:rsidRPr="00A81137">
              <w:rPr>
                <w:b/>
                <w:sz w:val="26"/>
                <w:szCs w:val="26"/>
              </w:rPr>
              <w:t>връзка</w:t>
            </w:r>
            <w:proofErr w:type="spellEnd"/>
            <w:r w:rsidRPr="00A81137">
              <w:rPr>
                <w:b/>
                <w:sz w:val="26"/>
                <w:szCs w:val="26"/>
              </w:rPr>
              <w:t xml:space="preserve"> с </w:t>
            </w:r>
            <w:proofErr w:type="spellStart"/>
            <w:r w:rsidRPr="00A81137">
              <w:rPr>
                <w:b/>
                <w:sz w:val="26"/>
                <w:szCs w:val="26"/>
              </w:rPr>
              <w:t>финансова</w:t>
            </w:r>
            <w:proofErr w:type="spellEnd"/>
            <w:r w:rsidRPr="00A81137">
              <w:rPr>
                <w:b/>
                <w:sz w:val="26"/>
                <w:szCs w:val="26"/>
              </w:rPr>
              <w:t xml:space="preserve"> </w:t>
            </w:r>
            <w:proofErr w:type="spellStart"/>
            <w:r w:rsidRPr="00A81137">
              <w:rPr>
                <w:b/>
                <w:sz w:val="26"/>
                <w:szCs w:val="26"/>
              </w:rPr>
              <w:t>година</w:t>
            </w:r>
            <w:proofErr w:type="spellEnd"/>
            <w:r w:rsidRPr="00A81137">
              <w:rPr>
                <w:b/>
                <w:sz w:val="26"/>
                <w:szCs w:val="26"/>
              </w:rPr>
              <w:t xml:space="preserve"> 2015 г., </w:t>
            </w:r>
            <w:proofErr w:type="spellStart"/>
            <w:r w:rsidRPr="00A81137">
              <w:rPr>
                <w:b/>
                <w:sz w:val="26"/>
                <w:szCs w:val="26"/>
              </w:rPr>
              <w:t>които</w:t>
            </w:r>
            <w:proofErr w:type="spellEnd"/>
            <w:r w:rsidRPr="00A81137">
              <w:rPr>
                <w:b/>
                <w:sz w:val="26"/>
                <w:szCs w:val="26"/>
              </w:rPr>
              <w:t xml:space="preserve"> </w:t>
            </w:r>
            <w:proofErr w:type="spellStart"/>
            <w:r w:rsidRPr="00A81137">
              <w:rPr>
                <w:b/>
                <w:sz w:val="26"/>
                <w:szCs w:val="26"/>
              </w:rPr>
              <w:t>се</w:t>
            </w:r>
            <w:proofErr w:type="spellEnd"/>
            <w:r w:rsidRPr="00A81137">
              <w:rPr>
                <w:b/>
                <w:sz w:val="26"/>
                <w:szCs w:val="26"/>
              </w:rPr>
              <w:t xml:space="preserve"> </w:t>
            </w:r>
            <w:proofErr w:type="spellStart"/>
            <w:r w:rsidRPr="00A81137">
              <w:rPr>
                <w:b/>
                <w:sz w:val="26"/>
                <w:szCs w:val="26"/>
              </w:rPr>
              <w:t>извършват</w:t>
            </w:r>
            <w:proofErr w:type="spellEnd"/>
            <w:r w:rsidRPr="00A81137">
              <w:rPr>
                <w:b/>
                <w:sz w:val="26"/>
                <w:szCs w:val="26"/>
              </w:rPr>
              <w:t xml:space="preserve"> </w:t>
            </w:r>
            <w:proofErr w:type="spellStart"/>
            <w:r w:rsidRPr="00A81137">
              <w:rPr>
                <w:b/>
                <w:sz w:val="26"/>
                <w:szCs w:val="26"/>
              </w:rPr>
              <w:t>през</w:t>
            </w:r>
            <w:proofErr w:type="spellEnd"/>
            <w:r w:rsidRPr="00A81137">
              <w:rPr>
                <w:b/>
                <w:sz w:val="26"/>
                <w:szCs w:val="26"/>
              </w:rPr>
              <w:t xml:space="preserve"> </w:t>
            </w:r>
            <w:proofErr w:type="spellStart"/>
            <w:r w:rsidRPr="00A81137">
              <w:rPr>
                <w:b/>
                <w:sz w:val="26"/>
                <w:szCs w:val="26"/>
              </w:rPr>
              <w:t>финансова</w:t>
            </w:r>
            <w:proofErr w:type="spellEnd"/>
            <w:r w:rsidRPr="00A81137">
              <w:rPr>
                <w:b/>
                <w:sz w:val="26"/>
                <w:szCs w:val="26"/>
              </w:rPr>
              <w:t xml:space="preserve"> </w:t>
            </w:r>
            <w:proofErr w:type="spellStart"/>
            <w:r w:rsidRPr="00A81137">
              <w:rPr>
                <w:b/>
                <w:sz w:val="26"/>
                <w:szCs w:val="26"/>
              </w:rPr>
              <w:t>година</w:t>
            </w:r>
            <w:proofErr w:type="spellEnd"/>
            <w:r w:rsidRPr="00A81137">
              <w:rPr>
                <w:b/>
                <w:sz w:val="26"/>
                <w:szCs w:val="26"/>
              </w:rPr>
              <w:t xml:space="preserve"> 2014 г., </w:t>
            </w:r>
            <w:proofErr w:type="spellStart"/>
            <w:r w:rsidRPr="00A81137">
              <w:rPr>
                <w:b/>
                <w:sz w:val="26"/>
                <w:szCs w:val="26"/>
              </w:rPr>
              <w:t>съгласно</w:t>
            </w:r>
            <w:proofErr w:type="spellEnd"/>
            <w:r w:rsidRPr="00A81137">
              <w:rPr>
                <w:b/>
                <w:sz w:val="26"/>
                <w:szCs w:val="26"/>
              </w:rPr>
              <w:t xml:space="preserve"> </w:t>
            </w:r>
            <w:proofErr w:type="spellStart"/>
            <w:r w:rsidRPr="00A81137">
              <w:rPr>
                <w:b/>
                <w:sz w:val="26"/>
                <w:szCs w:val="26"/>
              </w:rPr>
              <w:t>изискванията</w:t>
            </w:r>
            <w:proofErr w:type="spellEnd"/>
            <w:r w:rsidRPr="00A81137">
              <w:rPr>
                <w:b/>
                <w:sz w:val="26"/>
                <w:szCs w:val="26"/>
              </w:rPr>
              <w:t xml:space="preserve">, </w:t>
            </w:r>
            <w:proofErr w:type="spellStart"/>
            <w:r w:rsidRPr="00A81137">
              <w:rPr>
                <w:b/>
                <w:sz w:val="26"/>
                <w:szCs w:val="26"/>
              </w:rPr>
              <w:t>свързани</w:t>
            </w:r>
            <w:proofErr w:type="spellEnd"/>
            <w:r w:rsidRPr="00A81137">
              <w:rPr>
                <w:b/>
                <w:sz w:val="26"/>
                <w:szCs w:val="26"/>
              </w:rPr>
              <w:t xml:space="preserve"> </w:t>
            </w:r>
            <w:proofErr w:type="spellStart"/>
            <w:r w:rsidRPr="00A81137">
              <w:rPr>
                <w:b/>
                <w:sz w:val="26"/>
                <w:szCs w:val="26"/>
              </w:rPr>
              <w:t>със</w:t>
            </w:r>
            <w:proofErr w:type="spellEnd"/>
            <w:r w:rsidRPr="00A81137">
              <w:rPr>
                <w:b/>
                <w:sz w:val="26"/>
                <w:szCs w:val="26"/>
              </w:rPr>
              <w:t xml:space="preserve"> </w:t>
            </w:r>
            <w:proofErr w:type="spellStart"/>
            <w:r w:rsidRPr="00A81137">
              <w:rPr>
                <w:b/>
                <w:sz w:val="26"/>
                <w:szCs w:val="26"/>
              </w:rPr>
              <w:t>законосъобразността</w:t>
            </w:r>
            <w:proofErr w:type="spellEnd"/>
            <w:r w:rsidRPr="00A81137">
              <w:rPr>
                <w:b/>
                <w:sz w:val="26"/>
                <w:szCs w:val="26"/>
              </w:rPr>
              <w:t xml:space="preserve"> и </w:t>
            </w:r>
            <w:proofErr w:type="spellStart"/>
            <w:r w:rsidRPr="00A81137">
              <w:rPr>
                <w:b/>
                <w:sz w:val="26"/>
                <w:szCs w:val="26"/>
              </w:rPr>
              <w:t>редовността</w:t>
            </w:r>
            <w:proofErr w:type="spellEnd"/>
            <w:r w:rsidRPr="00A81137">
              <w:rPr>
                <w:b/>
                <w:sz w:val="26"/>
                <w:szCs w:val="26"/>
              </w:rPr>
              <w:t xml:space="preserve"> </w:t>
            </w:r>
            <w:proofErr w:type="spellStart"/>
            <w:r w:rsidRPr="00A81137">
              <w:rPr>
                <w:b/>
                <w:sz w:val="26"/>
                <w:szCs w:val="26"/>
              </w:rPr>
              <w:t>на</w:t>
            </w:r>
            <w:proofErr w:type="spellEnd"/>
            <w:r w:rsidRPr="00A81137">
              <w:rPr>
                <w:b/>
                <w:sz w:val="26"/>
                <w:szCs w:val="26"/>
              </w:rPr>
              <w:t xml:space="preserve"> </w:t>
            </w:r>
            <w:proofErr w:type="spellStart"/>
            <w:r w:rsidRPr="00A81137">
              <w:rPr>
                <w:b/>
                <w:sz w:val="26"/>
                <w:szCs w:val="26"/>
              </w:rPr>
              <w:t>транзакции</w:t>
            </w:r>
            <w:proofErr w:type="spellEnd"/>
            <w:r w:rsidRPr="00A81137">
              <w:rPr>
                <w:b/>
                <w:sz w:val="26"/>
                <w:szCs w:val="26"/>
              </w:rPr>
              <w:t xml:space="preserve"> </w:t>
            </w:r>
            <w:proofErr w:type="spellStart"/>
            <w:r w:rsidRPr="00A81137">
              <w:rPr>
                <w:b/>
                <w:sz w:val="26"/>
                <w:szCs w:val="26"/>
              </w:rPr>
              <w:t>на</w:t>
            </w:r>
            <w:proofErr w:type="spellEnd"/>
            <w:r w:rsidRPr="00A81137">
              <w:rPr>
                <w:b/>
                <w:sz w:val="26"/>
                <w:szCs w:val="26"/>
              </w:rPr>
              <w:t xml:space="preserve"> </w:t>
            </w:r>
            <w:proofErr w:type="spellStart"/>
            <w:r w:rsidRPr="00A81137">
              <w:rPr>
                <w:b/>
                <w:sz w:val="26"/>
                <w:szCs w:val="26"/>
              </w:rPr>
              <w:t>ниво</w:t>
            </w:r>
            <w:proofErr w:type="spellEnd"/>
            <w:r w:rsidRPr="00A81137">
              <w:rPr>
                <w:b/>
                <w:sz w:val="26"/>
                <w:szCs w:val="26"/>
              </w:rPr>
              <w:t xml:space="preserve"> </w:t>
            </w:r>
            <w:proofErr w:type="spellStart"/>
            <w:r w:rsidRPr="00A81137">
              <w:rPr>
                <w:b/>
                <w:sz w:val="26"/>
                <w:szCs w:val="26"/>
              </w:rPr>
              <w:t>бенефициер</w:t>
            </w:r>
            <w:proofErr w:type="spellEnd"/>
            <w:r w:rsidRPr="00A81137">
              <w:rPr>
                <w:b/>
                <w:sz w:val="26"/>
                <w:szCs w:val="26"/>
              </w:rPr>
              <w:t xml:space="preserve">, </w:t>
            </w:r>
            <w:proofErr w:type="spellStart"/>
            <w:r w:rsidRPr="00A81137">
              <w:rPr>
                <w:b/>
                <w:sz w:val="26"/>
                <w:szCs w:val="26"/>
              </w:rPr>
              <w:t>съгласно</w:t>
            </w:r>
            <w:proofErr w:type="spellEnd"/>
            <w:r w:rsidRPr="00A81137">
              <w:rPr>
                <w:b/>
                <w:sz w:val="26"/>
                <w:szCs w:val="26"/>
              </w:rPr>
              <w:t xml:space="preserve"> </w:t>
            </w:r>
            <w:proofErr w:type="spellStart"/>
            <w:r w:rsidRPr="00A81137">
              <w:rPr>
                <w:b/>
                <w:sz w:val="26"/>
                <w:szCs w:val="26"/>
              </w:rPr>
              <w:t>Регламент</w:t>
            </w:r>
            <w:proofErr w:type="spellEnd"/>
            <w:r w:rsidRPr="00A81137">
              <w:rPr>
                <w:b/>
                <w:sz w:val="26"/>
                <w:szCs w:val="26"/>
              </w:rPr>
              <w:t xml:space="preserve"> (ЕО, </w:t>
            </w:r>
            <w:proofErr w:type="spellStart"/>
            <w:r w:rsidRPr="00A81137">
              <w:rPr>
                <w:b/>
                <w:sz w:val="26"/>
                <w:szCs w:val="26"/>
              </w:rPr>
              <w:t>Евратом</w:t>
            </w:r>
            <w:proofErr w:type="spellEnd"/>
            <w:r w:rsidRPr="00A81137">
              <w:rPr>
                <w:b/>
                <w:sz w:val="26"/>
                <w:szCs w:val="26"/>
              </w:rPr>
              <w:t xml:space="preserve">) № 966/2012 г. </w:t>
            </w:r>
            <w:proofErr w:type="spellStart"/>
            <w:r w:rsidRPr="00A81137">
              <w:rPr>
                <w:b/>
                <w:sz w:val="26"/>
                <w:szCs w:val="26"/>
              </w:rPr>
              <w:t>на</w:t>
            </w:r>
            <w:proofErr w:type="spellEnd"/>
            <w:r w:rsidRPr="00A81137">
              <w:rPr>
                <w:b/>
                <w:sz w:val="26"/>
                <w:szCs w:val="26"/>
              </w:rPr>
              <w:t xml:space="preserve"> </w:t>
            </w:r>
            <w:proofErr w:type="spellStart"/>
            <w:r w:rsidRPr="00A81137">
              <w:rPr>
                <w:b/>
                <w:sz w:val="26"/>
                <w:szCs w:val="26"/>
              </w:rPr>
              <w:t>Европейския</w:t>
            </w:r>
            <w:proofErr w:type="spellEnd"/>
            <w:r w:rsidRPr="00A81137">
              <w:rPr>
                <w:b/>
                <w:sz w:val="26"/>
                <w:szCs w:val="26"/>
              </w:rPr>
              <w:t xml:space="preserve"> </w:t>
            </w:r>
            <w:proofErr w:type="spellStart"/>
            <w:r w:rsidRPr="00A81137">
              <w:rPr>
                <w:b/>
                <w:sz w:val="26"/>
                <w:szCs w:val="26"/>
              </w:rPr>
              <w:t>парламент</w:t>
            </w:r>
            <w:proofErr w:type="spellEnd"/>
            <w:r w:rsidRPr="00A81137">
              <w:rPr>
                <w:b/>
                <w:sz w:val="26"/>
                <w:szCs w:val="26"/>
              </w:rPr>
              <w:t xml:space="preserve"> и </w:t>
            </w:r>
            <w:proofErr w:type="spellStart"/>
            <w:r w:rsidRPr="00A81137">
              <w:rPr>
                <w:b/>
                <w:sz w:val="26"/>
                <w:szCs w:val="26"/>
              </w:rPr>
              <w:t>на</w:t>
            </w:r>
            <w:proofErr w:type="spellEnd"/>
            <w:r w:rsidRPr="00A81137">
              <w:rPr>
                <w:b/>
                <w:sz w:val="26"/>
                <w:szCs w:val="26"/>
              </w:rPr>
              <w:t xml:space="preserve"> </w:t>
            </w:r>
            <w:proofErr w:type="spellStart"/>
            <w:r w:rsidRPr="00A81137">
              <w:rPr>
                <w:b/>
                <w:sz w:val="26"/>
                <w:szCs w:val="26"/>
              </w:rPr>
              <w:t>Съвета</w:t>
            </w:r>
            <w:proofErr w:type="spellEnd"/>
            <w:r w:rsidRPr="00A81137">
              <w:rPr>
                <w:b/>
                <w:sz w:val="26"/>
                <w:szCs w:val="26"/>
              </w:rPr>
              <w:t xml:space="preserve"> </w:t>
            </w:r>
            <w:proofErr w:type="spellStart"/>
            <w:r w:rsidRPr="00A81137">
              <w:rPr>
                <w:b/>
                <w:sz w:val="26"/>
                <w:szCs w:val="26"/>
              </w:rPr>
              <w:t>от</w:t>
            </w:r>
            <w:proofErr w:type="spellEnd"/>
            <w:r w:rsidRPr="00A81137">
              <w:rPr>
                <w:b/>
                <w:sz w:val="26"/>
                <w:szCs w:val="26"/>
              </w:rPr>
              <w:t xml:space="preserve"> 25 </w:t>
            </w:r>
            <w:proofErr w:type="spellStart"/>
            <w:r w:rsidRPr="00A81137">
              <w:rPr>
                <w:b/>
                <w:sz w:val="26"/>
                <w:szCs w:val="26"/>
              </w:rPr>
              <w:t>октомври</w:t>
            </w:r>
            <w:proofErr w:type="spellEnd"/>
            <w:r w:rsidRPr="00A81137">
              <w:rPr>
                <w:b/>
                <w:sz w:val="26"/>
                <w:szCs w:val="26"/>
              </w:rPr>
              <w:t xml:space="preserve"> 2012 г. </w:t>
            </w:r>
            <w:proofErr w:type="spellStart"/>
            <w:r w:rsidRPr="00A81137">
              <w:rPr>
                <w:b/>
                <w:sz w:val="26"/>
                <w:szCs w:val="26"/>
              </w:rPr>
              <w:t>относно</w:t>
            </w:r>
            <w:proofErr w:type="spellEnd"/>
            <w:r w:rsidRPr="00A81137">
              <w:rPr>
                <w:b/>
                <w:sz w:val="26"/>
                <w:szCs w:val="26"/>
              </w:rPr>
              <w:t xml:space="preserve"> </w:t>
            </w:r>
            <w:proofErr w:type="spellStart"/>
            <w:r w:rsidRPr="00A81137">
              <w:rPr>
                <w:b/>
                <w:sz w:val="26"/>
                <w:szCs w:val="26"/>
              </w:rPr>
              <w:t>финансовите</w:t>
            </w:r>
            <w:proofErr w:type="spellEnd"/>
            <w:r w:rsidRPr="00A81137">
              <w:rPr>
                <w:b/>
                <w:sz w:val="26"/>
                <w:szCs w:val="26"/>
              </w:rPr>
              <w:t xml:space="preserve"> </w:t>
            </w:r>
            <w:proofErr w:type="spellStart"/>
            <w:r w:rsidRPr="00A81137">
              <w:rPr>
                <w:b/>
                <w:sz w:val="26"/>
                <w:szCs w:val="26"/>
              </w:rPr>
              <w:t>правила</w:t>
            </w:r>
            <w:proofErr w:type="spellEnd"/>
            <w:r w:rsidRPr="00A81137">
              <w:rPr>
                <w:b/>
                <w:sz w:val="26"/>
                <w:szCs w:val="26"/>
              </w:rPr>
              <w:t xml:space="preserve">, </w:t>
            </w:r>
            <w:proofErr w:type="spellStart"/>
            <w:r w:rsidRPr="00A81137">
              <w:rPr>
                <w:b/>
                <w:sz w:val="26"/>
                <w:szCs w:val="26"/>
              </w:rPr>
              <w:t>приложими</w:t>
            </w:r>
            <w:proofErr w:type="spellEnd"/>
            <w:r w:rsidRPr="00A81137">
              <w:rPr>
                <w:b/>
                <w:sz w:val="26"/>
                <w:szCs w:val="26"/>
              </w:rPr>
              <w:t xml:space="preserve"> </w:t>
            </w:r>
            <w:proofErr w:type="spellStart"/>
            <w:r w:rsidRPr="00A81137">
              <w:rPr>
                <w:b/>
                <w:sz w:val="26"/>
                <w:szCs w:val="26"/>
              </w:rPr>
              <w:t>за</w:t>
            </w:r>
            <w:proofErr w:type="spellEnd"/>
            <w:r w:rsidRPr="00A81137">
              <w:rPr>
                <w:b/>
                <w:sz w:val="26"/>
                <w:szCs w:val="26"/>
              </w:rPr>
              <w:t xml:space="preserve"> </w:t>
            </w:r>
            <w:proofErr w:type="spellStart"/>
            <w:r w:rsidRPr="00A81137">
              <w:rPr>
                <w:b/>
                <w:sz w:val="26"/>
                <w:szCs w:val="26"/>
              </w:rPr>
              <w:t>общия</w:t>
            </w:r>
            <w:proofErr w:type="spellEnd"/>
            <w:r w:rsidRPr="00A81137">
              <w:rPr>
                <w:b/>
                <w:sz w:val="26"/>
                <w:szCs w:val="26"/>
              </w:rPr>
              <w:t xml:space="preserve"> </w:t>
            </w:r>
            <w:proofErr w:type="spellStart"/>
            <w:r w:rsidRPr="00A81137">
              <w:rPr>
                <w:b/>
                <w:sz w:val="26"/>
                <w:szCs w:val="26"/>
              </w:rPr>
              <w:t>бюджет</w:t>
            </w:r>
            <w:proofErr w:type="spellEnd"/>
            <w:r w:rsidRPr="00A81137">
              <w:rPr>
                <w:b/>
                <w:sz w:val="26"/>
                <w:szCs w:val="26"/>
              </w:rPr>
              <w:t xml:space="preserve"> </w:t>
            </w:r>
            <w:proofErr w:type="spellStart"/>
            <w:r w:rsidRPr="00A81137">
              <w:rPr>
                <w:b/>
                <w:sz w:val="26"/>
                <w:szCs w:val="26"/>
              </w:rPr>
              <w:t>на</w:t>
            </w:r>
            <w:proofErr w:type="spellEnd"/>
            <w:r w:rsidRPr="00A81137">
              <w:rPr>
                <w:b/>
                <w:sz w:val="26"/>
                <w:szCs w:val="26"/>
              </w:rPr>
              <w:t xml:space="preserve"> </w:t>
            </w:r>
            <w:proofErr w:type="spellStart"/>
            <w:r w:rsidRPr="00A81137">
              <w:rPr>
                <w:b/>
                <w:sz w:val="26"/>
                <w:szCs w:val="26"/>
              </w:rPr>
              <w:t>Съюза</w:t>
            </w:r>
            <w:proofErr w:type="spellEnd"/>
            <w:r w:rsidRPr="00A81137">
              <w:rPr>
                <w:b/>
                <w:sz w:val="26"/>
                <w:szCs w:val="26"/>
              </w:rPr>
              <w:t xml:space="preserve"> и </w:t>
            </w:r>
            <w:proofErr w:type="spellStart"/>
            <w:r w:rsidRPr="00A81137">
              <w:rPr>
                <w:b/>
                <w:sz w:val="26"/>
                <w:szCs w:val="26"/>
              </w:rPr>
              <w:t>за</w:t>
            </w:r>
            <w:proofErr w:type="spellEnd"/>
            <w:r w:rsidRPr="00A81137">
              <w:rPr>
                <w:b/>
                <w:sz w:val="26"/>
                <w:szCs w:val="26"/>
              </w:rPr>
              <w:t xml:space="preserve"> </w:t>
            </w:r>
            <w:proofErr w:type="spellStart"/>
            <w:r w:rsidRPr="00A81137">
              <w:rPr>
                <w:b/>
                <w:sz w:val="26"/>
                <w:szCs w:val="26"/>
              </w:rPr>
              <w:t>отмяна</w:t>
            </w:r>
            <w:proofErr w:type="spellEnd"/>
            <w:r w:rsidRPr="00A81137">
              <w:rPr>
                <w:b/>
                <w:sz w:val="26"/>
                <w:szCs w:val="26"/>
              </w:rPr>
              <w:t xml:space="preserve"> </w:t>
            </w:r>
            <w:proofErr w:type="spellStart"/>
            <w:r w:rsidRPr="00A81137">
              <w:rPr>
                <w:b/>
                <w:sz w:val="26"/>
                <w:szCs w:val="26"/>
              </w:rPr>
              <w:t>на</w:t>
            </w:r>
            <w:proofErr w:type="spellEnd"/>
            <w:r w:rsidRPr="00A81137">
              <w:rPr>
                <w:b/>
                <w:sz w:val="26"/>
                <w:szCs w:val="26"/>
              </w:rPr>
              <w:t xml:space="preserve"> </w:t>
            </w:r>
            <w:proofErr w:type="spellStart"/>
            <w:r w:rsidRPr="00A81137">
              <w:rPr>
                <w:b/>
                <w:sz w:val="26"/>
                <w:szCs w:val="26"/>
              </w:rPr>
              <w:t>Регламент</w:t>
            </w:r>
            <w:proofErr w:type="spellEnd"/>
            <w:r w:rsidRPr="00A81137">
              <w:rPr>
                <w:b/>
                <w:sz w:val="26"/>
                <w:szCs w:val="26"/>
              </w:rPr>
              <w:t xml:space="preserve"> (ЕО, </w:t>
            </w:r>
            <w:proofErr w:type="spellStart"/>
            <w:r w:rsidRPr="00A81137">
              <w:rPr>
                <w:b/>
                <w:sz w:val="26"/>
                <w:szCs w:val="26"/>
              </w:rPr>
              <w:t>Евратом</w:t>
            </w:r>
            <w:proofErr w:type="spellEnd"/>
            <w:r w:rsidRPr="00A81137">
              <w:rPr>
                <w:b/>
                <w:sz w:val="26"/>
                <w:szCs w:val="26"/>
              </w:rPr>
              <w:t xml:space="preserve">) № 1605/2002 г. </w:t>
            </w:r>
            <w:proofErr w:type="spellStart"/>
            <w:r w:rsidRPr="00A81137">
              <w:rPr>
                <w:b/>
                <w:sz w:val="26"/>
                <w:szCs w:val="26"/>
              </w:rPr>
              <w:t>на</w:t>
            </w:r>
            <w:proofErr w:type="spellEnd"/>
            <w:r w:rsidRPr="00A81137">
              <w:rPr>
                <w:b/>
                <w:sz w:val="26"/>
                <w:szCs w:val="26"/>
              </w:rPr>
              <w:t xml:space="preserve"> </w:t>
            </w:r>
            <w:proofErr w:type="spellStart"/>
            <w:r w:rsidRPr="00A81137">
              <w:rPr>
                <w:b/>
                <w:sz w:val="26"/>
                <w:szCs w:val="26"/>
              </w:rPr>
              <w:t>Съвета</w:t>
            </w:r>
            <w:proofErr w:type="spellEnd"/>
            <w:r w:rsidRPr="00A81137">
              <w:rPr>
                <w:b/>
                <w:sz w:val="26"/>
                <w:szCs w:val="26"/>
              </w:rPr>
              <w:t xml:space="preserve"> (ОВ, L298, 26.10.2012 г.)</w:t>
            </w:r>
          </w:p>
        </w:tc>
      </w:tr>
    </w:tbl>
    <w:p w:rsidR="00437F4A" w:rsidRPr="00437F4A" w:rsidRDefault="00437F4A" w:rsidP="00437F4A">
      <w:pPr>
        <w:rPr>
          <w:sz w:val="28"/>
          <w:szCs w:val="28"/>
          <w:lang w:val="bg-BG"/>
        </w:rPr>
      </w:pPr>
    </w:p>
    <w:p w:rsidR="000C0606" w:rsidRPr="005D4257" w:rsidRDefault="000C0606" w:rsidP="000C0606">
      <w:pPr>
        <w:rPr>
          <w:lang w:val="bg-BG"/>
        </w:rPr>
      </w:pPr>
    </w:p>
    <w:p w:rsidR="008170EC" w:rsidRPr="008170EC" w:rsidRDefault="008170EC" w:rsidP="008170EC">
      <w:pPr>
        <w:tabs>
          <w:tab w:val="right" w:pos="9360"/>
        </w:tabs>
        <w:rPr>
          <w:lang w:val="bg-BG"/>
        </w:rPr>
      </w:pPr>
      <w:r w:rsidRPr="008170EC">
        <w:rPr>
          <w:b/>
          <w:sz w:val="26"/>
          <w:szCs w:val="26"/>
          <w:lang w:val="bg-BG"/>
        </w:rPr>
        <w:t>СТАНОВИЩЕ</w:t>
      </w:r>
    </w:p>
    <w:tbl>
      <w:tblPr>
        <w:tblW w:w="875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53"/>
      </w:tblGrid>
      <w:tr w:rsidR="000C0606" w:rsidRPr="006E1669" w:rsidTr="000D745D">
        <w:trPr>
          <w:trHeight w:val="709"/>
        </w:trPr>
        <w:tc>
          <w:tcPr>
            <w:tcW w:w="8753" w:type="dxa"/>
          </w:tcPr>
          <w:p w:rsidR="000C0606" w:rsidRPr="006E1669" w:rsidRDefault="000C0606" w:rsidP="000D745D">
            <w:pPr>
              <w:tabs>
                <w:tab w:val="right" w:pos="9360"/>
              </w:tabs>
              <w:ind w:left="43" w:right="110"/>
              <w:jc w:val="both"/>
              <w:rPr>
                <w:sz w:val="26"/>
                <w:lang w:val="bg-BG"/>
              </w:rPr>
            </w:pPr>
            <w:r w:rsidRPr="006E1669">
              <w:rPr>
                <w:sz w:val="26"/>
                <w:lang w:val="bg-BG"/>
              </w:rPr>
              <w:t>След извършен преглед на изпратените материали във връзка с откриването на процедура на договаряне без обявление</w:t>
            </w:r>
            <w:r w:rsidR="00161315">
              <w:rPr>
                <w:sz w:val="26"/>
              </w:rPr>
              <w:t xml:space="preserve"> </w:t>
            </w:r>
            <w:r w:rsidRPr="006E1669">
              <w:rPr>
                <w:sz w:val="26"/>
                <w:lang w:val="bg-BG"/>
              </w:rPr>
              <w:t>се установи следното:</w:t>
            </w:r>
          </w:p>
          <w:p w:rsidR="000C0606" w:rsidRPr="006E1669" w:rsidRDefault="000C0606" w:rsidP="000D745D">
            <w:pPr>
              <w:tabs>
                <w:tab w:val="right" w:pos="9360"/>
              </w:tabs>
              <w:ind w:left="43" w:right="110"/>
              <w:jc w:val="both"/>
              <w:rPr>
                <w:sz w:val="26"/>
                <w:lang w:val="bg-BG"/>
              </w:rPr>
            </w:pPr>
          </w:p>
          <w:p w:rsidR="000C0606" w:rsidRPr="006E1669" w:rsidRDefault="000C0606" w:rsidP="000C0606">
            <w:pPr>
              <w:numPr>
                <w:ilvl w:val="0"/>
                <w:numId w:val="1"/>
              </w:numPr>
              <w:tabs>
                <w:tab w:val="right" w:pos="9360"/>
              </w:tabs>
              <w:ind w:left="43" w:right="110" w:firstLine="0"/>
              <w:jc w:val="both"/>
              <w:rPr>
                <w:b/>
                <w:sz w:val="26"/>
                <w:u w:val="single"/>
                <w:lang w:val="bg-BG"/>
              </w:rPr>
            </w:pPr>
            <w:r w:rsidRPr="006E1669">
              <w:rPr>
                <w:b/>
                <w:sz w:val="26"/>
                <w:u w:val="single"/>
                <w:lang w:val="bg-BG"/>
              </w:rPr>
              <w:t xml:space="preserve">Правно основание – чл. 90, ал. 1, т. </w:t>
            </w:r>
            <w:r>
              <w:rPr>
                <w:b/>
                <w:sz w:val="26"/>
                <w:u w:val="single"/>
                <w:lang w:val="bg-BG"/>
              </w:rPr>
              <w:t>4</w:t>
            </w:r>
            <w:r w:rsidRPr="006E1669">
              <w:rPr>
                <w:b/>
                <w:sz w:val="26"/>
                <w:u w:val="single"/>
                <w:lang w:val="bg-BG"/>
              </w:rPr>
              <w:t xml:space="preserve"> от ЗОП</w:t>
            </w:r>
          </w:p>
          <w:p w:rsidR="000C0606" w:rsidRDefault="000C0606" w:rsidP="00DE4551">
            <w:pPr>
              <w:tabs>
                <w:tab w:val="num" w:pos="1260"/>
              </w:tabs>
              <w:ind w:left="43" w:right="110"/>
              <w:jc w:val="both"/>
              <w:rPr>
                <w:sz w:val="26"/>
                <w:szCs w:val="26"/>
                <w:lang w:val="bg-BG"/>
              </w:rPr>
            </w:pPr>
            <w:r w:rsidRPr="00EA1331">
              <w:rPr>
                <w:sz w:val="26"/>
                <w:lang w:val="bg-BG"/>
              </w:rPr>
              <w:t xml:space="preserve">Посоченото от възложителя правно основание </w:t>
            </w:r>
            <w:r w:rsidRPr="00EA1331">
              <w:rPr>
                <w:sz w:val="26"/>
                <w:szCs w:val="26"/>
                <w:lang w:val="bg-BG"/>
              </w:rPr>
              <w:t>изисква</w:t>
            </w:r>
            <w:r>
              <w:rPr>
                <w:sz w:val="26"/>
                <w:szCs w:val="26"/>
                <w:lang w:val="bg-BG"/>
              </w:rPr>
              <w:t>:</w:t>
            </w:r>
          </w:p>
          <w:p w:rsidR="000C0606" w:rsidRPr="00866CDF" w:rsidRDefault="000C0606" w:rsidP="00DE4551">
            <w:pPr>
              <w:tabs>
                <w:tab w:val="num" w:pos="289"/>
              </w:tabs>
              <w:ind w:left="43" w:right="110"/>
              <w:jc w:val="both"/>
              <w:rPr>
                <w:sz w:val="26"/>
                <w:szCs w:val="26"/>
                <w:lang w:val="bg-BG"/>
              </w:rPr>
            </w:pPr>
            <w:r>
              <w:rPr>
                <w:sz w:val="26"/>
                <w:szCs w:val="26"/>
                <w:lang w:val="bg-BG"/>
              </w:rPr>
              <w:t>-</w:t>
            </w:r>
            <w:r>
              <w:rPr>
                <w:sz w:val="26"/>
                <w:szCs w:val="26"/>
                <w:lang w:val="bg-BG"/>
              </w:rPr>
              <w:tab/>
            </w:r>
            <w:r w:rsidRPr="00866CDF">
              <w:rPr>
                <w:sz w:val="26"/>
                <w:szCs w:val="26"/>
                <w:lang w:val="bg-BG"/>
              </w:rPr>
              <w:t>необходимост от предприемане на неотложни действия;</w:t>
            </w:r>
          </w:p>
          <w:p w:rsidR="00EA743E" w:rsidRDefault="000C0606" w:rsidP="00DE4551">
            <w:pPr>
              <w:tabs>
                <w:tab w:val="num" w:pos="289"/>
              </w:tabs>
              <w:ind w:left="43" w:right="110"/>
              <w:jc w:val="both"/>
              <w:rPr>
                <w:sz w:val="26"/>
                <w:szCs w:val="26"/>
                <w:lang w:val="bg-BG"/>
              </w:rPr>
            </w:pPr>
            <w:r w:rsidRPr="00866CDF">
              <w:rPr>
                <w:sz w:val="26"/>
                <w:szCs w:val="26"/>
                <w:lang w:val="bg-BG"/>
              </w:rPr>
              <w:t>-</w:t>
            </w:r>
            <w:r w:rsidRPr="00866CDF">
              <w:rPr>
                <w:sz w:val="26"/>
                <w:szCs w:val="26"/>
                <w:lang w:val="bg-BG"/>
              </w:rPr>
              <w:tab/>
              <w:t xml:space="preserve">същите са породени от настъпване на </w:t>
            </w:r>
            <w:r w:rsidR="00EA743E">
              <w:rPr>
                <w:sz w:val="26"/>
                <w:szCs w:val="26"/>
                <w:lang w:val="bg-BG"/>
              </w:rPr>
              <w:t>изключителни обстоятелства</w:t>
            </w:r>
            <w:r w:rsidR="00D25C8E">
              <w:rPr>
                <w:sz w:val="26"/>
                <w:szCs w:val="26"/>
                <w:lang w:val="bg-BG"/>
              </w:rPr>
              <w:t xml:space="preserve"> по смисъла на § 1, т. 8 от Допълнителните разпоредби </w:t>
            </w:r>
            <w:r w:rsidR="00D25C8E">
              <w:rPr>
                <w:sz w:val="26"/>
                <w:szCs w:val="26"/>
              </w:rPr>
              <w:t>(</w:t>
            </w:r>
            <w:r w:rsidR="00D25C8E">
              <w:rPr>
                <w:sz w:val="26"/>
                <w:szCs w:val="26"/>
                <w:lang w:val="bg-BG"/>
              </w:rPr>
              <w:t>ДР</w:t>
            </w:r>
            <w:r w:rsidR="00D25C8E">
              <w:rPr>
                <w:sz w:val="26"/>
                <w:szCs w:val="26"/>
              </w:rPr>
              <w:t>)</w:t>
            </w:r>
            <w:r w:rsidR="00D25C8E">
              <w:rPr>
                <w:sz w:val="26"/>
                <w:szCs w:val="26"/>
                <w:lang w:val="bg-BG"/>
              </w:rPr>
              <w:t xml:space="preserve"> на Закона за обществените поръчки </w:t>
            </w:r>
            <w:r w:rsidR="00D25C8E">
              <w:rPr>
                <w:sz w:val="26"/>
                <w:szCs w:val="26"/>
              </w:rPr>
              <w:t>(</w:t>
            </w:r>
            <w:r w:rsidR="00D25C8E">
              <w:rPr>
                <w:sz w:val="26"/>
                <w:szCs w:val="26"/>
                <w:lang w:val="bg-BG"/>
              </w:rPr>
              <w:t>ЗОП</w:t>
            </w:r>
            <w:r w:rsidR="00D25C8E">
              <w:rPr>
                <w:sz w:val="26"/>
                <w:szCs w:val="26"/>
              </w:rPr>
              <w:t>)</w:t>
            </w:r>
            <w:r w:rsidR="00EA743E">
              <w:rPr>
                <w:sz w:val="26"/>
                <w:szCs w:val="26"/>
                <w:lang w:val="bg-BG"/>
              </w:rPr>
              <w:t>;</w:t>
            </w:r>
          </w:p>
          <w:p w:rsidR="000C0606" w:rsidRDefault="000C0606" w:rsidP="00DE4551">
            <w:pPr>
              <w:tabs>
                <w:tab w:val="num" w:pos="289"/>
              </w:tabs>
              <w:ind w:left="43" w:right="110"/>
              <w:jc w:val="both"/>
              <w:rPr>
                <w:sz w:val="26"/>
                <w:szCs w:val="26"/>
                <w:lang w:val="bg-BG"/>
              </w:rPr>
            </w:pPr>
            <w:r w:rsidRPr="00866CDF">
              <w:rPr>
                <w:sz w:val="26"/>
                <w:szCs w:val="26"/>
                <w:lang w:val="bg-BG"/>
              </w:rPr>
              <w:t>-</w:t>
            </w:r>
            <w:r w:rsidRPr="00866CDF">
              <w:rPr>
                <w:sz w:val="26"/>
                <w:szCs w:val="26"/>
                <w:lang w:val="bg-BG"/>
              </w:rPr>
              <w:tab/>
              <w:t xml:space="preserve">за преодоляване на </w:t>
            </w:r>
            <w:r w:rsidR="00C15A88">
              <w:rPr>
                <w:sz w:val="26"/>
                <w:szCs w:val="26"/>
                <w:lang w:val="bg-BG"/>
              </w:rPr>
              <w:t xml:space="preserve">последиците </w:t>
            </w:r>
            <w:r w:rsidRPr="00866CDF">
              <w:rPr>
                <w:sz w:val="26"/>
                <w:szCs w:val="26"/>
                <w:lang w:val="bg-BG"/>
              </w:rPr>
              <w:t>не могат да бъдат спазени сроковете за провеждане на открита или ограничена процедура или процедура на договаряне с обявление по ЗОП.</w:t>
            </w:r>
          </w:p>
          <w:p w:rsidR="00DE4551" w:rsidRPr="00EA1331" w:rsidRDefault="00DE4551" w:rsidP="000D745D">
            <w:pPr>
              <w:tabs>
                <w:tab w:val="num" w:pos="289"/>
              </w:tabs>
              <w:ind w:left="43" w:right="110"/>
              <w:jc w:val="both"/>
              <w:rPr>
                <w:sz w:val="26"/>
                <w:szCs w:val="26"/>
                <w:lang w:val="bg-BG"/>
              </w:rPr>
            </w:pPr>
          </w:p>
          <w:p w:rsidR="000C0606" w:rsidRPr="006E1669" w:rsidRDefault="00103BE6" w:rsidP="000C0606">
            <w:pPr>
              <w:numPr>
                <w:ilvl w:val="0"/>
                <w:numId w:val="1"/>
              </w:numPr>
              <w:tabs>
                <w:tab w:val="right" w:pos="9360"/>
              </w:tabs>
              <w:ind w:left="43" w:right="110" w:firstLine="0"/>
              <w:jc w:val="both"/>
              <w:rPr>
                <w:b/>
                <w:sz w:val="26"/>
                <w:u w:val="single"/>
                <w:lang w:val="bg-BG"/>
              </w:rPr>
            </w:pPr>
            <w:r>
              <w:rPr>
                <w:b/>
                <w:sz w:val="26"/>
                <w:u w:val="single"/>
                <w:lang w:val="bg-BG"/>
              </w:rPr>
              <w:t>Мотиви на възложителя</w:t>
            </w:r>
            <w:r w:rsidR="000C0606" w:rsidRPr="006E1669">
              <w:rPr>
                <w:b/>
                <w:sz w:val="26"/>
                <w:u w:val="single"/>
                <w:lang w:val="bg-BG"/>
              </w:rPr>
              <w:t xml:space="preserve"> и </w:t>
            </w:r>
            <w:r>
              <w:rPr>
                <w:b/>
                <w:sz w:val="26"/>
                <w:u w:val="single"/>
                <w:lang w:val="bg-BG"/>
              </w:rPr>
              <w:t xml:space="preserve">представени </w:t>
            </w:r>
            <w:r w:rsidR="000C0606" w:rsidRPr="006E1669">
              <w:rPr>
                <w:b/>
                <w:sz w:val="26"/>
                <w:u w:val="single"/>
                <w:lang w:val="bg-BG"/>
              </w:rPr>
              <w:t>доказателства</w:t>
            </w:r>
          </w:p>
          <w:p w:rsidR="00C40E65" w:rsidRPr="00B03FA9" w:rsidRDefault="00C40E65" w:rsidP="00C40E65">
            <w:pPr>
              <w:tabs>
                <w:tab w:val="right" w:pos="9360"/>
              </w:tabs>
              <w:ind w:left="43" w:right="110"/>
              <w:jc w:val="both"/>
              <w:rPr>
                <w:sz w:val="26"/>
                <w:szCs w:val="26"/>
                <w:lang w:val="bg-BG"/>
              </w:rPr>
            </w:pPr>
            <w:r w:rsidRPr="00B03FA9">
              <w:rPr>
                <w:sz w:val="26"/>
                <w:szCs w:val="26"/>
                <w:lang w:val="bg-BG"/>
              </w:rPr>
              <w:t>В Агенцията по обществените поръчки е постъпила Решение № РД 52-95 от 17.10.2014 г. на министъра на земеделието и храните, четири покани за участие в процедурата и доказателства, свързани с изборът й.</w:t>
            </w:r>
          </w:p>
          <w:p w:rsidR="00C40E65" w:rsidRDefault="00C40E65" w:rsidP="00C40E65">
            <w:pPr>
              <w:pStyle w:val="NormalWeb"/>
              <w:spacing w:before="0" w:beforeAutospacing="0" w:after="0" w:afterAutospacing="0"/>
              <w:jc w:val="both"/>
              <w:rPr>
                <w:sz w:val="26"/>
                <w:szCs w:val="26"/>
              </w:rPr>
            </w:pPr>
            <w:r w:rsidRPr="00F958A2">
              <w:rPr>
                <w:sz w:val="26"/>
                <w:szCs w:val="26"/>
              </w:rPr>
              <w:t>В мотивите за избор на процедура се посочва, че МЗХ е имал</w:t>
            </w:r>
            <w:r>
              <w:rPr>
                <w:sz w:val="26"/>
                <w:szCs w:val="26"/>
              </w:rPr>
              <w:t>о</w:t>
            </w:r>
            <w:r w:rsidRPr="00F958A2">
              <w:rPr>
                <w:sz w:val="26"/>
                <w:szCs w:val="26"/>
              </w:rPr>
              <w:t xml:space="preserve"> сключен договор за осъществяване на услугата сертификационен одит на Разплащателната агенция </w:t>
            </w:r>
            <w:r>
              <w:rPr>
                <w:sz w:val="26"/>
                <w:szCs w:val="26"/>
              </w:rPr>
              <w:t>(</w:t>
            </w:r>
            <w:r w:rsidRPr="00F958A2">
              <w:rPr>
                <w:sz w:val="26"/>
                <w:szCs w:val="26"/>
              </w:rPr>
              <w:t>РА</w:t>
            </w:r>
            <w:r>
              <w:rPr>
                <w:sz w:val="26"/>
                <w:szCs w:val="26"/>
              </w:rPr>
              <w:t>)</w:t>
            </w:r>
            <w:r w:rsidRPr="00F958A2">
              <w:rPr>
                <w:sz w:val="26"/>
                <w:szCs w:val="26"/>
              </w:rPr>
              <w:t xml:space="preserve">. </w:t>
            </w:r>
            <w:r>
              <w:rPr>
                <w:sz w:val="26"/>
                <w:szCs w:val="26"/>
              </w:rPr>
              <w:t>Отбелязва се, че с</w:t>
            </w:r>
            <w:r w:rsidRPr="00F958A2">
              <w:rPr>
                <w:sz w:val="26"/>
                <w:szCs w:val="26"/>
              </w:rPr>
              <w:t xml:space="preserve">рокът на </w:t>
            </w:r>
            <w:r>
              <w:rPr>
                <w:sz w:val="26"/>
                <w:szCs w:val="26"/>
              </w:rPr>
              <w:t xml:space="preserve">неговото </w:t>
            </w:r>
            <w:r w:rsidRPr="00F958A2">
              <w:rPr>
                <w:sz w:val="26"/>
                <w:szCs w:val="26"/>
              </w:rPr>
              <w:t xml:space="preserve">действие </w:t>
            </w:r>
            <w:r>
              <w:rPr>
                <w:sz w:val="26"/>
                <w:szCs w:val="26"/>
              </w:rPr>
              <w:t>е изтекъл</w:t>
            </w:r>
            <w:r w:rsidRPr="00F958A2">
              <w:rPr>
                <w:sz w:val="26"/>
                <w:szCs w:val="26"/>
              </w:rPr>
              <w:t xml:space="preserve"> с одитирането</w:t>
            </w:r>
            <w:r>
              <w:rPr>
                <w:sz w:val="26"/>
                <w:szCs w:val="26"/>
              </w:rPr>
              <w:t xml:space="preserve"> на РА з</w:t>
            </w:r>
            <w:r w:rsidRPr="00F958A2">
              <w:rPr>
                <w:sz w:val="26"/>
                <w:szCs w:val="26"/>
              </w:rPr>
              <w:t xml:space="preserve">а периода 16.10.2012-15.10.2013 г. и предаването на резултатите от одита в края на месец февруари на 2014 г. </w:t>
            </w:r>
            <w:r>
              <w:rPr>
                <w:sz w:val="26"/>
                <w:szCs w:val="26"/>
              </w:rPr>
              <w:t>(</w:t>
            </w:r>
            <w:r w:rsidRPr="00F958A2">
              <w:rPr>
                <w:sz w:val="26"/>
                <w:szCs w:val="26"/>
              </w:rPr>
              <w:t xml:space="preserve">№ </w:t>
            </w:r>
            <w:r w:rsidRPr="00FE540E">
              <w:rPr>
                <w:sz w:val="26"/>
                <w:szCs w:val="26"/>
              </w:rPr>
              <w:t>00696-2010-0040</w:t>
            </w:r>
            <w:r w:rsidRPr="00F958A2">
              <w:rPr>
                <w:sz w:val="26"/>
                <w:szCs w:val="26"/>
              </w:rPr>
              <w:t xml:space="preserve"> в РОП на АОП</w:t>
            </w:r>
            <w:r>
              <w:rPr>
                <w:sz w:val="26"/>
                <w:szCs w:val="26"/>
              </w:rPr>
              <w:t>)</w:t>
            </w:r>
            <w:r w:rsidRPr="00F958A2">
              <w:rPr>
                <w:sz w:val="26"/>
                <w:szCs w:val="26"/>
              </w:rPr>
              <w:t>. П</w:t>
            </w:r>
            <w:r>
              <w:rPr>
                <w:sz w:val="26"/>
                <w:szCs w:val="26"/>
              </w:rPr>
              <w:t>ояснява се, че п</w:t>
            </w:r>
            <w:r w:rsidRPr="00F958A2">
              <w:rPr>
                <w:sz w:val="26"/>
                <w:szCs w:val="26"/>
              </w:rPr>
              <w:t>о аргумент от чл. 43, ал. 2, т. 5, б. „а“ от ЗОП, почти година преди да изтече гореописания</w:t>
            </w:r>
            <w:r>
              <w:rPr>
                <w:sz w:val="26"/>
                <w:szCs w:val="26"/>
              </w:rPr>
              <w:t>т</w:t>
            </w:r>
            <w:r w:rsidRPr="00F958A2">
              <w:rPr>
                <w:sz w:val="26"/>
                <w:szCs w:val="26"/>
              </w:rPr>
              <w:t xml:space="preserve"> договор, МЗХ </w:t>
            </w:r>
            <w:r>
              <w:rPr>
                <w:sz w:val="26"/>
                <w:szCs w:val="26"/>
              </w:rPr>
              <w:t xml:space="preserve">е </w:t>
            </w:r>
            <w:r w:rsidRPr="00F958A2">
              <w:rPr>
                <w:sz w:val="26"/>
                <w:szCs w:val="26"/>
              </w:rPr>
              <w:t>предприе</w:t>
            </w:r>
            <w:r>
              <w:rPr>
                <w:sz w:val="26"/>
                <w:szCs w:val="26"/>
              </w:rPr>
              <w:t>ло</w:t>
            </w:r>
            <w:r w:rsidRPr="00F958A2">
              <w:rPr>
                <w:sz w:val="26"/>
                <w:szCs w:val="26"/>
              </w:rPr>
              <w:t xml:space="preserve"> действия по обезпечаване на нуждата от сертифициращ орган, който да извърши сертификационен одит на РА. </w:t>
            </w:r>
            <w:r>
              <w:rPr>
                <w:sz w:val="26"/>
                <w:szCs w:val="26"/>
              </w:rPr>
              <w:t xml:space="preserve">Посочва се, че за целта </w:t>
            </w:r>
            <w:r w:rsidRPr="00F958A2">
              <w:rPr>
                <w:sz w:val="26"/>
                <w:szCs w:val="26"/>
              </w:rPr>
              <w:t>с</w:t>
            </w:r>
            <w:r>
              <w:rPr>
                <w:sz w:val="26"/>
                <w:szCs w:val="26"/>
              </w:rPr>
              <w:t>а</w:t>
            </w:r>
            <w:r w:rsidRPr="00F958A2">
              <w:rPr>
                <w:sz w:val="26"/>
                <w:szCs w:val="26"/>
              </w:rPr>
              <w:t xml:space="preserve"> откри</w:t>
            </w:r>
            <w:r>
              <w:rPr>
                <w:sz w:val="26"/>
                <w:szCs w:val="26"/>
              </w:rPr>
              <w:t>ти</w:t>
            </w:r>
            <w:r w:rsidRPr="00F958A2">
              <w:rPr>
                <w:sz w:val="26"/>
                <w:szCs w:val="26"/>
              </w:rPr>
              <w:t xml:space="preserve"> три поредни открити процедури, съответно № 00696-2013-0025; № 00696-2013-0029 и 00696-2014-0017 в РОП на АОП, които не </w:t>
            </w:r>
            <w:r>
              <w:rPr>
                <w:sz w:val="26"/>
                <w:szCs w:val="26"/>
              </w:rPr>
              <w:t>са</w:t>
            </w:r>
            <w:r w:rsidRPr="00F958A2">
              <w:rPr>
                <w:sz w:val="26"/>
                <w:szCs w:val="26"/>
              </w:rPr>
              <w:t xml:space="preserve"> </w:t>
            </w:r>
            <w:r>
              <w:rPr>
                <w:sz w:val="26"/>
                <w:szCs w:val="26"/>
              </w:rPr>
              <w:t>завършили</w:t>
            </w:r>
            <w:r w:rsidRPr="00F958A2">
              <w:rPr>
                <w:sz w:val="26"/>
                <w:szCs w:val="26"/>
              </w:rPr>
              <w:t xml:space="preserve"> </w:t>
            </w:r>
            <w:r>
              <w:rPr>
                <w:sz w:val="26"/>
                <w:szCs w:val="26"/>
              </w:rPr>
              <w:t>със сключване на</w:t>
            </w:r>
            <w:r w:rsidRPr="00F958A2">
              <w:rPr>
                <w:sz w:val="26"/>
                <w:szCs w:val="26"/>
              </w:rPr>
              <w:t xml:space="preserve"> договор. </w:t>
            </w:r>
            <w:r>
              <w:rPr>
                <w:sz w:val="26"/>
                <w:szCs w:val="26"/>
              </w:rPr>
              <w:t>Отбелязва се, че к</w:t>
            </w:r>
            <w:r w:rsidRPr="00F958A2">
              <w:rPr>
                <w:sz w:val="26"/>
                <w:szCs w:val="26"/>
              </w:rPr>
              <w:t xml:space="preserve">ъм настоящия момент е налице </w:t>
            </w:r>
            <w:r>
              <w:rPr>
                <w:sz w:val="26"/>
                <w:szCs w:val="26"/>
              </w:rPr>
              <w:t xml:space="preserve">спешна </w:t>
            </w:r>
            <w:r w:rsidRPr="00F958A2">
              <w:rPr>
                <w:sz w:val="26"/>
                <w:szCs w:val="26"/>
              </w:rPr>
              <w:t xml:space="preserve">необходимост от сертифициране на стопанска 2014 г., включваща периода 16.10.2013-16.10.2014 г., резултатите от който следва да бъдат предадени на Европейската комисия </w:t>
            </w:r>
            <w:r>
              <w:rPr>
                <w:sz w:val="26"/>
                <w:szCs w:val="26"/>
              </w:rPr>
              <w:t>(</w:t>
            </w:r>
            <w:r w:rsidRPr="00F958A2">
              <w:rPr>
                <w:sz w:val="26"/>
                <w:szCs w:val="26"/>
              </w:rPr>
              <w:t>ЕК</w:t>
            </w:r>
            <w:r>
              <w:rPr>
                <w:sz w:val="26"/>
                <w:szCs w:val="26"/>
              </w:rPr>
              <w:t>)</w:t>
            </w:r>
            <w:r w:rsidRPr="00F958A2">
              <w:rPr>
                <w:sz w:val="26"/>
                <w:szCs w:val="26"/>
              </w:rPr>
              <w:t xml:space="preserve"> в срок до 31.01.2015 г., както и необходимост от извършване на препотвърждаване на проверки на място, извършени от </w:t>
            </w:r>
            <w:r>
              <w:rPr>
                <w:sz w:val="26"/>
                <w:szCs w:val="26"/>
              </w:rPr>
              <w:t>РА</w:t>
            </w:r>
            <w:r w:rsidRPr="00F958A2">
              <w:rPr>
                <w:sz w:val="26"/>
                <w:szCs w:val="26"/>
              </w:rPr>
              <w:t xml:space="preserve">. </w:t>
            </w:r>
            <w:r>
              <w:rPr>
                <w:sz w:val="26"/>
                <w:szCs w:val="26"/>
              </w:rPr>
              <w:t>Пояснява се, че тази с</w:t>
            </w:r>
            <w:r w:rsidRPr="00F958A2">
              <w:rPr>
                <w:sz w:val="26"/>
                <w:szCs w:val="26"/>
              </w:rPr>
              <w:t>пешност</w:t>
            </w:r>
            <w:r>
              <w:rPr>
                <w:sz w:val="26"/>
                <w:szCs w:val="26"/>
              </w:rPr>
              <w:t xml:space="preserve"> е породена от</w:t>
            </w:r>
            <w:r w:rsidRPr="00F958A2">
              <w:rPr>
                <w:sz w:val="26"/>
                <w:szCs w:val="26"/>
              </w:rPr>
              <w:t xml:space="preserve"> наличие на краен срок за изпълнение на дейността, който е регламентиран в европейското законодателство, спазването на който обосновава невъзможността към настоящия момент да се спазят сроковете за провеждане на открита или ограничена процедура, възлагането чрез които, би отнело между 3 и 6 месеца – срокове, които надхвърлят разполагаемия срок за изпълнение на дейността и респ. за предаване на резултата от нея на ЕК. </w:t>
            </w:r>
            <w:r>
              <w:rPr>
                <w:sz w:val="26"/>
                <w:szCs w:val="26"/>
              </w:rPr>
              <w:t>Твърди се, че н</w:t>
            </w:r>
            <w:r w:rsidRPr="00F958A2">
              <w:rPr>
                <w:sz w:val="26"/>
                <w:szCs w:val="26"/>
              </w:rPr>
              <w:t xml:space="preserve">еизпълнение на задължението поставя под риск около милиард и шестстотин милиона евро вече изплатени средства от националния бюджет на Република България, което може да представлява и </w:t>
            </w:r>
            <w:r w:rsidRPr="00F958A2">
              <w:rPr>
                <w:sz w:val="26"/>
                <w:szCs w:val="26"/>
              </w:rPr>
              <w:lastRenderedPageBreak/>
              <w:t xml:space="preserve">непосредствена заплаха за националната сигурност по отношение финансовата стабилност на страната. </w:t>
            </w:r>
            <w:r>
              <w:rPr>
                <w:sz w:val="26"/>
                <w:szCs w:val="26"/>
              </w:rPr>
              <w:t xml:space="preserve">Посочва се, че според изложеното по-горе </w:t>
            </w:r>
            <w:r w:rsidRPr="00F958A2">
              <w:rPr>
                <w:sz w:val="26"/>
                <w:szCs w:val="26"/>
              </w:rPr>
              <w:t xml:space="preserve">е налице хипотезата на чл. 90, ал. 1, т. 4 от ЗОП, съгласно </w:t>
            </w:r>
            <w:r>
              <w:rPr>
                <w:sz w:val="26"/>
                <w:szCs w:val="26"/>
              </w:rPr>
              <w:t>която</w:t>
            </w:r>
            <w:r w:rsidRPr="00F958A2">
              <w:rPr>
                <w:sz w:val="26"/>
                <w:szCs w:val="26"/>
              </w:rPr>
              <w:t xml:space="preserve"> възложителите могат да възлагат обществени поръчки чрез процедура на договаряне без обявление, когато е възникнала необходимост от предприемане на неотложни действия поради настъпване на изключителни обстоятелства, последиците от които не могат да бъдат преодолени при спазване на сроковете за провеждане на открита или ограничена процедура или на процедура на договаряне с обявление</w:t>
            </w:r>
            <w:r>
              <w:rPr>
                <w:sz w:val="26"/>
                <w:szCs w:val="26"/>
              </w:rPr>
              <w:t>. Отбелязва се, че допълнителни мотиви за избора на процедура се съдържат в приложените към решението документи, а именно:</w:t>
            </w:r>
          </w:p>
          <w:p w:rsidR="00C40E65" w:rsidRPr="00FE540E" w:rsidRDefault="00C40E65" w:rsidP="00C40E65">
            <w:pPr>
              <w:pStyle w:val="ListParagraph"/>
              <w:numPr>
                <w:ilvl w:val="0"/>
                <w:numId w:val="2"/>
              </w:numPr>
              <w:tabs>
                <w:tab w:val="left" w:pos="289"/>
                <w:tab w:val="right" w:pos="9360"/>
              </w:tabs>
              <w:ind w:left="0" w:firstLine="0"/>
              <w:jc w:val="both"/>
              <w:rPr>
                <w:sz w:val="26"/>
                <w:szCs w:val="26"/>
                <w:lang w:val="bg-BG"/>
              </w:rPr>
            </w:pPr>
            <w:r w:rsidRPr="00314D94">
              <w:rPr>
                <w:sz w:val="26"/>
                <w:szCs w:val="26"/>
                <w:lang w:val="bg-BG"/>
              </w:rPr>
              <w:t>Доклад на министъра на земеделието и храните, адресиран до Министерски</w:t>
            </w:r>
            <w:r>
              <w:rPr>
                <w:sz w:val="26"/>
                <w:szCs w:val="26"/>
                <w:lang w:val="bg-BG"/>
              </w:rPr>
              <w:t>я</w:t>
            </w:r>
            <w:r w:rsidRPr="00314D94">
              <w:rPr>
                <w:sz w:val="26"/>
                <w:szCs w:val="26"/>
                <w:lang w:val="bg-BG"/>
              </w:rPr>
              <w:t xml:space="preserve"> съвет на Република България</w:t>
            </w:r>
            <w:r>
              <w:rPr>
                <w:sz w:val="26"/>
                <w:szCs w:val="26"/>
                <w:lang w:val="bg-BG"/>
              </w:rPr>
              <w:t>, относно проект на Решение на Министерския съвет за провеждане на процедура за възлагане на обществена поръчка за определяне на Сертифицираш орган за извършване на Сертификационен одит на Разплащателна агенция на Република България. В документа е посочено, че към началото на месец октомври 2014 г. все още не е определен Сертифициращ орган за финансовата 2014 г. Указано е, че това ще доведе до забавяне приключването на сметките за годината и невъзможност да се спази изискването да се докладва за проверка на транзакции при бенефициентите за финансовата 2015 г., което следва да се осъществи през есента на 2014 г. Отбелязано е, че е необходимо предприемането на спешни мерки за избор на външен изпълнител, който да извърши Сертификационен одит на РА на Р България. Подчертано е, че при забавяне на избора, извършените разходите за финансовата 2014 г. ще останат необслужени. От доклада става ясно още, че МЗХ по силата на Договор РД 51-82/04.08.2014 г. е получавало описаната по-горе услуга, но с одитирането за периода 16.10.2012 г-15.10.2013 г. и предаване на резултатите от него в края на месец февруари 2014 г., същият е изтекъл. Пояснено е, че от началото на 2013 г. МЗХ е направило три опита за възлагане на услугата.</w:t>
            </w:r>
            <w:r>
              <w:rPr>
                <w:sz w:val="26"/>
                <w:szCs w:val="26"/>
              </w:rPr>
              <w:t xml:space="preserve"> </w:t>
            </w:r>
            <w:r>
              <w:rPr>
                <w:sz w:val="26"/>
                <w:szCs w:val="26"/>
                <w:lang w:val="bg-BG"/>
              </w:rPr>
              <w:t>Първата процедура е открита през м. април 2013 г. (№ 00696-2013-0025 в РОП), но срещу решението за нейното откриването е подадена жалба. Като мотив за обжалването на процедурата се сочи, наличието на изискване, което не е съобразено с разпоредбата на чл. 28б, ал. 2 от Закона за подпомагане на земеделските производители (ЗПЗП). Процедурата е завършила с прекратяване. Втората процедура е открита през м. октомври, същата година и е публикувана в РОП под № 00696-2013-0025. Решението за откриване на процедурата отново е обжалвано, с мотив, че е поставено незаконосъобразно условие за допустимост. С Решение № 1647/11.12.2013 г. КЗК отменя Решението на възложителя, като незаконосъобразно. Становището е потвърдено от ВАС с Решение №3913/20.03.2014 г. Третата процедура е открита през м. юни 2014 г. (публикувана в РОП №00696-2014-0017), но и то е обжалвано. КЗК отменя решението за откриване на процедурата, в резултат на което МЗХ я прекратява. Изложено е твърдение, че ако не бъде избран изпълнител за сертифициране на Разплащателната агенция, в най-кратък срок, ще бъде застрашена националната сигурност на страната</w:t>
            </w:r>
            <w:r>
              <w:rPr>
                <w:sz w:val="26"/>
                <w:szCs w:val="26"/>
              </w:rPr>
              <w:t xml:space="preserve"> </w:t>
            </w:r>
            <w:r>
              <w:rPr>
                <w:sz w:val="26"/>
                <w:szCs w:val="26"/>
                <w:lang w:val="bg-BG"/>
              </w:rPr>
              <w:t xml:space="preserve">по отношение на </w:t>
            </w:r>
            <w:r>
              <w:rPr>
                <w:sz w:val="26"/>
                <w:szCs w:val="26"/>
                <w:lang w:val="bg-BG"/>
              </w:rPr>
              <w:lastRenderedPageBreak/>
              <w:t>финансовата и стабилност, по причина, че се поставят на риск около един милиард и шестстотин милиона евро, изплатени средства от националния бюджет. Посочено е, че по изложените  мотиви е необходимо провеждане на процедура на договаряне без обявление на основание чл. 90, ал. 1, т. 4 от ЗОП</w:t>
            </w:r>
            <w:r w:rsidRPr="00FE540E">
              <w:rPr>
                <w:sz w:val="26"/>
                <w:szCs w:val="26"/>
                <w:lang w:val="bg-BG"/>
              </w:rPr>
              <w:t>.</w:t>
            </w:r>
            <w:r w:rsidRPr="00FE540E">
              <w:rPr>
                <w:sz w:val="26"/>
                <w:szCs w:val="26"/>
              </w:rPr>
              <w:t xml:space="preserve"> </w:t>
            </w:r>
            <w:r w:rsidRPr="00FE540E">
              <w:rPr>
                <w:sz w:val="26"/>
                <w:szCs w:val="26"/>
                <w:lang w:val="bg-BG"/>
              </w:rPr>
              <w:t>Твърди се, че е налице безусловна необходимост от получаване на конкретен резултат във възможно най-кратък срок.</w:t>
            </w:r>
            <w:r>
              <w:rPr>
                <w:sz w:val="26"/>
                <w:szCs w:val="26"/>
              </w:rPr>
              <w:t xml:space="preserve"> </w:t>
            </w:r>
            <w:r>
              <w:rPr>
                <w:sz w:val="26"/>
                <w:szCs w:val="26"/>
                <w:lang w:val="bg-BG"/>
              </w:rPr>
              <w:t xml:space="preserve">Уточнено е, че възникналата ситуация се явява „изключително обстоятелство“ по смисъла на §1, т. 8 от ДР на ЗОП за възложителя, тъй като е нарушено нормалното изпълнение на нормативно установените му дейности. В заключение е посочено, </w:t>
            </w:r>
            <w:r w:rsidRPr="00FE540E">
              <w:rPr>
                <w:sz w:val="26"/>
                <w:szCs w:val="26"/>
                <w:lang w:val="bg-BG"/>
              </w:rPr>
              <w:t xml:space="preserve">че задължението на възложителя, свързано с преодоляване на последиците от настъпилото събитие са водещи пред задължението му за провеждане на публична процедура по ЗОП. </w:t>
            </w:r>
          </w:p>
          <w:p w:rsidR="00C40E65" w:rsidRPr="001920C9" w:rsidRDefault="00C40E65" w:rsidP="00C40E65">
            <w:pPr>
              <w:pStyle w:val="ListParagraph"/>
              <w:numPr>
                <w:ilvl w:val="0"/>
                <w:numId w:val="2"/>
              </w:numPr>
              <w:tabs>
                <w:tab w:val="left" w:pos="289"/>
                <w:tab w:val="right" w:pos="9360"/>
              </w:tabs>
              <w:ind w:left="0" w:firstLine="0"/>
              <w:jc w:val="both"/>
              <w:rPr>
                <w:sz w:val="26"/>
                <w:szCs w:val="26"/>
                <w:lang w:val="bg-BG"/>
              </w:rPr>
            </w:pPr>
            <w:r>
              <w:rPr>
                <w:sz w:val="26"/>
                <w:szCs w:val="26"/>
                <w:lang w:val="bg-BG"/>
              </w:rPr>
              <w:t xml:space="preserve">Препис на Решение № 687 от 2.10.2014 г на МС, с което е дадено съгласие министърът на земеделието и храните да проведе процедура за възлагане на обществена поръчка за определяне на сертифициращ орган, при условията на чл. 90, ал. 1, т. 4 от ЗОП. </w:t>
            </w:r>
          </w:p>
          <w:p w:rsidR="00C40E65" w:rsidRDefault="00C40E65" w:rsidP="00C40E65">
            <w:pPr>
              <w:pStyle w:val="ListParagraph"/>
              <w:numPr>
                <w:ilvl w:val="0"/>
                <w:numId w:val="2"/>
              </w:numPr>
              <w:tabs>
                <w:tab w:val="left" w:pos="289"/>
                <w:tab w:val="right" w:pos="9360"/>
              </w:tabs>
              <w:ind w:left="0" w:firstLine="0"/>
              <w:jc w:val="both"/>
              <w:rPr>
                <w:sz w:val="26"/>
                <w:szCs w:val="26"/>
                <w:lang w:val="bg-BG"/>
              </w:rPr>
            </w:pPr>
            <w:r>
              <w:rPr>
                <w:sz w:val="26"/>
                <w:szCs w:val="26"/>
                <w:lang w:val="bg-BG"/>
              </w:rPr>
              <w:t>Писмо изх. № 91-1979 от 23.09.2014 г. на министъра на земеделието и храните, отправено до СП, АДФИ и АОП, с което е направено искане за провеждане на спешна среща във връзка с възникналия проблем.</w:t>
            </w:r>
          </w:p>
          <w:p w:rsidR="00C40E65" w:rsidRDefault="00C40E65" w:rsidP="00C40E65">
            <w:pPr>
              <w:pStyle w:val="ListParagraph"/>
              <w:numPr>
                <w:ilvl w:val="0"/>
                <w:numId w:val="2"/>
              </w:numPr>
              <w:tabs>
                <w:tab w:val="left" w:pos="289"/>
                <w:tab w:val="right" w:pos="9360"/>
              </w:tabs>
              <w:ind w:left="0" w:firstLine="0"/>
              <w:jc w:val="both"/>
              <w:rPr>
                <w:sz w:val="26"/>
                <w:szCs w:val="26"/>
                <w:lang w:val="bg-BG"/>
              </w:rPr>
            </w:pPr>
            <w:r>
              <w:rPr>
                <w:sz w:val="26"/>
                <w:szCs w:val="26"/>
                <w:lang w:val="bg-BG"/>
              </w:rPr>
              <w:t>Писмо с Изх. № 04-00-254/29.09.2014 г. от АОП, в което са посочени различни възможности относно прилагането на ЗОП при избора на изпълнител за извършване на сертификационен одит на РА на Р България.</w:t>
            </w:r>
          </w:p>
          <w:p w:rsidR="00C40E65" w:rsidRDefault="00C40E65" w:rsidP="00C40E65">
            <w:pPr>
              <w:pStyle w:val="ListParagraph"/>
              <w:tabs>
                <w:tab w:val="left" w:pos="289"/>
                <w:tab w:val="right" w:pos="9360"/>
              </w:tabs>
              <w:ind w:left="0"/>
              <w:jc w:val="both"/>
              <w:rPr>
                <w:sz w:val="26"/>
                <w:szCs w:val="26"/>
                <w:lang w:val="bg-BG"/>
              </w:rPr>
            </w:pPr>
            <w:r>
              <w:rPr>
                <w:sz w:val="26"/>
                <w:szCs w:val="26"/>
                <w:lang w:val="bg-BG"/>
              </w:rPr>
              <w:t xml:space="preserve">Направена проверка в Регистъра на обществените поръчки потвърди изложената от възложителя информация за наличие на три броя „открити“ процедури, проведени в периода май 2013 г. - юни 2014 г., за възлагане избора на одитор, който да извърши сертификационен одит на Разплащателната агенция на Република България. Съгласно данните в регистъра първата процедура с УИН в РОП 00696-2013-0025 е прекратена на основание чл. 39, ал. 1, т. 6 ЗОП, тъй </w:t>
            </w:r>
            <w:r w:rsidRPr="006865AA">
              <w:rPr>
                <w:sz w:val="26"/>
                <w:szCs w:val="26"/>
                <w:lang w:val="bg-BG"/>
              </w:rPr>
              <w:t xml:space="preserve">като </w:t>
            </w:r>
            <w:r w:rsidRPr="006865AA">
              <w:rPr>
                <w:sz w:val="26"/>
                <w:szCs w:val="26"/>
                <w:lang w:val="en"/>
              </w:rPr>
              <w:t xml:space="preserve">са установени нарушения при откриването и провеждането й, които не могат да бъдат отстранени, без това да промени условията, при които е </w:t>
            </w:r>
            <w:r w:rsidRPr="0031495B">
              <w:rPr>
                <w:sz w:val="26"/>
                <w:szCs w:val="26"/>
                <w:lang w:val="en"/>
              </w:rPr>
              <w:t>обявена</w:t>
            </w:r>
            <w:r w:rsidRPr="0031495B">
              <w:rPr>
                <w:sz w:val="26"/>
                <w:szCs w:val="26"/>
                <w:lang w:val="bg-BG"/>
              </w:rPr>
              <w:t>.</w:t>
            </w:r>
            <w:r w:rsidRPr="0031495B">
              <w:rPr>
                <w:sz w:val="26"/>
                <w:szCs w:val="26"/>
                <w:lang w:val="en"/>
              </w:rPr>
              <w:t xml:space="preserve"> </w:t>
            </w:r>
            <w:r>
              <w:rPr>
                <w:sz w:val="26"/>
                <w:szCs w:val="26"/>
                <w:lang w:val="bg-BG"/>
              </w:rPr>
              <w:t xml:space="preserve">Последвалите две процедури също не са завършили със сключване на договор и избор на изпълнител. </w:t>
            </w:r>
            <w:r w:rsidRPr="00116A98">
              <w:rPr>
                <w:rFonts w:eastAsiaTheme="minorHAnsi"/>
                <w:sz w:val="26"/>
                <w:szCs w:val="26"/>
                <w:lang w:val="bg-BG"/>
              </w:rPr>
              <w:t>Решение № РД 52-102 от 18.10.2013 г. на</w:t>
            </w:r>
            <w:r>
              <w:rPr>
                <w:rFonts w:eastAsiaTheme="minorHAnsi"/>
                <w:sz w:val="26"/>
                <w:szCs w:val="26"/>
                <w:lang w:val="bg-BG"/>
              </w:rPr>
              <w:t xml:space="preserve"> </w:t>
            </w:r>
            <w:r w:rsidRPr="00116A98">
              <w:rPr>
                <w:rFonts w:eastAsiaTheme="minorHAnsi"/>
                <w:sz w:val="26"/>
                <w:szCs w:val="26"/>
                <w:lang w:val="bg-BG"/>
              </w:rPr>
              <w:t xml:space="preserve">министъра на земеделието и храните, </w:t>
            </w:r>
            <w:r>
              <w:rPr>
                <w:rFonts w:eastAsiaTheme="minorHAnsi"/>
                <w:sz w:val="26"/>
                <w:szCs w:val="26"/>
                <w:lang w:val="bg-BG"/>
              </w:rPr>
              <w:t>с което е</w:t>
            </w:r>
            <w:r w:rsidRPr="00116A98">
              <w:rPr>
                <w:rFonts w:eastAsiaTheme="minorHAnsi"/>
                <w:sz w:val="26"/>
                <w:szCs w:val="26"/>
                <w:lang w:val="bg-BG"/>
              </w:rPr>
              <w:t xml:space="preserve"> откри</w:t>
            </w:r>
            <w:r>
              <w:rPr>
                <w:rFonts w:eastAsiaTheme="minorHAnsi"/>
                <w:sz w:val="26"/>
                <w:szCs w:val="26"/>
                <w:lang w:val="bg-BG"/>
              </w:rPr>
              <w:t>та</w:t>
            </w:r>
            <w:r w:rsidRPr="00116A98">
              <w:rPr>
                <w:rFonts w:eastAsiaTheme="minorHAnsi"/>
                <w:sz w:val="26"/>
                <w:szCs w:val="26"/>
                <w:lang w:val="bg-BG"/>
              </w:rPr>
              <w:t xml:space="preserve"> процедура</w:t>
            </w:r>
            <w:r>
              <w:rPr>
                <w:rFonts w:eastAsiaTheme="minorHAnsi"/>
                <w:sz w:val="26"/>
                <w:szCs w:val="26"/>
                <w:lang w:val="bg-BG"/>
              </w:rPr>
              <w:t>, публикувана в РОП под № 00696-2013-0029, е обжалвано и отменено като незаконосъобразно от КЗК</w:t>
            </w:r>
            <w:r w:rsidRPr="00116A98">
              <w:rPr>
                <w:rFonts w:eastAsiaTheme="minorHAnsi"/>
                <w:sz w:val="26"/>
                <w:szCs w:val="26"/>
                <w:lang w:val="bg-BG"/>
              </w:rPr>
              <w:t>.</w:t>
            </w:r>
            <w:r>
              <w:rPr>
                <w:rFonts w:eastAsiaTheme="minorHAnsi"/>
                <w:sz w:val="26"/>
                <w:szCs w:val="26"/>
                <w:lang w:val="bg-BG"/>
              </w:rPr>
              <w:t xml:space="preserve"> </w:t>
            </w:r>
            <w:r>
              <w:rPr>
                <w:sz w:val="26"/>
                <w:szCs w:val="26"/>
                <w:lang w:val="bg-BG"/>
              </w:rPr>
              <w:t>Третата процедура, № 00696-2014-0017 в РОП е  прекратена на основание чл. 39, ал. 1, т. 6 от ЗОП с мотива, че при откриването й са допуснати нарушения, които не могат да бъдат отстранени, без да променят условията , при които е обявена процедурата, описани в Решение № 1069/03.09.2014 г. на КЗК.</w:t>
            </w:r>
          </w:p>
          <w:p w:rsidR="00C40E65" w:rsidRPr="0031495B" w:rsidRDefault="00C40E65" w:rsidP="00C40E65">
            <w:pPr>
              <w:pStyle w:val="ListParagraph"/>
              <w:tabs>
                <w:tab w:val="left" w:pos="289"/>
                <w:tab w:val="right" w:pos="9360"/>
              </w:tabs>
              <w:ind w:left="0"/>
              <w:jc w:val="both"/>
              <w:rPr>
                <w:sz w:val="26"/>
                <w:szCs w:val="26"/>
                <w:lang w:val="bg-BG"/>
              </w:rPr>
            </w:pPr>
            <w:r>
              <w:rPr>
                <w:sz w:val="26"/>
                <w:szCs w:val="26"/>
                <w:lang w:val="bg-BG"/>
              </w:rPr>
              <w:t>В поле V.2) е отбелязано, че покана за участие в процедурата се отправя до: 1. „Ърнст и Янг одит“ ООД, 2. „КПМГ България ООД“, 3. „Делойт България“ ЕООД и 4. „Прайсуотърхаускупърс одит“ ООД. До същите лица са адресирани и приложените покани за участие.</w:t>
            </w:r>
          </w:p>
          <w:p w:rsidR="000C0606" w:rsidRDefault="000C0606" w:rsidP="000D745D">
            <w:pPr>
              <w:tabs>
                <w:tab w:val="right" w:pos="9360"/>
              </w:tabs>
              <w:ind w:left="43" w:right="110"/>
              <w:jc w:val="both"/>
              <w:rPr>
                <w:sz w:val="26"/>
                <w:szCs w:val="26"/>
                <w:highlight w:val="yellow"/>
              </w:rPr>
            </w:pPr>
          </w:p>
          <w:p w:rsidR="000C0606" w:rsidRPr="004F3454" w:rsidRDefault="000C0606" w:rsidP="000D745D">
            <w:pPr>
              <w:tabs>
                <w:tab w:val="right" w:pos="9360"/>
              </w:tabs>
              <w:ind w:left="43" w:right="110"/>
              <w:jc w:val="both"/>
              <w:rPr>
                <w:sz w:val="26"/>
                <w:szCs w:val="26"/>
                <w:highlight w:val="yellow"/>
              </w:rPr>
            </w:pPr>
          </w:p>
          <w:p w:rsidR="000C0606" w:rsidRPr="003F1017" w:rsidRDefault="000C0606" w:rsidP="000C0606">
            <w:pPr>
              <w:numPr>
                <w:ilvl w:val="0"/>
                <w:numId w:val="1"/>
              </w:numPr>
              <w:tabs>
                <w:tab w:val="right" w:pos="9360"/>
              </w:tabs>
              <w:ind w:left="43" w:right="110" w:firstLine="0"/>
              <w:jc w:val="both"/>
              <w:rPr>
                <w:b/>
                <w:sz w:val="26"/>
                <w:u w:val="single"/>
                <w:lang w:val="bg-BG"/>
              </w:rPr>
            </w:pPr>
            <w:r w:rsidRPr="006E1669">
              <w:rPr>
                <w:b/>
                <w:sz w:val="26"/>
                <w:u w:val="single"/>
                <w:lang w:val="bg-BG"/>
              </w:rPr>
              <w:t>Изводи</w:t>
            </w:r>
          </w:p>
          <w:p w:rsidR="00C40E65" w:rsidRDefault="00C40E65" w:rsidP="00C40E65">
            <w:pPr>
              <w:ind w:left="43"/>
              <w:jc w:val="both"/>
              <w:rPr>
                <w:sz w:val="26"/>
                <w:szCs w:val="26"/>
                <w:lang w:val="bg-BG"/>
              </w:rPr>
            </w:pPr>
            <w:r>
              <w:rPr>
                <w:sz w:val="26"/>
                <w:lang w:val="bg-BG"/>
              </w:rPr>
              <w:t>От изложените мотиви и представените доказателства</w:t>
            </w:r>
            <w:r w:rsidRPr="0023753D">
              <w:rPr>
                <w:sz w:val="26"/>
                <w:lang w:val="bg-BG"/>
              </w:rPr>
              <w:t xml:space="preserve"> става ясно, че </w:t>
            </w:r>
            <w:r>
              <w:rPr>
                <w:sz w:val="26"/>
                <w:lang w:val="bg-BG"/>
              </w:rPr>
              <w:lastRenderedPageBreak/>
              <w:t>провеждането на разглежданото договаряне без обявление е във връзка с</w:t>
            </w:r>
            <w:r w:rsidRPr="0023753D">
              <w:rPr>
                <w:sz w:val="26"/>
                <w:lang w:val="bg-BG"/>
              </w:rPr>
              <w:t xml:space="preserve"> възникнала необходимост от </w:t>
            </w:r>
            <w:r>
              <w:rPr>
                <w:sz w:val="26"/>
                <w:lang w:val="bg-BG"/>
              </w:rPr>
              <w:t>определяне</w:t>
            </w:r>
            <w:r w:rsidRPr="0023753D">
              <w:rPr>
                <w:sz w:val="26"/>
                <w:lang w:val="bg-BG"/>
              </w:rPr>
              <w:t xml:space="preserve"> </w:t>
            </w:r>
            <w:r>
              <w:rPr>
                <w:sz w:val="26"/>
                <w:lang w:val="bg-BG"/>
              </w:rPr>
              <w:t>в най-кратки срокове</w:t>
            </w:r>
            <w:r w:rsidRPr="0023753D">
              <w:rPr>
                <w:sz w:val="26"/>
                <w:lang w:val="bg-BG"/>
              </w:rPr>
              <w:t xml:space="preserve"> на </w:t>
            </w:r>
            <w:r>
              <w:rPr>
                <w:sz w:val="26"/>
                <w:lang w:val="bg-BG"/>
              </w:rPr>
              <w:t>сертифициращ орган, който да извърши проверка на Разплащателната агенция на Република България. За обоснован се приема аргументът, че без осигуряване на услугата в спешен порядък няма да бъде осъществена оценка на системата за вътрешен контрол на агенцията, както</w:t>
            </w:r>
            <w:r>
              <w:rPr>
                <w:sz w:val="26"/>
              </w:rPr>
              <w:t xml:space="preserve"> </w:t>
            </w:r>
            <w:r>
              <w:rPr>
                <w:sz w:val="26"/>
                <w:lang w:val="bg-BG"/>
              </w:rPr>
              <w:t xml:space="preserve">и проверка на законосъобразността и достоверността на </w:t>
            </w:r>
            <w:r>
              <w:rPr>
                <w:sz w:val="26"/>
                <w:szCs w:val="26"/>
                <w:lang w:val="bg-BG"/>
              </w:rPr>
              <w:t xml:space="preserve">извършените от нея разходи през финансовата 2014 г. Доколкото се касае за приблизително един милиард и шестстотин милиона евро от бюджета, за безспорно се счита, че възстановяването им е важно за финансите на страната. Възможните последици могат да се определят като риск относно изпълнението на нормативно установени задължения за възложителя и с оглед обстоятелството, че резултатът от одита следва да бъде предаден на Европейската комисия до 31.01.2015 г., </w:t>
            </w:r>
            <w:r>
              <w:rPr>
                <w:sz w:val="26"/>
                <w:lang w:val="bg-BG"/>
              </w:rPr>
              <w:t xml:space="preserve">може да се приеме, че времето за провеждане на процедура по общия ред е недостатъчно. </w:t>
            </w:r>
            <w:r>
              <w:rPr>
                <w:sz w:val="26"/>
                <w:szCs w:val="26"/>
                <w:lang w:val="bg-BG"/>
              </w:rPr>
              <w:t xml:space="preserve"> </w:t>
            </w:r>
          </w:p>
          <w:p w:rsidR="00C40E65" w:rsidRDefault="00C40E65" w:rsidP="00C40E65">
            <w:pPr>
              <w:tabs>
                <w:tab w:val="right" w:pos="9360"/>
              </w:tabs>
              <w:ind w:left="43" w:right="110"/>
              <w:jc w:val="both"/>
              <w:rPr>
                <w:sz w:val="26"/>
                <w:szCs w:val="26"/>
                <w:lang w:val="bg-BG"/>
              </w:rPr>
            </w:pPr>
            <w:r>
              <w:rPr>
                <w:sz w:val="26"/>
                <w:szCs w:val="26"/>
                <w:lang w:val="bg-BG"/>
              </w:rPr>
              <w:t xml:space="preserve">За да се счита, че възникналата ситуация е резултат от обстоятелство, отговарящо на дефиницията на § 1, т. 8 от ДР на ЗОП, следва последиците да не се дължат на действие или бездействие на възложителя. Това означава, той да е положил дължимата грижа и въпреки това да не е могъл да предотврати настъпването им. В конкретния случай, възложителят е провел три „открити“ процедури за осигуряване на изпълнител на услугата. Действията са стартирали повече от 6 месеца преди изтичане на действащия договор, което е основание за извод, че те са добре планирани и е отчетена възможността за евентуално обжалване. Независимо от посоченото, дейността е останала необезпечена, тъй като първата процедура е прекратена </w:t>
            </w:r>
            <w:r w:rsidRPr="00EE0684">
              <w:rPr>
                <w:sz w:val="26"/>
                <w:szCs w:val="26"/>
                <w:lang w:val="bg-BG"/>
              </w:rPr>
              <w:t>на основание чл. 39</w:t>
            </w:r>
            <w:r>
              <w:rPr>
                <w:sz w:val="26"/>
                <w:szCs w:val="26"/>
                <w:lang w:val="bg-BG"/>
              </w:rPr>
              <w:t>,</w:t>
            </w:r>
            <w:r w:rsidRPr="00EE0684">
              <w:rPr>
                <w:sz w:val="26"/>
                <w:szCs w:val="26"/>
                <w:lang w:val="bg-BG"/>
              </w:rPr>
              <w:t xml:space="preserve"> ал. 1, т. 6 от ЗОП</w:t>
            </w:r>
            <w:r>
              <w:rPr>
                <w:sz w:val="26"/>
                <w:szCs w:val="26"/>
                <w:lang w:val="bg-BG"/>
              </w:rPr>
              <w:t>, т.е. поради</w:t>
            </w:r>
            <w:r w:rsidRPr="00EE0684">
              <w:rPr>
                <w:sz w:val="26"/>
                <w:szCs w:val="26"/>
                <w:lang w:val="bg-BG"/>
              </w:rPr>
              <w:t xml:space="preserve"> установени нарушения при откриването и провеждането на процедурата, които не могат да бъдат отстранени без да се променят условията, при които тя е обявена. </w:t>
            </w:r>
            <w:r>
              <w:rPr>
                <w:sz w:val="26"/>
                <w:szCs w:val="26"/>
                <w:lang w:val="bg-BG"/>
              </w:rPr>
              <w:t xml:space="preserve">Последвалите я две „открити“ процедури също не завършват с избор на изпълнител, тъй като решенията за откриването им са оспорени и отменени като незаконосъобразни от органите по обжалване. </w:t>
            </w:r>
          </w:p>
          <w:p w:rsidR="000C0606" w:rsidRPr="006E1669" w:rsidRDefault="00C40E65" w:rsidP="00C40E65">
            <w:pPr>
              <w:ind w:left="43"/>
              <w:jc w:val="both"/>
              <w:rPr>
                <w:sz w:val="26"/>
                <w:szCs w:val="26"/>
                <w:lang w:val="bg-BG"/>
              </w:rPr>
            </w:pPr>
            <w:r>
              <w:rPr>
                <w:sz w:val="26"/>
                <w:szCs w:val="26"/>
                <w:lang w:val="bg-BG"/>
              </w:rPr>
              <w:t>Предвид и</w:t>
            </w:r>
            <w:r w:rsidRPr="00F879B7">
              <w:rPr>
                <w:sz w:val="26"/>
                <w:szCs w:val="26"/>
                <w:lang w:val="bg-BG"/>
              </w:rPr>
              <w:t>зложеното, прилагане</w:t>
            </w:r>
            <w:r>
              <w:rPr>
                <w:sz w:val="26"/>
                <w:szCs w:val="26"/>
                <w:lang w:val="bg-BG"/>
              </w:rPr>
              <w:t>то</w:t>
            </w:r>
            <w:r w:rsidRPr="00F879B7">
              <w:rPr>
                <w:sz w:val="26"/>
                <w:szCs w:val="26"/>
                <w:lang w:val="bg-BG"/>
              </w:rPr>
              <w:t xml:space="preserve"> на чл. 90, ал. 1, т. 4 от ЗОП </w:t>
            </w:r>
            <w:r>
              <w:rPr>
                <w:sz w:val="26"/>
                <w:szCs w:val="26"/>
                <w:lang w:val="bg-BG"/>
              </w:rPr>
              <w:t>в разглеждания случай може да се приеме за обосновано, ако възложителят разполага с мотиви и доказателства, че няма вина за неуспеха на проведените открити процедури</w:t>
            </w:r>
            <w:r w:rsidRPr="00195991">
              <w:rPr>
                <w:sz w:val="26"/>
                <w:szCs w:val="26"/>
                <w:lang w:val="bg-BG"/>
              </w:rPr>
              <w:t>. Допълнително услови</w:t>
            </w:r>
            <w:r>
              <w:rPr>
                <w:sz w:val="26"/>
                <w:szCs w:val="26"/>
                <w:lang w:val="bg-BG"/>
              </w:rPr>
              <w:t>е</w:t>
            </w:r>
            <w:r w:rsidRPr="00195991">
              <w:rPr>
                <w:sz w:val="26"/>
                <w:szCs w:val="26"/>
                <w:lang w:val="bg-BG"/>
              </w:rPr>
              <w:t xml:space="preserve"> е </w:t>
            </w:r>
            <w:r>
              <w:rPr>
                <w:sz w:val="26"/>
                <w:szCs w:val="26"/>
                <w:lang w:val="bg-BG"/>
              </w:rPr>
              <w:t>договорът, сключен в резултат на разглежданата процедура да обхваща единствено изрично необходимото, което не може да се възложи при спазване на общия ред.</w:t>
            </w:r>
          </w:p>
        </w:tc>
      </w:tr>
    </w:tbl>
    <w:p w:rsidR="000C0606" w:rsidRDefault="000C0606" w:rsidP="000C0606">
      <w:pPr>
        <w:pStyle w:val="Heading3"/>
        <w:tabs>
          <w:tab w:val="right" w:pos="9360"/>
        </w:tabs>
        <w:rPr>
          <w:sz w:val="26"/>
        </w:rPr>
      </w:pPr>
    </w:p>
    <w:p w:rsidR="00BB1B4A" w:rsidRPr="00BB1B4A" w:rsidRDefault="00BB1B4A" w:rsidP="00BB1B4A">
      <w:pPr>
        <w:rPr>
          <w:lang w:val="bg-BG"/>
        </w:rPr>
      </w:pPr>
    </w:p>
    <w:p w:rsidR="00BB1B4A" w:rsidRPr="00BB1B4A" w:rsidRDefault="00BB1B4A" w:rsidP="00BB1B4A">
      <w:pPr>
        <w:rPr>
          <w:sz w:val="28"/>
          <w:szCs w:val="28"/>
          <w:lang w:val="bg-BG"/>
        </w:rPr>
      </w:pPr>
      <w:r w:rsidRPr="00BB1B4A">
        <w:rPr>
          <w:b/>
          <w:sz w:val="26"/>
          <w:szCs w:val="26"/>
          <w:lang w:val="bg-BG"/>
        </w:rPr>
        <w:t>ЗАКЛЮЧЕНИЕ</w:t>
      </w:r>
    </w:p>
    <w:tbl>
      <w:tblPr>
        <w:tblW w:w="875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33"/>
        <w:gridCol w:w="1620"/>
      </w:tblGrid>
      <w:tr w:rsidR="000C0606" w:rsidRPr="006E1669" w:rsidTr="000D745D">
        <w:trPr>
          <w:trHeight w:val="550"/>
        </w:trPr>
        <w:tc>
          <w:tcPr>
            <w:tcW w:w="7133" w:type="dxa"/>
            <w:vAlign w:val="center"/>
          </w:tcPr>
          <w:p w:rsidR="000C0606" w:rsidRPr="006E1669" w:rsidRDefault="000C0606" w:rsidP="000D745D">
            <w:pPr>
              <w:tabs>
                <w:tab w:val="right" w:pos="9360"/>
              </w:tabs>
              <w:ind w:left="43"/>
              <w:rPr>
                <w:sz w:val="26"/>
                <w:lang w:val="bg-BG"/>
              </w:rPr>
            </w:pPr>
            <w:r>
              <w:rPr>
                <w:sz w:val="26"/>
                <w:lang w:val="bg-BG"/>
              </w:rPr>
              <w:t>И</w:t>
            </w:r>
            <w:r w:rsidRPr="006E1669">
              <w:rPr>
                <w:sz w:val="26"/>
                <w:lang w:val="bg-BG"/>
              </w:rPr>
              <w:t>зборът на процедура е законосъобразен.</w:t>
            </w:r>
          </w:p>
        </w:tc>
        <w:tc>
          <w:tcPr>
            <w:tcW w:w="1620" w:type="dxa"/>
            <w:vAlign w:val="center"/>
          </w:tcPr>
          <w:p w:rsidR="000C0606" w:rsidRPr="006E1669" w:rsidRDefault="00276921" w:rsidP="000D745D">
            <w:pPr>
              <w:tabs>
                <w:tab w:val="right" w:pos="9360"/>
              </w:tabs>
              <w:jc w:val="center"/>
              <w:rPr>
                <w:sz w:val="26"/>
                <w:szCs w:val="32"/>
                <w:lang w:val="bg-BG"/>
              </w:rPr>
            </w:pPr>
            <w:r>
              <w:rPr>
                <w:b/>
                <w:bCs/>
                <w:sz w:val="32"/>
                <w:szCs w:val="32"/>
                <w:lang w:val="bg-BG"/>
              </w:rPr>
              <w:fldChar w:fldCharType="begin">
                <w:ffData>
                  <w:name w:val=""/>
                  <w:enabled/>
                  <w:calcOnExit w:val="0"/>
                  <w:checkBox>
                    <w:sizeAuto/>
                    <w:default w:val="0"/>
                  </w:checkBox>
                </w:ffData>
              </w:fldChar>
            </w:r>
            <w:r w:rsidR="000C0606">
              <w:rPr>
                <w:b/>
                <w:bCs/>
                <w:sz w:val="32"/>
                <w:szCs w:val="32"/>
                <w:lang w:val="bg-BG"/>
              </w:rPr>
              <w:instrText xml:space="preserve"> FORMCHECKBOX </w:instrText>
            </w:r>
            <w:r w:rsidR="00C83058">
              <w:rPr>
                <w:b/>
                <w:bCs/>
                <w:sz w:val="32"/>
                <w:szCs w:val="32"/>
                <w:lang w:val="bg-BG"/>
              </w:rPr>
            </w:r>
            <w:r w:rsidR="00C83058">
              <w:rPr>
                <w:b/>
                <w:bCs/>
                <w:sz w:val="32"/>
                <w:szCs w:val="32"/>
                <w:lang w:val="bg-BG"/>
              </w:rPr>
              <w:fldChar w:fldCharType="separate"/>
            </w:r>
            <w:r>
              <w:rPr>
                <w:b/>
                <w:bCs/>
                <w:sz w:val="32"/>
                <w:szCs w:val="32"/>
                <w:lang w:val="bg-BG"/>
              </w:rPr>
              <w:fldChar w:fldCharType="end"/>
            </w:r>
          </w:p>
        </w:tc>
      </w:tr>
      <w:tr w:rsidR="000C0606" w:rsidRPr="006E1669" w:rsidTr="000D745D">
        <w:trPr>
          <w:trHeight w:val="550"/>
        </w:trPr>
        <w:tc>
          <w:tcPr>
            <w:tcW w:w="7133" w:type="dxa"/>
            <w:vAlign w:val="center"/>
          </w:tcPr>
          <w:p w:rsidR="000C0606" w:rsidRPr="006E1669" w:rsidRDefault="000C0606" w:rsidP="000D745D">
            <w:pPr>
              <w:tabs>
                <w:tab w:val="right" w:pos="9360"/>
              </w:tabs>
              <w:ind w:left="43"/>
              <w:jc w:val="both"/>
              <w:rPr>
                <w:sz w:val="26"/>
                <w:highlight w:val="yellow"/>
                <w:lang w:val="bg-BG"/>
              </w:rPr>
            </w:pPr>
            <w:r>
              <w:rPr>
                <w:sz w:val="26"/>
                <w:lang w:val="bg-BG"/>
              </w:rPr>
              <w:t>И</w:t>
            </w:r>
            <w:r w:rsidRPr="006E1669">
              <w:rPr>
                <w:sz w:val="26"/>
                <w:lang w:val="bg-BG"/>
              </w:rPr>
              <w:t>зборът на процедура може да се приеме за законосъобразен, при условие че възложителят разполага с надлежни доказателства в подкрепа на изложените в мотивите обстоятелства.</w:t>
            </w:r>
          </w:p>
        </w:tc>
        <w:tc>
          <w:tcPr>
            <w:tcW w:w="1620" w:type="dxa"/>
            <w:vAlign w:val="center"/>
          </w:tcPr>
          <w:p w:rsidR="000C0606" w:rsidRPr="006E1669" w:rsidRDefault="00FE540E" w:rsidP="000D745D">
            <w:pPr>
              <w:tabs>
                <w:tab w:val="right" w:pos="9360"/>
              </w:tabs>
              <w:jc w:val="center"/>
              <w:rPr>
                <w:b/>
                <w:bCs/>
                <w:sz w:val="32"/>
                <w:szCs w:val="32"/>
                <w:lang w:val="bg-BG"/>
              </w:rPr>
            </w:pPr>
            <w:r>
              <w:rPr>
                <w:b/>
                <w:bCs/>
                <w:sz w:val="32"/>
                <w:szCs w:val="32"/>
                <w:lang w:val="bg-BG"/>
              </w:rPr>
              <w:fldChar w:fldCharType="begin">
                <w:ffData>
                  <w:name w:val=""/>
                  <w:enabled/>
                  <w:calcOnExit w:val="0"/>
                  <w:checkBox>
                    <w:sizeAuto/>
                    <w:default w:val="1"/>
                  </w:checkBox>
                </w:ffData>
              </w:fldChar>
            </w:r>
            <w:r>
              <w:rPr>
                <w:b/>
                <w:bCs/>
                <w:sz w:val="32"/>
                <w:szCs w:val="32"/>
                <w:lang w:val="bg-BG"/>
              </w:rPr>
              <w:instrText xml:space="preserve"> FORMCHECKBOX </w:instrText>
            </w:r>
            <w:r w:rsidR="00C83058">
              <w:rPr>
                <w:b/>
                <w:bCs/>
                <w:sz w:val="32"/>
                <w:szCs w:val="32"/>
                <w:lang w:val="bg-BG"/>
              </w:rPr>
            </w:r>
            <w:r w:rsidR="00C83058">
              <w:rPr>
                <w:b/>
                <w:bCs/>
                <w:sz w:val="32"/>
                <w:szCs w:val="32"/>
                <w:lang w:val="bg-BG"/>
              </w:rPr>
              <w:fldChar w:fldCharType="separate"/>
            </w:r>
            <w:r>
              <w:rPr>
                <w:b/>
                <w:bCs/>
                <w:sz w:val="32"/>
                <w:szCs w:val="32"/>
                <w:lang w:val="bg-BG"/>
              </w:rPr>
              <w:fldChar w:fldCharType="end"/>
            </w:r>
          </w:p>
        </w:tc>
      </w:tr>
      <w:tr w:rsidR="000C0606" w:rsidRPr="006E1669" w:rsidTr="000D745D">
        <w:trPr>
          <w:trHeight w:val="550"/>
        </w:trPr>
        <w:tc>
          <w:tcPr>
            <w:tcW w:w="7133" w:type="dxa"/>
            <w:vAlign w:val="center"/>
          </w:tcPr>
          <w:p w:rsidR="000C0606" w:rsidRPr="006E1669" w:rsidRDefault="000C0606" w:rsidP="000D745D">
            <w:pPr>
              <w:tabs>
                <w:tab w:val="right" w:pos="9360"/>
              </w:tabs>
              <w:ind w:left="43"/>
              <w:jc w:val="both"/>
              <w:rPr>
                <w:sz w:val="26"/>
                <w:lang w:val="bg-BG"/>
              </w:rPr>
            </w:pPr>
            <w:r>
              <w:rPr>
                <w:sz w:val="26"/>
                <w:lang w:val="bg-BG"/>
              </w:rPr>
              <w:lastRenderedPageBreak/>
              <w:t>И</w:t>
            </w:r>
            <w:r w:rsidRPr="006E1669">
              <w:rPr>
                <w:sz w:val="26"/>
                <w:lang w:val="bg-BG"/>
              </w:rPr>
              <w:t>зборът на процедура не може да се приеме за законосъобразен, тъй като изложените мотиви и/или представените доказателства са недостатъчни.</w:t>
            </w:r>
          </w:p>
        </w:tc>
        <w:tc>
          <w:tcPr>
            <w:tcW w:w="1620" w:type="dxa"/>
            <w:vAlign w:val="center"/>
          </w:tcPr>
          <w:p w:rsidR="000C0606" w:rsidRPr="006E1669" w:rsidRDefault="00276921" w:rsidP="000D745D">
            <w:pPr>
              <w:tabs>
                <w:tab w:val="right" w:pos="9360"/>
              </w:tabs>
              <w:jc w:val="center"/>
              <w:rPr>
                <w:sz w:val="26"/>
                <w:szCs w:val="32"/>
                <w:lang w:val="bg-BG"/>
              </w:rPr>
            </w:pPr>
            <w:r w:rsidRPr="006E1669">
              <w:rPr>
                <w:b/>
                <w:bCs/>
                <w:sz w:val="32"/>
                <w:szCs w:val="32"/>
                <w:lang w:val="bg-BG"/>
              </w:rPr>
              <w:fldChar w:fldCharType="begin">
                <w:ffData>
                  <w:name w:val=""/>
                  <w:enabled/>
                  <w:calcOnExit w:val="0"/>
                  <w:checkBox>
                    <w:sizeAuto/>
                    <w:default w:val="0"/>
                  </w:checkBox>
                </w:ffData>
              </w:fldChar>
            </w:r>
            <w:r w:rsidR="000C0606" w:rsidRPr="006E1669">
              <w:rPr>
                <w:b/>
                <w:bCs/>
                <w:sz w:val="32"/>
                <w:szCs w:val="32"/>
                <w:lang w:val="bg-BG"/>
              </w:rPr>
              <w:instrText xml:space="preserve"> FORMCHECKBOX </w:instrText>
            </w:r>
            <w:r w:rsidR="00C83058">
              <w:rPr>
                <w:b/>
                <w:bCs/>
                <w:sz w:val="32"/>
                <w:szCs w:val="32"/>
                <w:lang w:val="bg-BG"/>
              </w:rPr>
            </w:r>
            <w:r w:rsidR="00C83058">
              <w:rPr>
                <w:b/>
                <w:bCs/>
                <w:sz w:val="32"/>
                <w:szCs w:val="32"/>
                <w:lang w:val="bg-BG"/>
              </w:rPr>
              <w:fldChar w:fldCharType="separate"/>
            </w:r>
            <w:r w:rsidRPr="006E1669">
              <w:rPr>
                <w:b/>
                <w:bCs/>
                <w:sz w:val="32"/>
                <w:szCs w:val="32"/>
                <w:lang w:val="bg-BG"/>
              </w:rPr>
              <w:fldChar w:fldCharType="end"/>
            </w:r>
          </w:p>
        </w:tc>
      </w:tr>
      <w:tr w:rsidR="000C0606" w:rsidRPr="006E1669" w:rsidTr="000D745D">
        <w:trPr>
          <w:trHeight w:val="550"/>
        </w:trPr>
        <w:tc>
          <w:tcPr>
            <w:tcW w:w="7133" w:type="dxa"/>
            <w:vAlign w:val="center"/>
          </w:tcPr>
          <w:p w:rsidR="000C0606" w:rsidRPr="006E1669" w:rsidRDefault="000C0606" w:rsidP="000D745D">
            <w:pPr>
              <w:tabs>
                <w:tab w:val="right" w:pos="9360"/>
              </w:tabs>
              <w:ind w:left="43"/>
              <w:rPr>
                <w:sz w:val="26"/>
                <w:lang w:val="bg-BG"/>
              </w:rPr>
            </w:pPr>
            <w:r>
              <w:rPr>
                <w:sz w:val="26"/>
                <w:lang w:val="bg-BG"/>
              </w:rPr>
              <w:t>И</w:t>
            </w:r>
            <w:r w:rsidRPr="006E1669">
              <w:rPr>
                <w:sz w:val="26"/>
                <w:lang w:val="bg-BG"/>
              </w:rPr>
              <w:t>зборът на процедура е незаконосъобразен.</w:t>
            </w:r>
          </w:p>
        </w:tc>
        <w:tc>
          <w:tcPr>
            <w:tcW w:w="1620" w:type="dxa"/>
            <w:vAlign w:val="center"/>
          </w:tcPr>
          <w:p w:rsidR="000C0606" w:rsidRPr="006E1669" w:rsidRDefault="00276921" w:rsidP="000D745D">
            <w:pPr>
              <w:tabs>
                <w:tab w:val="right" w:pos="9360"/>
              </w:tabs>
              <w:jc w:val="center"/>
              <w:rPr>
                <w:sz w:val="26"/>
                <w:szCs w:val="32"/>
                <w:lang w:val="bg-BG"/>
              </w:rPr>
            </w:pPr>
            <w:r w:rsidRPr="006E1669">
              <w:rPr>
                <w:b/>
                <w:bCs/>
                <w:sz w:val="32"/>
                <w:szCs w:val="32"/>
                <w:lang w:val="bg-BG"/>
              </w:rPr>
              <w:fldChar w:fldCharType="begin">
                <w:ffData>
                  <w:name w:val="Check31"/>
                  <w:enabled/>
                  <w:calcOnExit w:val="0"/>
                  <w:checkBox>
                    <w:sizeAuto/>
                    <w:default w:val="0"/>
                  </w:checkBox>
                </w:ffData>
              </w:fldChar>
            </w:r>
            <w:bookmarkStart w:id="4" w:name="Check31"/>
            <w:r w:rsidR="000C0606" w:rsidRPr="006E1669">
              <w:rPr>
                <w:b/>
                <w:bCs/>
                <w:sz w:val="32"/>
                <w:szCs w:val="32"/>
                <w:lang w:val="bg-BG"/>
              </w:rPr>
              <w:instrText xml:space="preserve"> FORMCHECKBOX </w:instrText>
            </w:r>
            <w:r w:rsidR="00C83058">
              <w:rPr>
                <w:b/>
                <w:bCs/>
                <w:sz w:val="32"/>
                <w:szCs w:val="32"/>
                <w:lang w:val="bg-BG"/>
              </w:rPr>
            </w:r>
            <w:r w:rsidR="00C83058">
              <w:rPr>
                <w:b/>
                <w:bCs/>
                <w:sz w:val="32"/>
                <w:szCs w:val="32"/>
                <w:lang w:val="bg-BG"/>
              </w:rPr>
              <w:fldChar w:fldCharType="separate"/>
            </w:r>
            <w:r w:rsidRPr="006E1669">
              <w:rPr>
                <w:b/>
                <w:bCs/>
                <w:sz w:val="32"/>
                <w:szCs w:val="32"/>
                <w:lang w:val="bg-BG"/>
              </w:rPr>
              <w:fldChar w:fldCharType="end"/>
            </w:r>
            <w:bookmarkEnd w:id="4"/>
          </w:p>
        </w:tc>
      </w:tr>
    </w:tbl>
    <w:p w:rsidR="000C0606" w:rsidRDefault="000C0606" w:rsidP="000C0606">
      <w:pPr>
        <w:pStyle w:val="Heading3"/>
        <w:tabs>
          <w:tab w:val="right" w:pos="9360"/>
        </w:tabs>
        <w:rPr>
          <w:sz w:val="26"/>
        </w:rPr>
      </w:pPr>
    </w:p>
    <w:p w:rsidR="00437F4A" w:rsidRDefault="00437F4A" w:rsidP="00437F4A"/>
    <w:p w:rsidR="00257C65" w:rsidRPr="00257C65" w:rsidRDefault="00257C65" w:rsidP="00437F4A"/>
    <w:p w:rsidR="00437F4A" w:rsidRPr="00257C65" w:rsidRDefault="00437F4A" w:rsidP="00257C65">
      <w:pPr>
        <w:ind w:left="3119" w:right="-17"/>
        <w:rPr>
          <w:b/>
          <w:sz w:val="26"/>
          <w:szCs w:val="26"/>
          <w:lang w:eastAsia="bg-BG"/>
        </w:rPr>
      </w:pPr>
      <w:r w:rsidRPr="00437F4A">
        <w:rPr>
          <w:b/>
          <w:sz w:val="26"/>
          <w:szCs w:val="26"/>
          <w:lang w:val="bg-BG" w:eastAsia="bg-BG"/>
        </w:rPr>
        <w:t>ГЛАВЕН СЕКРЕТАР:</w:t>
      </w:r>
      <w:r w:rsidR="00257C65">
        <w:rPr>
          <w:b/>
          <w:sz w:val="26"/>
          <w:szCs w:val="26"/>
          <w:lang w:eastAsia="bg-BG"/>
        </w:rPr>
        <w:t xml:space="preserve"> </w:t>
      </w:r>
      <w:proofErr w:type="spellStart"/>
      <w:r w:rsidR="00257C65">
        <w:rPr>
          <w:b/>
          <w:sz w:val="26"/>
          <w:szCs w:val="26"/>
        </w:rPr>
        <w:t>Подпис</w:t>
      </w:r>
      <w:proofErr w:type="spellEnd"/>
      <w:r w:rsidR="00257C65">
        <w:rPr>
          <w:b/>
          <w:sz w:val="26"/>
          <w:szCs w:val="26"/>
        </w:rPr>
        <w:t xml:space="preserve"> (</w:t>
      </w:r>
      <w:proofErr w:type="spellStart"/>
      <w:r w:rsidR="00257C65">
        <w:rPr>
          <w:b/>
          <w:sz w:val="26"/>
          <w:szCs w:val="26"/>
        </w:rPr>
        <w:t>не</w:t>
      </w:r>
      <w:proofErr w:type="spellEnd"/>
      <w:r w:rsidR="00257C65">
        <w:rPr>
          <w:b/>
          <w:sz w:val="26"/>
          <w:szCs w:val="26"/>
        </w:rPr>
        <w:t xml:space="preserve"> </w:t>
      </w:r>
      <w:proofErr w:type="spellStart"/>
      <w:r w:rsidR="00257C65">
        <w:rPr>
          <w:b/>
          <w:sz w:val="26"/>
          <w:szCs w:val="26"/>
        </w:rPr>
        <w:t>се</w:t>
      </w:r>
      <w:proofErr w:type="spellEnd"/>
      <w:r w:rsidR="00257C65">
        <w:rPr>
          <w:b/>
          <w:sz w:val="26"/>
          <w:szCs w:val="26"/>
        </w:rPr>
        <w:t xml:space="preserve"> </w:t>
      </w:r>
      <w:proofErr w:type="spellStart"/>
      <w:r w:rsidR="00257C65">
        <w:rPr>
          <w:b/>
          <w:sz w:val="26"/>
          <w:szCs w:val="26"/>
        </w:rPr>
        <w:t>чете</w:t>
      </w:r>
      <w:proofErr w:type="spellEnd"/>
      <w:r w:rsidR="00257C65">
        <w:rPr>
          <w:b/>
          <w:sz w:val="26"/>
          <w:szCs w:val="26"/>
        </w:rPr>
        <w:t>)</w:t>
      </w:r>
    </w:p>
    <w:p w:rsidR="00437F4A" w:rsidRPr="00437F4A" w:rsidRDefault="00437F4A" w:rsidP="00437F4A">
      <w:pPr>
        <w:ind w:left="6372"/>
        <w:jc w:val="both"/>
        <w:rPr>
          <w:b/>
          <w:sz w:val="26"/>
          <w:szCs w:val="26"/>
          <w:lang w:val="bg-BG" w:eastAsia="bg-BG"/>
        </w:rPr>
      </w:pPr>
    </w:p>
    <w:p w:rsidR="00437F4A" w:rsidRPr="00437F4A" w:rsidRDefault="00437F4A" w:rsidP="00437F4A">
      <w:pPr>
        <w:ind w:left="6379"/>
        <w:jc w:val="both"/>
        <w:rPr>
          <w:b/>
          <w:sz w:val="26"/>
          <w:szCs w:val="26"/>
          <w:lang w:val="bg-BG" w:eastAsia="bg-BG"/>
        </w:rPr>
      </w:pPr>
      <w:r w:rsidRPr="00437F4A">
        <w:rPr>
          <w:b/>
          <w:sz w:val="26"/>
          <w:szCs w:val="26"/>
          <w:lang w:val="bg-BG" w:eastAsia="bg-BG"/>
        </w:rPr>
        <w:t>ИВО КАЦАРОВ</w:t>
      </w:r>
    </w:p>
    <w:p w:rsidR="00437F4A" w:rsidRPr="00437F4A" w:rsidRDefault="00437F4A" w:rsidP="00437F4A">
      <w:pPr>
        <w:ind w:left="3261" w:firstLine="283"/>
        <w:jc w:val="both"/>
        <w:rPr>
          <w:lang w:val="bg-BG" w:eastAsia="bg-BG"/>
        </w:rPr>
      </w:pPr>
      <w:r w:rsidRPr="00437F4A">
        <w:rPr>
          <w:lang w:val="bg-BG" w:eastAsia="bg-BG"/>
        </w:rPr>
        <w:t>/Определен със Заповед №</w:t>
      </w:r>
      <w:r w:rsidRPr="00437F4A">
        <w:rPr>
          <w:lang w:eastAsia="bg-BG"/>
        </w:rPr>
        <w:t xml:space="preserve"> </w:t>
      </w:r>
      <w:r w:rsidRPr="00437F4A">
        <w:rPr>
          <w:lang w:val="bg-BG" w:eastAsia="bg-BG"/>
        </w:rPr>
        <w:t>РД-10/27.0</w:t>
      </w:r>
      <w:r w:rsidRPr="00437F4A">
        <w:rPr>
          <w:lang w:eastAsia="bg-BG"/>
        </w:rPr>
        <w:t>2</w:t>
      </w:r>
      <w:r w:rsidRPr="00437F4A">
        <w:rPr>
          <w:lang w:val="bg-BG" w:eastAsia="bg-BG"/>
        </w:rPr>
        <w:t>.2012 г./</w:t>
      </w:r>
    </w:p>
    <w:p w:rsidR="00437F4A" w:rsidRPr="00437F4A" w:rsidRDefault="00437F4A" w:rsidP="00437F4A">
      <w:pPr>
        <w:ind w:left="6372"/>
        <w:jc w:val="both"/>
        <w:rPr>
          <w:b/>
          <w:sz w:val="26"/>
          <w:szCs w:val="26"/>
          <w:lang w:val="bg-BG" w:eastAsia="bg-BG"/>
        </w:rPr>
      </w:pPr>
    </w:p>
    <w:p w:rsidR="00437F4A" w:rsidRPr="00437F4A" w:rsidRDefault="00437F4A" w:rsidP="00437F4A">
      <w:pPr>
        <w:ind w:left="6372"/>
        <w:jc w:val="both"/>
        <w:rPr>
          <w:b/>
          <w:sz w:val="26"/>
          <w:szCs w:val="26"/>
          <w:lang w:val="bg-BG" w:eastAsia="bg-BG"/>
        </w:rPr>
      </w:pPr>
    </w:p>
    <w:p w:rsidR="00257C65" w:rsidRPr="00115E8A" w:rsidRDefault="00257C65" w:rsidP="00257C65">
      <w:pPr>
        <w:tabs>
          <w:tab w:val="left" w:pos="1440"/>
        </w:tabs>
        <w:jc w:val="both"/>
        <w:rPr>
          <w:b/>
          <w:sz w:val="26"/>
          <w:szCs w:val="26"/>
        </w:rPr>
      </w:pPr>
      <w:proofErr w:type="spellStart"/>
      <w:r w:rsidRPr="00115E8A">
        <w:rPr>
          <w:b/>
          <w:sz w:val="26"/>
          <w:szCs w:val="26"/>
        </w:rPr>
        <w:t>Вярно</w:t>
      </w:r>
      <w:proofErr w:type="spellEnd"/>
      <w:r w:rsidRPr="00115E8A">
        <w:rPr>
          <w:b/>
          <w:sz w:val="26"/>
          <w:szCs w:val="26"/>
        </w:rPr>
        <w:t xml:space="preserve"> с </w:t>
      </w:r>
      <w:proofErr w:type="spellStart"/>
      <w:r w:rsidRPr="00115E8A">
        <w:rPr>
          <w:b/>
          <w:sz w:val="26"/>
          <w:szCs w:val="26"/>
        </w:rPr>
        <w:t>оригинала</w:t>
      </w:r>
      <w:proofErr w:type="spellEnd"/>
      <w:r w:rsidRPr="00115E8A">
        <w:rPr>
          <w:b/>
          <w:sz w:val="26"/>
          <w:szCs w:val="26"/>
        </w:rPr>
        <w:t xml:space="preserve">, </w:t>
      </w:r>
    </w:p>
    <w:p w:rsidR="00437F4A" w:rsidRPr="00CF5790" w:rsidRDefault="00257C65" w:rsidP="00257C65">
      <w:pPr>
        <w:jc w:val="both"/>
        <w:rPr>
          <w:sz w:val="22"/>
          <w:szCs w:val="22"/>
          <w:lang w:val="bg-BG"/>
        </w:rPr>
      </w:pPr>
      <w:proofErr w:type="spellStart"/>
      <w:proofErr w:type="gramStart"/>
      <w:r w:rsidRPr="00115E8A">
        <w:rPr>
          <w:b/>
          <w:sz w:val="26"/>
          <w:szCs w:val="26"/>
        </w:rPr>
        <w:t>подписан</w:t>
      </w:r>
      <w:proofErr w:type="spellEnd"/>
      <w:proofErr w:type="gramEnd"/>
      <w:r w:rsidRPr="00115E8A">
        <w:rPr>
          <w:b/>
          <w:sz w:val="26"/>
          <w:szCs w:val="26"/>
        </w:rPr>
        <w:t xml:space="preserve"> </w:t>
      </w:r>
      <w:proofErr w:type="spellStart"/>
      <w:r w:rsidRPr="00115E8A">
        <w:rPr>
          <w:b/>
          <w:sz w:val="26"/>
          <w:szCs w:val="26"/>
        </w:rPr>
        <w:t>на</w:t>
      </w:r>
      <w:proofErr w:type="spellEnd"/>
      <w:r w:rsidRPr="00115E8A">
        <w:rPr>
          <w:b/>
          <w:sz w:val="26"/>
          <w:szCs w:val="26"/>
        </w:rPr>
        <w:t xml:space="preserve"> </w:t>
      </w:r>
      <w:proofErr w:type="spellStart"/>
      <w:r w:rsidRPr="00115E8A">
        <w:rPr>
          <w:b/>
          <w:sz w:val="26"/>
          <w:szCs w:val="26"/>
        </w:rPr>
        <w:t>хартия</w:t>
      </w:r>
      <w:proofErr w:type="spellEnd"/>
      <w:r w:rsidR="00437F4A" w:rsidRPr="00CF5790">
        <w:rPr>
          <w:sz w:val="22"/>
          <w:szCs w:val="22"/>
          <w:lang w:val="bg-BG"/>
        </w:rPr>
        <w:t>“</w:t>
      </w:r>
    </w:p>
    <w:sectPr w:rsidR="00437F4A" w:rsidRPr="00CF5790" w:rsidSect="00257C65">
      <w:headerReference w:type="even" r:id="rId9"/>
      <w:headerReference w:type="default" r:id="rId10"/>
      <w:footerReference w:type="even" r:id="rId11"/>
      <w:footerReference w:type="default" r:id="rId12"/>
      <w:headerReference w:type="first" r:id="rId13"/>
      <w:footerReference w:type="first" r:id="rId14"/>
      <w:footnotePr>
        <w:numFmt w:val="chicago"/>
        <w:numRestart w:val="eachSect"/>
      </w:footnotePr>
      <w:pgSz w:w="11907" w:h="16840" w:code="9"/>
      <w:pgMar w:top="1560" w:right="1622" w:bottom="1077" w:left="1797" w:header="357" w:footer="454" w:gutter="0"/>
      <w:pgNumType w:chapStyle="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80A" w:rsidRDefault="0014580A" w:rsidP="000C3BC6">
      <w:r>
        <w:separator/>
      </w:r>
    </w:p>
  </w:endnote>
  <w:endnote w:type="continuationSeparator" w:id="0">
    <w:p w:rsidR="0014580A" w:rsidRDefault="0014580A" w:rsidP="000C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80A" w:rsidRDefault="0014580A" w:rsidP="000D74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14580A" w:rsidRDefault="0014580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80A" w:rsidRDefault="0014580A" w:rsidP="005B4FCB">
    <w:pPr>
      <w:pStyle w:val="Footer"/>
    </w:pPr>
    <w:r>
      <w:fldChar w:fldCharType="begin"/>
    </w:r>
    <w:r>
      <w:instrText xml:space="preserve"> IF </w:instrText>
    </w:r>
    <w:r>
      <w:fldChar w:fldCharType="begin"/>
    </w:r>
    <w:r>
      <w:instrText xml:space="preserve"> PAGE </w:instrText>
    </w:r>
    <w:r>
      <w:fldChar w:fldCharType="separate"/>
    </w:r>
    <w:r w:rsidR="00C83058">
      <w:rPr>
        <w:noProof/>
      </w:rPr>
      <w:instrText>1</w:instrText>
    </w:r>
    <w:r>
      <w:rPr>
        <w:noProof/>
      </w:rPr>
      <w:fldChar w:fldCharType="end"/>
    </w:r>
    <w:r>
      <w:instrText xml:space="preserve"> = </w:instrText>
    </w:r>
    <w:r w:rsidR="00C83058">
      <w:fldChar w:fldCharType="begin"/>
    </w:r>
    <w:r w:rsidR="00C83058">
      <w:instrText xml:space="preserve"> NUMPAGES </w:instrText>
    </w:r>
    <w:r w:rsidR="00C83058">
      <w:fldChar w:fldCharType="separate"/>
    </w:r>
    <w:r w:rsidR="00C83058">
      <w:rPr>
        <w:noProof/>
      </w:rPr>
      <w:instrText>6</w:instrText>
    </w:r>
    <w:r w:rsidR="00C83058">
      <w:rPr>
        <w:noProof/>
      </w:rPr>
      <w:fldChar w:fldCharType="end"/>
    </w:r>
  </w:p>
  <w:p w:rsidR="0014580A" w:rsidRPr="00B20AA2" w:rsidRDefault="0014580A" w:rsidP="000D745D">
    <w:pPr>
      <w:pStyle w:val="Footer"/>
      <w:jc w:val="both"/>
      <w:rPr>
        <w:lang w:val="bg-BG"/>
      </w:rPr>
    </w:pPr>
    <w:r w:rsidRPr="00B03386">
      <w:rPr>
        <w:lang w:val="ru-RU"/>
      </w:rPr>
      <w:instrText>"______________________________________________________________________*</w:instrText>
    </w:r>
    <w:r w:rsidRPr="00B3233C">
      <w:rPr>
        <w:b/>
        <w:i/>
        <w:sz w:val="20"/>
        <w:szCs w:val="20"/>
        <w:lang w:val="bg-BG"/>
      </w:rPr>
      <w:instrText xml:space="preserve">Забележка: </w:instrText>
    </w:r>
    <w:r w:rsidRPr="00B3233C">
      <w:rPr>
        <w:sz w:val="20"/>
        <w:szCs w:val="20"/>
        <w:lang w:val="bg-BG"/>
      </w:rPr>
      <w:instrText xml:space="preserve">В съответствие с чл. 50, ал. </w:instrText>
    </w:r>
    <w:r>
      <w:rPr>
        <w:sz w:val="20"/>
        <w:szCs w:val="20"/>
      </w:rPr>
      <w:instrText>7</w:instrText>
    </w:r>
    <w:r w:rsidRPr="00B3233C">
      <w:rPr>
        <w:sz w:val="20"/>
        <w:szCs w:val="20"/>
        <w:lang w:val="bg-BG"/>
      </w:rPr>
      <w:instrText xml:space="preserve"> от ППЗОП становището на АОП не е задължително за възложителя, който съгласно закона носи отговорността за провеждане на процедурата. В случай че възложителят приеме за основателно негативното становище на АОП, той може да прекрати процедурата на основанията, посочени в закона. Ако възложителят счита, че разполага с неопровержими доказателства относно законосъобразността на избора на процедура, няма пречка тя да продължи независимо от становището на АОП</w:instrText>
    </w:r>
    <w:r w:rsidRPr="00B03386">
      <w:rPr>
        <w:lang w:val="ru-RU"/>
      </w:rPr>
      <w:instrText>"</w:instrText>
    </w:r>
    <w:r>
      <w:fldChar w:fldCharType="end"/>
    </w:r>
    <w:r>
      <w:rPr>
        <w:lang w:val="bg-BG"/>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80A" w:rsidRDefault="001458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80A" w:rsidRDefault="0014580A" w:rsidP="000C3BC6">
      <w:r>
        <w:separator/>
      </w:r>
    </w:p>
  </w:footnote>
  <w:footnote w:type="continuationSeparator" w:id="0">
    <w:p w:rsidR="0014580A" w:rsidRDefault="0014580A" w:rsidP="000C3B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80A" w:rsidRDefault="001458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80A" w:rsidRDefault="001458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80A" w:rsidRDefault="001458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CF2E40"/>
    <w:multiLevelType w:val="hybridMultilevel"/>
    <w:tmpl w:val="EC3AF3A8"/>
    <w:lvl w:ilvl="0" w:tplc="DB68AA8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59E275C3"/>
    <w:multiLevelType w:val="hybridMultilevel"/>
    <w:tmpl w:val="F1A2660C"/>
    <w:lvl w:ilvl="0" w:tplc="57FCBCBA">
      <w:start w:val="1"/>
      <w:numFmt w:val="decimal"/>
      <w:lvlText w:val="%1."/>
      <w:lvlJc w:val="left"/>
      <w:pPr>
        <w:tabs>
          <w:tab w:val="num" w:pos="403"/>
        </w:tabs>
        <w:ind w:left="403" w:hanging="360"/>
      </w:pPr>
      <w:rPr>
        <w:rFonts w:hint="default"/>
        <w:b/>
      </w:rPr>
    </w:lvl>
    <w:lvl w:ilvl="1" w:tplc="04020001">
      <w:start w:val="1"/>
      <w:numFmt w:val="bullet"/>
      <w:lvlText w:val=""/>
      <w:lvlJc w:val="left"/>
      <w:pPr>
        <w:tabs>
          <w:tab w:val="num" w:pos="1123"/>
        </w:tabs>
        <w:ind w:left="1123" w:hanging="360"/>
      </w:pPr>
      <w:rPr>
        <w:rFonts w:ascii="Symbol" w:hAnsi="Symbol" w:hint="default"/>
        <w:b/>
      </w:rPr>
    </w:lvl>
    <w:lvl w:ilvl="2" w:tplc="0402001B" w:tentative="1">
      <w:start w:val="1"/>
      <w:numFmt w:val="lowerRoman"/>
      <w:lvlText w:val="%3."/>
      <w:lvlJc w:val="right"/>
      <w:pPr>
        <w:tabs>
          <w:tab w:val="num" w:pos="1843"/>
        </w:tabs>
        <w:ind w:left="1843" w:hanging="180"/>
      </w:pPr>
    </w:lvl>
    <w:lvl w:ilvl="3" w:tplc="0402000F" w:tentative="1">
      <w:start w:val="1"/>
      <w:numFmt w:val="decimal"/>
      <w:lvlText w:val="%4."/>
      <w:lvlJc w:val="left"/>
      <w:pPr>
        <w:tabs>
          <w:tab w:val="num" w:pos="2563"/>
        </w:tabs>
        <w:ind w:left="2563" w:hanging="360"/>
      </w:pPr>
    </w:lvl>
    <w:lvl w:ilvl="4" w:tplc="04020019" w:tentative="1">
      <w:start w:val="1"/>
      <w:numFmt w:val="lowerLetter"/>
      <w:lvlText w:val="%5."/>
      <w:lvlJc w:val="left"/>
      <w:pPr>
        <w:tabs>
          <w:tab w:val="num" w:pos="3283"/>
        </w:tabs>
        <w:ind w:left="3283" w:hanging="360"/>
      </w:pPr>
    </w:lvl>
    <w:lvl w:ilvl="5" w:tplc="0402001B" w:tentative="1">
      <w:start w:val="1"/>
      <w:numFmt w:val="lowerRoman"/>
      <w:lvlText w:val="%6."/>
      <w:lvlJc w:val="right"/>
      <w:pPr>
        <w:tabs>
          <w:tab w:val="num" w:pos="4003"/>
        </w:tabs>
        <w:ind w:left="4003" w:hanging="180"/>
      </w:pPr>
    </w:lvl>
    <w:lvl w:ilvl="6" w:tplc="0402000F" w:tentative="1">
      <w:start w:val="1"/>
      <w:numFmt w:val="decimal"/>
      <w:lvlText w:val="%7."/>
      <w:lvlJc w:val="left"/>
      <w:pPr>
        <w:tabs>
          <w:tab w:val="num" w:pos="4723"/>
        </w:tabs>
        <w:ind w:left="4723" w:hanging="360"/>
      </w:pPr>
    </w:lvl>
    <w:lvl w:ilvl="7" w:tplc="04020019" w:tentative="1">
      <w:start w:val="1"/>
      <w:numFmt w:val="lowerLetter"/>
      <w:lvlText w:val="%8."/>
      <w:lvlJc w:val="left"/>
      <w:pPr>
        <w:tabs>
          <w:tab w:val="num" w:pos="5443"/>
        </w:tabs>
        <w:ind w:left="5443" w:hanging="360"/>
      </w:pPr>
    </w:lvl>
    <w:lvl w:ilvl="8" w:tplc="0402001B" w:tentative="1">
      <w:start w:val="1"/>
      <w:numFmt w:val="lowerRoman"/>
      <w:lvlText w:val="%9."/>
      <w:lvlJc w:val="right"/>
      <w:pPr>
        <w:tabs>
          <w:tab w:val="num" w:pos="6163"/>
        </w:tabs>
        <w:ind w:left="616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numFmt w:val="chicago"/>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958"/>
    <w:rsid w:val="000C0606"/>
    <w:rsid w:val="000C0B13"/>
    <w:rsid w:val="000C3BC6"/>
    <w:rsid w:val="000D745D"/>
    <w:rsid w:val="00103BE6"/>
    <w:rsid w:val="0014580A"/>
    <w:rsid w:val="00161315"/>
    <w:rsid w:val="00171407"/>
    <w:rsid w:val="00192DAA"/>
    <w:rsid w:val="001B7313"/>
    <w:rsid w:val="00257C65"/>
    <w:rsid w:val="00276921"/>
    <w:rsid w:val="0028161D"/>
    <w:rsid w:val="002C4608"/>
    <w:rsid w:val="003219D6"/>
    <w:rsid w:val="00332F42"/>
    <w:rsid w:val="004248A0"/>
    <w:rsid w:val="00437F4A"/>
    <w:rsid w:val="004764DD"/>
    <w:rsid w:val="004C771D"/>
    <w:rsid w:val="00570341"/>
    <w:rsid w:val="00581520"/>
    <w:rsid w:val="005905AB"/>
    <w:rsid w:val="005B4FCB"/>
    <w:rsid w:val="006179D5"/>
    <w:rsid w:val="006F1D85"/>
    <w:rsid w:val="007877EB"/>
    <w:rsid w:val="008170EC"/>
    <w:rsid w:val="00852128"/>
    <w:rsid w:val="008750A9"/>
    <w:rsid w:val="00881A09"/>
    <w:rsid w:val="00916C36"/>
    <w:rsid w:val="00942927"/>
    <w:rsid w:val="009774E2"/>
    <w:rsid w:val="0099615B"/>
    <w:rsid w:val="009B6958"/>
    <w:rsid w:val="009E65CD"/>
    <w:rsid w:val="00A007F6"/>
    <w:rsid w:val="00A12910"/>
    <w:rsid w:val="00A80443"/>
    <w:rsid w:val="00A85671"/>
    <w:rsid w:val="00AD0EDE"/>
    <w:rsid w:val="00AD4525"/>
    <w:rsid w:val="00BB1B4A"/>
    <w:rsid w:val="00C04082"/>
    <w:rsid w:val="00C15A88"/>
    <w:rsid w:val="00C26F7C"/>
    <w:rsid w:val="00C40E65"/>
    <w:rsid w:val="00C83058"/>
    <w:rsid w:val="00CF5790"/>
    <w:rsid w:val="00D25C8E"/>
    <w:rsid w:val="00D97F7C"/>
    <w:rsid w:val="00DD15B7"/>
    <w:rsid w:val="00DE4551"/>
    <w:rsid w:val="00E65B35"/>
    <w:rsid w:val="00E763E6"/>
    <w:rsid w:val="00EA743E"/>
    <w:rsid w:val="00EC561B"/>
    <w:rsid w:val="00F03002"/>
    <w:rsid w:val="00F17901"/>
    <w:rsid w:val="00FE54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606"/>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0C0606"/>
    <w:pPr>
      <w:keepNext/>
      <w:autoSpaceDE w:val="0"/>
      <w:autoSpaceDN w:val="0"/>
      <w:adjustRightInd w:val="0"/>
      <w:outlineLvl w:val="2"/>
    </w:pPr>
    <w:rPr>
      <w:b/>
      <w:bCs/>
      <w:szCs w:val="17"/>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C0606"/>
    <w:rPr>
      <w:rFonts w:ascii="Times New Roman" w:eastAsia="Times New Roman" w:hAnsi="Times New Roman" w:cs="Times New Roman"/>
      <w:b/>
      <w:bCs/>
      <w:sz w:val="24"/>
      <w:szCs w:val="17"/>
      <w:lang w:val="bg-BG"/>
    </w:rPr>
  </w:style>
  <w:style w:type="paragraph" w:styleId="Footer">
    <w:name w:val="footer"/>
    <w:basedOn w:val="Normal"/>
    <w:link w:val="FooterChar"/>
    <w:rsid w:val="000C0606"/>
    <w:pPr>
      <w:tabs>
        <w:tab w:val="center" w:pos="4320"/>
        <w:tab w:val="right" w:pos="8640"/>
      </w:tabs>
    </w:pPr>
  </w:style>
  <w:style w:type="character" w:customStyle="1" w:styleId="FooterChar">
    <w:name w:val="Footer Char"/>
    <w:basedOn w:val="DefaultParagraphFont"/>
    <w:link w:val="Footer"/>
    <w:rsid w:val="000C0606"/>
    <w:rPr>
      <w:rFonts w:ascii="Times New Roman" w:eastAsia="Times New Roman" w:hAnsi="Times New Roman" w:cs="Times New Roman"/>
      <w:sz w:val="24"/>
      <w:szCs w:val="24"/>
    </w:rPr>
  </w:style>
  <w:style w:type="character" w:styleId="PageNumber">
    <w:name w:val="page number"/>
    <w:basedOn w:val="DefaultParagraphFont"/>
    <w:rsid w:val="000C0606"/>
  </w:style>
  <w:style w:type="paragraph" w:styleId="BodyTextIndent3">
    <w:name w:val="Body Text Indent 3"/>
    <w:basedOn w:val="Normal"/>
    <w:link w:val="BodyTextIndent3Char"/>
    <w:rsid w:val="000C0606"/>
    <w:pPr>
      <w:spacing w:after="120"/>
      <w:ind w:left="283"/>
    </w:pPr>
    <w:rPr>
      <w:sz w:val="16"/>
      <w:szCs w:val="16"/>
      <w:lang w:val="bg-BG" w:eastAsia="bg-BG"/>
    </w:rPr>
  </w:style>
  <w:style w:type="character" w:customStyle="1" w:styleId="BodyTextIndent3Char">
    <w:name w:val="Body Text Indent 3 Char"/>
    <w:basedOn w:val="DefaultParagraphFont"/>
    <w:link w:val="BodyTextIndent3"/>
    <w:rsid w:val="000C0606"/>
    <w:rPr>
      <w:rFonts w:ascii="Times New Roman" w:eastAsia="Times New Roman" w:hAnsi="Times New Roman" w:cs="Times New Roman"/>
      <w:sz w:val="16"/>
      <w:szCs w:val="16"/>
      <w:lang w:val="bg-BG" w:eastAsia="bg-BG"/>
    </w:rPr>
  </w:style>
  <w:style w:type="paragraph" w:styleId="Header">
    <w:name w:val="header"/>
    <w:basedOn w:val="Normal"/>
    <w:link w:val="HeaderChar"/>
    <w:uiPriority w:val="99"/>
    <w:unhideWhenUsed/>
    <w:rsid w:val="000C3BC6"/>
    <w:pPr>
      <w:tabs>
        <w:tab w:val="center" w:pos="4680"/>
        <w:tab w:val="right" w:pos="9360"/>
      </w:tabs>
    </w:pPr>
  </w:style>
  <w:style w:type="character" w:customStyle="1" w:styleId="HeaderChar">
    <w:name w:val="Header Char"/>
    <w:basedOn w:val="DefaultParagraphFont"/>
    <w:link w:val="Header"/>
    <w:uiPriority w:val="99"/>
    <w:rsid w:val="000C3BC6"/>
    <w:rPr>
      <w:rFonts w:ascii="Times New Roman" w:eastAsia="Times New Roman" w:hAnsi="Times New Roman" w:cs="Times New Roman"/>
      <w:sz w:val="24"/>
      <w:szCs w:val="24"/>
    </w:rPr>
  </w:style>
  <w:style w:type="paragraph" w:customStyle="1" w:styleId="Default">
    <w:name w:val="Default"/>
    <w:rsid w:val="001B7313"/>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192DAA"/>
    <w:rPr>
      <w:sz w:val="20"/>
      <w:szCs w:val="20"/>
    </w:rPr>
  </w:style>
  <w:style w:type="character" w:customStyle="1" w:styleId="EndnoteTextChar">
    <w:name w:val="Endnote Text Char"/>
    <w:basedOn w:val="DefaultParagraphFont"/>
    <w:link w:val="EndnoteText"/>
    <w:uiPriority w:val="99"/>
    <w:semiHidden/>
    <w:rsid w:val="00192DA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192DAA"/>
    <w:rPr>
      <w:vertAlign w:val="superscript"/>
    </w:rPr>
  </w:style>
  <w:style w:type="paragraph" w:styleId="BalloonText">
    <w:name w:val="Balloon Text"/>
    <w:basedOn w:val="Normal"/>
    <w:link w:val="BalloonTextChar"/>
    <w:uiPriority w:val="99"/>
    <w:semiHidden/>
    <w:unhideWhenUsed/>
    <w:rsid w:val="005B4FCB"/>
    <w:rPr>
      <w:rFonts w:ascii="Tahoma" w:hAnsi="Tahoma" w:cs="Tahoma"/>
      <w:sz w:val="16"/>
      <w:szCs w:val="16"/>
    </w:rPr>
  </w:style>
  <w:style w:type="character" w:customStyle="1" w:styleId="BalloonTextChar">
    <w:name w:val="Balloon Text Char"/>
    <w:basedOn w:val="DefaultParagraphFont"/>
    <w:link w:val="BalloonText"/>
    <w:uiPriority w:val="99"/>
    <w:semiHidden/>
    <w:rsid w:val="005B4FC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40E65"/>
    <w:rPr>
      <w:sz w:val="16"/>
      <w:szCs w:val="16"/>
    </w:rPr>
  </w:style>
  <w:style w:type="paragraph" w:styleId="CommentText">
    <w:name w:val="annotation text"/>
    <w:basedOn w:val="Normal"/>
    <w:link w:val="CommentTextChar"/>
    <w:uiPriority w:val="99"/>
    <w:semiHidden/>
    <w:unhideWhenUsed/>
    <w:rsid w:val="00C40E65"/>
    <w:rPr>
      <w:sz w:val="20"/>
      <w:szCs w:val="20"/>
    </w:rPr>
  </w:style>
  <w:style w:type="character" w:customStyle="1" w:styleId="CommentTextChar">
    <w:name w:val="Comment Text Char"/>
    <w:basedOn w:val="DefaultParagraphFont"/>
    <w:link w:val="CommentText"/>
    <w:uiPriority w:val="99"/>
    <w:semiHidden/>
    <w:rsid w:val="00C40E65"/>
    <w:rPr>
      <w:rFonts w:ascii="Times New Roman" w:eastAsia="Times New Roman" w:hAnsi="Times New Roman" w:cs="Times New Roman"/>
      <w:sz w:val="20"/>
      <w:szCs w:val="20"/>
    </w:rPr>
  </w:style>
  <w:style w:type="paragraph" w:styleId="NormalWeb">
    <w:name w:val="Normal (Web)"/>
    <w:basedOn w:val="Normal"/>
    <w:uiPriority w:val="99"/>
    <w:unhideWhenUsed/>
    <w:rsid w:val="00C40E65"/>
    <w:pPr>
      <w:spacing w:before="100" w:beforeAutospacing="1" w:after="100" w:afterAutospacing="1"/>
    </w:pPr>
    <w:rPr>
      <w:lang w:val="bg-BG" w:eastAsia="bg-BG"/>
    </w:rPr>
  </w:style>
  <w:style w:type="paragraph" w:styleId="ListParagraph">
    <w:name w:val="List Paragraph"/>
    <w:basedOn w:val="Normal"/>
    <w:uiPriority w:val="34"/>
    <w:qFormat/>
    <w:rsid w:val="00C40E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606"/>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0C0606"/>
    <w:pPr>
      <w:keepNext/>
      <w:autoSpaceDE w:val="0"/>
      <w:autoSpaceDN w:val="0"/>
      <w:adjustRightInd w:val="0"/>
      <w:outlineLvl w:val="2"/>
    </w:pPr>
    <w:rPr>
      <w:b/>
      <w:bCs/>
      <w:szCs w:val="17"/>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C0606"/>
    <w:rPr>
      <w:rFonts w:ascii="Times New Roman" w:eastAsia="Times New Roman" w:hAnsi="Times New Roman" w:cs="Times New Roman"/>
      <w:b/>
      <w:bCs/>
      <w:sz w:val="24"/>
      <w:szCs w:val="17"/>
      <w:lang w:val="bg-BG"/>
    </w:rPr>
  </w:style>
  <w:style w:type="paragraph" w:styleId="Footer">
    <w:name w:val="footer"/>
    <w:basedOn w:val="Normal"/>
    <w:link w:val="FooterChar"/>
    <w:rsid w:val="000C0606"/>
    <w:pPr>
      <w:tabs>
        <w:tab w:val="center" w:pos="4320"/>
        <w:tab w:val="right" w:pos="8640"/>
      </w:tabs>
    </w:pPr>
  </w:style>
  <w:style w:type="character" w:customStyle="1" w:styleId="FooterChar">
    <w:name w:val="Footer Char"/>
    <w:basedOn w:val="DefaultParagraphFont"/>
    <w:link w:val="Footer"/>
    <w:rsid w:val="000C0606"/>
    <w:rPr>
      <w:rFonts w:ascii="Times New Roman" w:eastAsia="Times New Roman" w:hAnsi="Times New Roman" w:cs="Times New Roman"/>
      <w:sz w:val="24"/>
      <w:szCs w:val="24"/>
    </w:rPr>
  </w:style>
  <w:style w:type="character" w:styleId="PageNumber">
    <w:name w:val="page number"/>
    <w:basedOn w:val="DefaultParagraphFont"/>
    <w:rsid w:val="000C0606"/>
  </w:style>
  <w:style w:type="paragraph" w:styleId="BodyTextIndent3">
    <w:name w:val="Body Text Indent 3"/>
    <w:basedOn w:val="Normal"/>
    <w:link w:val="BodyTextIndent3Char"/>
    <w:rsid w:val="000C0606"/>
    <w:pPr>
      <w:spacing w:after="120"/>
      <w:ind w:left="283"/>
    </w:pPr>
    <w:rPr>
      <w:sz w:val="16"/>
      <w:szCs w:val="16"/>
      <w:lang w:val="bg-BG" w:eastAsia="bg-BG"/>
    </w:rPr>
  </w:style>
  <w:style w:type="character" w:customStyle="1" w:styleId="BodyTextIndent3Char">
    <w:name w:val="Body Text Indent 3 Char"/>
    <w:basedOn w:val="DefaultParagraphFont"/>
    <w:link w:val="BodyTextIndent3"/>
    <w:rsid w:val="000C0606"/>
    <w:rPr>
      <w:rFonts w:ascii="Times New Roman" w:eastAsia="Times New Roman" w:hAnsi="Times New Roman" w:cs="Times New Roman"/>
      <w:sz w:val="16"/>
      <w:szCs w:val="16"/>
      <w:lang w:val="bg-BG" w:eastAsia="bg-BG"/>
    </w:rPr>
  </w:style>
  <w:style w:type="paragraph" w:styleId="Header">
    <w:name w:val="header"/>
    <w:basedOn w:val="Normal"/>
    <w:link w:val="HeaderChar"/>
    <w:uiPriority w:val="99"/>
    <w:unhideWhenUsed/>
    <w:rsid w:val="000C3BC6"/>
    <w:pPr>
      <w:tabs>
        <w:tab w:val="center" w:pos="4680"/>
        <w:tab w:val="right" w:pos="9360"/>
      </w:tabs>
    </w:pPr>
  </w:style>
  <w:style w:type="character" w:customStyle="1" w:styleId="HeaderChar">
    <w:name w:val="Header Char"/>
    <w:basedOn w:val="DefaultParagraphFont"/>
    <w:link w:val="Header"/>
    <w:uiPriority w:val="99"/>
    <w:rsid w:val="000C3BC6"/>
    <w:rPr>
      <w:rFonts w:ascii="Times New Roman" w:eastAsia="Times New Roman" w:hAnsi="Times New Roman" w:cs="Times New Roman"/>
      <w:sz w:val="24"/>
      <w:szCs w:val="24"/>
    </w:rPr>
  </w:style>
  <w:style w:type="paragraph" w:customStyle="1" w:styleId="Default">
    <w:name w:val="Default"/>
    <w:rsid w:val="001B7313"/>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192DAA"/>
    <w:rPr>
      <w:sz w:val="20"/>
      <w:szCs w:val="20"/>
    </w:rPr>
  </w:style>
  <w:style w:type="character" w:customStyle="1" w:styleId="EndnoteTextChar">
    <w:name w:val="Endnote Text Char"/>
    <w:basedOn w:val="DefaultParagraphFont"/>
    <w:link w:val="EndnoteText"/>
    <w:uiPriority w:val="99"/>
    <w:semiHidden/>
    <w:rsid w:val="00192DA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192DAA"/>
    <w:rPr>
      <w:vertAlign w:val="superscript"/>
    </w:rPr>
  </w:style>
  <w:style w:type="paragraph" w:styleId="BalloonText">
    <w:name w:val="Balloon Text"/>
    <w:basedOn w:val="Normal"/>
    <w:link w:val="BalloonTextChar"/>
    <w:uiPriority w:val="99"/>
    <w:semiHidden/>
    <w:unhideWhenUsed/>
    <w:rsid w:val="005B4FCB"/>
    <w:rPr>
      <w:rFonts w:ascii="Tahoma" w:hAnsi="Tahoma" w:cs="Tahoma"/>
      <w:sz w:val="16"/>
      <w:szCs w:val="16"/>
    </w:rPr>
  </w:style>
  <w:style w:type="character" w:customStyle="1" w:styleId="BalloonTextChar">
    <w:name w:val="Balloon Text Char"/>
    <w:basedOn w:val="DefaultParagraphFont"/>
    <w:link w:val="BalloonText"/>
    <w:uiPriority w:val="99"/>
    <w:semiHidden/>
    <w:rsid w:val="005B4FC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40E65"/>
    <w:rPr>
      <w:sz w:val="16"/>
      <w:szCs w:val="16"/>
    </w:rPr>
  </w:style>
  <w:style w:type="paragraph" w:styleId="CommentText">
    <w:name w:val="annotation text"/>
    <w:basedOn w:val="Normal"/>
    <w:link w:val="CommentTextChar"/>
    <w:uiPriority w:val="99"/>
    <w:semiHidden/>
    <w:unhideWhenUsed/>
    <w:rsid w:val="00C40E65"/>
    <w:rPr>
      <w:sz w:val="20"/>
      <w:szCs w:val="20"/>
    </w:rPr>
  </w:style>
  <w:style w:type="character" w:customStyle="1" w:styleId="CommentTextChar">
    <w:name w:val="Comment Text Char"/>
    <w:basedOn w:val="DefaultParagraphFont"/>
    <w:link w:val="CommentText"/>
    <w:uiPriority w:val="99"/>
    <w:semiHidden/>
    <w:rsid w:val="00C40E65"/>
    <w:rPr>
      <w:rFonts w:ascii="Times New Roman" w:eastAsia="Times New Roman" w:hAnsi="Times New Roman" w:cs="Times New Roman"/>
      <w:sz w:val="20"/>
      <w:szCs w:val="20"/>
    </w:rPr>
  </w:style>
  <w:style w:type="paragraph" w:styleId="NormalWeb">
    <w:name w:val="Normal (Web)"/>
    <w:basedOn w:val="Normal"/>
    <w:uiPriority w:val="99"/>
    <w:unhideWhenUsed/>
    <w:rsid w:val="00C40E65"/>
    <w:pPr>
      <w:spacing w:before="100" w:beforeAutospacing="1" w:after="100" w:afterAutospacing="1"/>
    </w:pPr>
    <w:rPr>
      <w:lang w:val="bg-BG" w:eastAsia="bg-BG"/>
    </w:rPr>
  </w:style>
  <w:style w:type="paragraph" w:styleId="ListParagraph">
    <w:name w:val="List Paragraph"/>
    <w:basedOn w:val="Normal"/>
    <w:uiPriority w:val="34"/>
    <w:qFormat/>
    <w:rsid w:val="00C40E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53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F6D5A-0B55-4F89-96C3-30A326B23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1974</Words>
  <Characters>11255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Krasimira Cvetkova</dc:creator>
  <cp:lastModifiedBy>p.belova</cp:lastModifiedBy>
  <cp:revision>4</cp:revision>
  <cp:lastPrinted>2015-01-13T10:39:00Z</cp:lastPrinted>
  <dcterms:created xsi:type="dcterms:W3CDTF">2015-03-05T14:35:00Z</dcterms:created>
  <dcterms:modified xsi:type="dcterms:W3CDTF">2015-03-05T14:37:00Z</dcterms:modified>
</cp:coreProperties>
</file>