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324EF3" w:rsidTr="00324EF3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24EF3" w:rsidRDefault="00F151E0" w:rsidP="00E67E54">
            <w:pPr>
              <w:pStyle w:val="ZCom"/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53.25pt" fillcolor="window">
                  <v:imagedata r:id="rId9" o:title="logo_ec_17_colors_300dpi"/>
                </v:shape>
              </w:pic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24EF3" w:rsidRDefault="00324EF3" w:rsidP="00E67E54">
            <w:pPr>
              <w:pStyle w:val="ZCom"/>
              <w:spacing w:before="90"/>
            </w:pPr>
            <w:r>
              <w:t>ЕВРОПЕЙСКА КОМИСИЯ</w:t>
            </w:r>
          </w:p>
          <w:p w:rsidR="00324EF3" w:rsidRDefault="00324EF3" w:rsidP="00E67E54">
            <w:pPr>
              <w:pStyle w:val="ZDGName"/>
            </w:pPr>
            <w:r>
              <w:t>ГЕНЕРАЛНА ДИРЕКЦИЯ „ЗЕМЕДЕЛИЕ И РАЗВИТИЕ НА СЕЛСКИТЕ РАЙОНИ“</w:t>
            </w:r>
          </w:p>
          <w:p w:rsidR="00324EF3" w:rsidRDefault="00324EF3" w:rsidP="00E67E54">
            <w:pPr>
              <w:pStyle w:val="ZDGName"/>
            </w:pPr>
            <w:r>
              <w:t xml:space="preserve"> </w:t>
            </w:r>
          </w:p>
          <w:p w:rsidR="00324EF3" w:rsidRDefault="00324EF3" w:rsidP="00E67E54">
            <w:pPr>
              <w:pStyle w:val="ZDGName"/>
            </w:pPr>
            <w:r>
              <w:t>Дирекция J. „Одит на разходите за селско стопанство“</w:t>
            </w:r>
          </w:p>
          <w:p w:rsidR="00324EF3" w:rsidRDefault="00324EF3" w:rsidP="00E67E54">
            <w:pPr>
              <w:pStyle w:val="ZDGName"/>
            </w:pPr>
            <w:r>
              <w:rPr>
                <w:b/>
              </w:rPr>
              <w:t>Отдел J.5. Финансов одит</w:t>
            </w:r>
          </w:p>
          <w:p w:rsidR="00324EF3" w:rsidRDefault="00324EF3" w:rsidP="00E67E54">
            <w:pPr>
              <w:pStyle w:val="ZDGName"/>
            </w:pPr>
          </w:p>
        </w:tc>
      </w:tr>
    </w:tbl>
    <w:p w:rsidR="00D51213" w:rsidRPr="007E5ACB" w:rsidRDefault="00D51213">
      <w:pPr>
        <w:pStyle w:val="Date"/>
      </w:pPr>
      <w:r>
        <w:t>Брюксел, 17.9.2015 г.</w:t>
      </w:r>
    </w:p>
    <w:p w:rsidR="0055222E" w:rsidRPr="0055222E" w:rsidRDefault="00DD4DB2" w:rsidP="0055222E">
      <w:pPr>
        <w:pStyle w:val="NoteHead"/>
        <w:spacing w:before="480" w:after="600"/>
      </w:pPr>
      <w:r>
        <w:t>Бележка на вниманието на Комитета по селскостопанските фондове</w:t>
      </w:r>
    </w:p>
    <w:p w:rsidR="00DD4DB2" w:rsidRPr="007E5ACB" w:rsidRDefault="00DD4DB2" w:rsidP="00B43B60">
      <w:pPr>
        <w:pStyle w:val="Subject"/>
        <w:spacing w:after="240"/>
        <w:jc w:val="both"/>
      </w:pPr>
      <w:r>
        <w:t>Предмет:</w:t>
      </w:r>
      <w:r>
        <w:tab/>
        <w:t xml:space="preserve">Информация, която трябва да бъде представена от държавите членки във връзка с приключването на ЕЗФРСР за периода 2007 — 2013 г. (уравняване на последните годишни сметки) — до 30.6.2016 г. </w:t>
      </w:r>
    </w:p>
    <w:p w:rsidR="00C82B4A" w:rsidRPr="007E5ACB" w:rsidRDefault="004345DD" w:rsidP="00C82B4A">
      <w:pPr>
        <w:pStyle w:val="Heading1"/>
        <w:ind w:left="482" w:hanging="482"/>
        <w:rPr>
          <w:bCs/>
        </w:rPr>
      </w:pPr>
      <w:r>
        <w:t xml:space="preserve"> Обща информация</w:t>
      </w:r>
    </w:p>
    <w:p w:rsidR="00C82B4A" w:rsidRPr="00B8570C" w:rsidRDefault="00F95937" w:rsidP="00C82B4A">
      <w:r>
        <w:t>В съответствие с член 37 от Регламент (ЕС) № 1306/2013, член 41 от Регламент (ЕС) № 907/2014 и член 71 от</w:t>
      </w:r>
      <w:r w:rsidR="00F151E0">
        <w:t xml:space="preserve"> Регламент (ЕО) № 1698/2005 </w:t>
      </w:r>
      <w:r w:rsidR="00F151E0">
        <w:t xml:space="preserve">за последната година от изпълнението </w:t>
      </w:r>
      <w:r>
        <w:t xml:space="preserve">годишните счетоводни отчети трябва да се представят на Комисията не по-късно от шест месеца след последната дата на допустимост, както е посочено в член 65, параграф 2 от Регламент (ЕС) № 1303/2013, и </w:t>
      </w:r>
      <w:r w:rsidR="00F151E0">
        <w:t xml:space="preserve">да </w:t>
      </w:r>
      <w:r>
        <w:t xml:space="preserve">съдържат разходите, извършени от разплащателната агенция до последната дата на допустимост на разходите (31.12.2015 г.). Последната година от изпълнението (2015 г.) за програмите по ЕЗФРСР за периода 2007 — 2013 г. обхваща периода от 16.10.2014 г. до 31.12.2015 г. Годишните счетоводни отчети, обхващащи 4-те тримесечия на финансовата година на ЕЗФРСР (16.10.2014 г. — 15.10.2015 г.), трябва да бъдат предадени съгласно информационната бележка, която следва да бъде представена от държавите членки до 15.2.2016 г. във връзка с уравняването на сметките за 2015 г.  В настоящата бележка се посочва информацията, която трябва да бъде представена за 5-то тримесечие на предходната година на изпълнение (16.10.2014 г. — 31.12.2015 г.) на ЕЗФРСР за програмите за периода 2007 — 2013 г., по отношение на уравняването на сметките съгласно член 7, параграф 3 и член 102 от Регламент (ЕС) № 1306/2013 на Европейския парламент и на Съвета — до </w:t>
      </w:r>
      <w:r>
        <w:rPr>
          <w:b/>
        </w:rPr>
        <w:t>30.6.2016</w:t>
      </w:r>
      <w:r>
        <w:t xml:space="preserve"> г. Изискваната информация се отнася до разходите, декларирани по бюджетен ред 05040501 (ЕЗФРСР, програмите за 2007 — 2013 г.):</w:t>
      </w: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8"/>
        <w:gridCol w:w="8221"/>
      </w:tblGrid>
      <w:tr w:rsidR="00C82B4A" w:rsidRPr="007E5ACB">
        <w:tc>
          <w:tcPr>
            <w:tcW w:w="568" w:type="dxa"/>
          </w:tcPr>
          <w:p w:rsidR="00C82B4A" w:rsidRPr="007E5ACB" w:rsidRDefault="00C82B4A" w:rsidP="004345DD">
            <w:r>
              <w:t>I</w:t>
            </w:r>
          </w:p>
        </w:tc>
        <w:tc>
          <w:tcPr>
            <w:tcW w:w="8221" w:type="dxa"/>
          </w:tcPr>
          <w:p w:rsidR="00C82B4A" w:rsidRPr="007E5ACB" w:rsidRDefault="00352DA8" w:rsidP="008D7E56">
            <w:r>
              <w:t>В член 29 от Регламент за изпълнение (ЕС) № 908/2014 на Комисията се определя съдържанието на годишните счетоводни отчети.  Въз основа на това счетоводните отчети, обхващащи 5-те тримесечия (от 15.10.2014 г. до 31.12.2015 г.), следва да включват:</w:t>
            </w:r>
          </w:p>
        </w:tc>
      </w:tr>
      <w:tr w:rsidR="004345DD" w:rsidRPr="007E5ACB" w:rsidTr="004345DD">
        <w:tc>
          <w:tcPr>
            <w:tcW w:w="568" w:type="dxa"/>
          </w:tcPr>
          <w:p w:rsidR="004345DD" w:rsidRPr="007E5ACB" w:rsidRDefault="004345DD" w:rsidP="004345DD"/>
        </w:tc>
        <w:tc>
          <w:tcPr>
            <w:tcW w:w="8221" w:type="dxa"/>
          </w:tcPr>
          <w:p w:rsidR="004345DD" w:rsidRPr="007E5ACB" w:rsidRDefault="00B8570C" w:rsidP="00B8570C">
            <w:pPr>
              <w:pStyle w:val="ListNumber"/>
              <w:ind w:left="0" w:firstLine="0"/>
            </w:pPr>
            <w:r>
              <w:t>а) разходите по линия на ЕЗФРСР за периода 16.10.2014 г. — 31.12.2015 г.</w:t>
            </w:r>
            <w:r>
              <w:rPr>
                <w:rStyle w:val="FootnoteReference"/>
              </w:rPr>
              <w:footnoteReference w:id="1"/>
            </w:r>
            <w:r>
              <w:t xml:space="preserve">. Неправомерните плащания, различни от посочените в буква е) от настоящия </w:t>
            </w:r>
            <w:r>
              <w:lastRenderedPageBreak/>
              <w:t xml:space="preserve">член, които не са възстановени, включително и лихвите по тях, се приспадат от разходите за въпросната финансова година. </w:t>
            </w:r>
          </w:p>
        </w:tc>
      </w:tr>
      <w:tr w:rsidR="004345DD" w:rsidRPr="007E5ACB" w:rsidTr="004345DD">
        <w:tc>
          <w:tcPr>
            <w:tcW w:w="568" w:type="dxa"/>
          </w:tcPr>
          <w:p w:rsidR="004345DD" w:rsidRPr="007E5ACB" w:rsidRDefault="004345DD" w:rsidP="004345DD"/>
        </w:tc>
        <w:tc>
          <w:tcPr>
            <w:tcW w:w="8221" w:type="dxa"/>
          </w:tcPr>
          <w:p w:rsidR="004345DD" w:rsidRPr="007E5ACB" w:rsidRDefault="00B8570C" w:rsidP="008D7E56">
            <w:r>
              <w:t>б) файл с разликите по разплащателни агенции (F100), бюджетен код (F109)</w:t>
            </w:r>
            <w:r>
              <w:rPr>
                <w:rStyle w:val="FootnoteReference"/>
              </w:rPr>
              <w:footnoteReference w:id="2"/>
            </w:r>
            <w:r>
              <w:t>, код за изравняване (Exco) и сума на обяснените разлики (F106) между разходите, декларирани в последните годишни счетоводни отчети (Годишна декларация A, обхващаща периода 16.10.2015 г. — 31.12.2015 г.), и тези, декларирани в тримесечната декларация за разходите за същия период (четвъртото тримесечие на 2015 г.) съгласно точка 4 от приложение ІІ към Регламент за изпълнение (ЕС) № [таблиците с X]/2015 на Комисията.</w:t>
            </w:r>
          </w:p>
        </w:tc>
      </w:tr>
      <w:tr w:rsidR="004345DD" w:rsidRPr="007E5ACB" w:rsidTr="00B8570C">
        <w:trPr>
          <w:trHeight w:val="1332"/>
        </w:trPr>
        <w:tc>
          <w:tcPr>
            <w:tcW w:w="568" w:type="dxa"/>
          </w:tcPr>
          <w:p w:rsidR="004345DD" w:rsidRPr="00A16899" w:rsidRDefault="004345DD" w:rsidP="004345DD"/>
        </w:tc>
        <w:tc>
          <w:tcPr>
            <w:tcW w:w="8221" w:type="dxa"/>
          </w:tcPr>
          <w:p w:rsidR="00B04BA5" w:rsidRPr="00A16899" w:rsidRDefault="00B8570C" w:rsidP="008D7E56">
            <w:pPr>
              <w:pStyle w:val="ListBullet"/>
              <w:tabs>
                <w:tab w:val="clear" w:pos="283"/>
                <w:tab w:val="num" w:pos="0"/>
              </w:tabs>
              <w:ind w:left="0" w:firstLine="0"/>
            </w:pPr>
            <w:r>
              <w:t>в) крайното салдо към 31.12.2015 г. на натрупаните неусвоени/неуравнени аванси, изплатени от държавите членки на бенефициерите, разбити по програма за ЕЗФРСР, включително финансовите инструменти (</w:t>
            </w:r>
            <w:r>
              <w:rPr>
                <w:i/>
              </w:rPr>
              <w:t>приложение 3 и приложение 4 а и б към настоящата бележка</w:t>
            </w:r>
            <w:r>
              <w:t>).</w:t>
            </w:r>
          </w:p>
        </w:tc>
      </w:tr>
      <w:tr w:rsidR="004345DD" w:rsidRPr="007E5ACB" w:rsidTr="004345DD">
        <w:trPr>
          <w:trHeight w:val="608"/>
        </w:trPr>
        <w:tc>
          <w:tcPr>
            <w:tcW w:w="568" w:type="dxa"/>
          </w:tcPr>
          <w:p w:rsidR="004345DD" w:rsidRPr="005B1AF0" w:rsidRDefault="004345DD" w:rsidP="004345DD">
            <w:pPr>
              <w:rPr>
                <w:highlight w:val="red"/>
              </w:rPr>
            </w:pPr>
          </w:p>
        </w:tc>
        <w:tc>
          <w:tcPr>
            <w:tcW w:w="8221" w:type="dxa"/>
          </w:tcPr>
          <w:p w:rsidR="004345DD" w:rsidRPr="00C76532" w:rsidRDefault="00B8570C" w:rsidP="00B8570C">
            <w:r>
              <w:t xml:space="preserve">г) потвърждение, че разходите се съхраняват в досиетата и счетоводните записи на разплащателната агенция. </w:t>
            </w:r>
          </w:p>
        </w:tc>
      </w:tr>
      <w:tr w:rsidR="00C82B4A" w:rsidRPr="007E5ACB">
        <w:tc>
          <w:tcPr>
            <w:tcW w:w="568" w:type="dxa"/>
          </w:tcPr>
          <w:p w:rsidR="00C82B4A" w:rsidRPr="007E5ACB" w:rsidRDefault="00C82B4A" w:rsidP="004345DD">
            <w:r>
              <w:t>II</w:t>
            </w:r>
          </w:p>
        </w:tc>
        <w:tc>
          <w:tcPr>
            <w:tcW w:w="8221" w:type="dxa"/>
          </w:tcPr>
          <w:p w:rsidR="00C82B4A" w:rsidRPr="007E5ACB" w:rsidRDefault="00C82B4A" w:rsidP="008D7E56">
            <w:r>
              <w:t>Одитното становище относно последните годишни отчети за ЕЗФРСР 2007—2013 г., обхващащо периода 15.10.2014 г.— 31.12.2015 г., и докладът, изготвен от сертифициращия орган (или органи).</w:t>
            </w:r>
          </w:p>
        </w:tc>
      </w:tr>
    </w:tbl>
    <w:p w:rsidR="00DF541C" w:rsidRDefault="00DF541C" w:rsidP="00DF541C">
      <w:pPr>
        <w:rPr>
          <w:szCs w:val="24"/>
        </w:rPr>
      </w:pPr>
      <w:r>
        <w:t>При събирането на горепосочената документация държавите членки трябва да вземат предвид бележките от глава 4 от Обобщения доклад</w:t>
      </w:r>
      <w:r>
        <w:rPr>
          <w:rStyle w:val="FootnoteReference"/>
          <w:rFonts w:ascii="Times New Roman" w:hAnsi="Times New Roman"/>
        </w:rPr>
        <w:footnoteReference w:id="3"/>
      </w:r>
      <w:r>
        <w:t xml:space="preserve"> относно уравняването на сметките за финансовата 2014 година.</w:t>
      </w:r>
    </w:p>
    <w:p w:rsidR="00072EC5" w:rsidRDefault="00072EC5" w:rsidP="00DF541C">
      <w:pPr>
        <w:rPr>
          <w:szCs w:val="24"/>
        </w:rPr>
      </w:pPr>
      <w:r>
        <w:t>III</w:t>
      </w:r>
      <w:r>
        <w:tab/>
        <w:t>Специфични документи, свързани с приключването на програмния период 2007—2013 г. на ЕЗФРСР</w:t>
      </w:r>
    </w:p>
    <w:p w:rsidR="00072EC5" w:rsidRDefault="00072EC5" w:rsidP="00283841">
      <w:pPr>
        <w:pStyle w:val="ListNumber"/>
        <w:tabs>
          <w:tab w:val="left" w:pos="709"/>
        </w:tabs>
        <w:ind w:left="720" w:firstLine="0"/>
        <w:rPr>
          <w:szCs w:val="24"/>
        </w:rPr>
      </w:pPr>
      <w:r>
        <w:t>а) размерът на сумите, превишаващи финансовия план за всеки регион и ос въз основа на сравнението на натрупаните декларирани разходи за 2007—2015 г., по региони и по оси и финансовият план за програмния период 2007—2013 г., който е в сила към 31.12.2015 г. (приложение 5).</w:t>
      </w:r>
    </w:p>
    <w:p w:rsidR="00F116B9" w:rsidRPr="007E5ACB" w:rsidRDefault="00F116B9" w:rsidP="00283841">
      <w:pPr>
        <w:pStyle w:val="ListNumber"/>
        <w:tabs>
          <w:tab w:val="left" w:pos="709"/>
        </w:tabs>
        <w:ind w:left="720" w:firstLine="0"/>
        <w:rPr>
          <w:szCs w:val="24"/>
        </w:rPr>
      </w:pPr>
      <w:r>
        <w:t>б) приспадания във връзка с прегледа на състоянието и пакета за възстановяване въз основа на потвърждение дали условията, посочени в член 69, параграф 5б от Регламент № 1698/2005, са изпълнени (приложение 6).</w:t>
      </w:r>
    </w:p>
    <w:p w:rsidR="00451A53" w:rsidRPr="007E5ACB" w:rsidRDefault="003B0D5D" w:rsidP="00F55215">
      <w:pPr>
        <w:pStyle w:val="Heading1"/>
        <w:ind w:left="482" w:hanging="482"/>
        <w:rPr>
          <w:bCs/>
        </w:rPr>
      </w:pPr>
      <w:r>
        <w:lastRenderedPageBreak/>
        <w:t xml:space="preserve">Предаване на документи </w:t>
      </w:r>
    </w:p>
    <w:p w:rsidR="00492FE4" w:rsidRDefault="00492FE4" w:rsidP="00492FE4">
      <w:r>
        <w:t>Документите се предават по следния начин:</w:t>
      </w:r>
    </w:p>
    <w:p w:rsidR="0055222E" w:rsidRPr="007E5ACB" w:rsidRDefault="0055222E" w:rsidP="00492FE4"/>
    <w:p w:rsidR="00B3307F" w:rsidRDefault="00492FE4" w:rsidP="00A23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а) предаване на годишните счетоводни отчети на </w:t>
      </w:r>
      <w:r>
        <w:rPr>
          <w:b/>
        </w:rPr>
        <w:t>отдел AGRI J.1 по електронен път:</w:t>
      </w:r>
    </w:p>
    <w:p w:rsidR="00EA0F1B" w:rsidRPr="007E5ACB" w:rsidRDefault="003B0D5D" w:rsidP="00A23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— по отношение на ЕЗФРСР за периода 16.10.2015 г. — 31.12.2015 г. за програмния период 2007—2013 г. данните за годишните разходи (Годишна декларация А) и файлът с разликите трябва да бъдат предадени за всяка разплащателна агенция в съответствие с приложение ІІ към Регламент за изпълнение (ЕС) № [таблиците с X]/2015 на Комисията</w:t>
      </w:r>
      <w:r>
        <w:rPr>
          <w:rStyle w:val="FootnoteReference"/>
        </w:rPr>
        <w:footnoteReference w:id="4"/>
      </w:r>
      <w:r>
        <w:t xml:space="preserve">. Файлът с данните за годишните разходи (въз основа на Годишна декларация А) трябва да съдържа общите суми на дела на Съюза от публичните разходи (F106), заедно с бюджетния код (F109) и валутния код (F107).  </w:t>
      </w:r>
    </w:p>
    <w:p w:rsidR="00AC1C62" w:rsidRPr="00814ECA" w:rsidRDefault="000955DF" w:rsidP="00492FE4">
      <w:pPr>
        <w:rPr>
          <w:b/>
        </w:rPr>
      </w:pPr>
      <w:r>
        <w:rPr>
          <w:b/>
        </w:rPr>
        <w:t>Електронната годишна декларация А трябва във всички случаи да бъде същата като подписаната версия на хартиен носител (Годишна декларация А) и да съдържа същите разходи за всеки бюджетен код.</w:t>
      </w:r>
    </w:p>
    <w:p w:rsidR="005C7A15" w:rsidRPr="007E5ACB" w:rsidRDefault="00492FE4" w:rsidP="001F112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б) предаване на ръка на отдел AGRI J.5:</w:t>
      </w:r>
    </w:p>
    <w:p w:rsidR="003A2554" w:rsidRPr="007E5ACB" w:rsidRDefault="00FF4017" w:rsidP="0005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На хартиен носител (</w:t>
      </w:r>
      <w:r>
        <w:rPr>
          <w:b/>
        </w:rPr>
        <w:t>с подпис</w:t>
      </w:r>
      <w:r>
        <w:t xml:space="preserve">): </w:t>
      </w:r>
    </w:p>
    <w:p w:rsidR="00637DE0" w:rsidRDefault="00051AB4" w:rsidP="0005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/>
      </w:pPr>
      <w:r>
        <w:t>— отчетите за 5-то тримесечие, обхващащи периода 16.10.2015 — 31.12.2015 г., годишната декларация А (приложение 2 а).</w:t>
      </w:r>
    </w:p>
    <w:p w:rsidR="00A16899" w:rsidRPr="00637DE0" w:rsidRDefault="00637DE0" w:rsidP="00B8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/>
      </w:pPr>
      <w:r>
        <w:t>— отчетите за 5-те тримесечия, обхващащи периода 16.10.2014 г. — 31.12.2015 г., годишната декларация Б (приложение 2 б).</w:t>
      </w:r>
      <w:r>
        <w:tab/>
      </w:r>
    </w:p>
    <w:p w:rsidR="002D4568" w:rsidRDefault="00A16899" w:rsidP="0005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/>
        <w:rPr>
          <w:iCs/>
        </w:rPr>
      </w:pPr>
      <w:r>
        <w:t>— крайното салдо в края на последната година за изпълнение (т.е. 31.12.2015 г.) на натрупаните неусвоени/неуравнени аванси, изплатени от държавите членки на бенефициерите, разбити по програма за ЕЗФРСР, включително финансовите инструменти (</w:t>
      </w:r>
      <w:r>
        <w:rPr>
          <w:i/>
        </w:rPr>
        <w:t>приложение 3 и приложение 4 а и б от настоящата бележка</w:t>
      </w:r>
      <w:r>
        <w:t>).</w:t>
      </w:r>
    </w:p>
    <w:p w:rsidR="00F116B9" w:rsidRDefault="00F116B9" w:rsidP="0005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/>
        <w:rPr>
          <w:iCs/>
        </w:rPr>
      </w:pPr>
      <w:r>
        <w:t>— потвърждение на превишаване на финансовия план съгласно приложение 5.</w:t>
      </w:r>
    </w:p>
    <w:p w:rsidR="00072EC5" w:rsidRPr="00283841" w:rsidRDefault="00F116B9" w:rsidP="0005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/>
        <w:rPr>
          <w:iCs/>
        </w:rPr>
      </w:pPr>
      <w:r>
        <w:t>— потвърждение на сумите за приспадания във връзка с прегледа на състоянието и пакета за възстановяване съгласно приложение 6.</w:t>
      </w:r>
    </w:p>
    <w:p w:rsidR="009C125A" w:rsidRPr="007E5ACB" w:rsidRDefault="00051AB4" w:rsidP="0005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/>
      </w:pPr>
      <w:r>
        <w:tab/>
        <w:t>— одитното становище за отчетите за ЕЗФРСР за програмния период 2007—2013 г., обхващащо периода 15.10.2014 г. — 31.12.2015 г., и доклада, изготвен от сертифициращия орган (или органи).</w:t>
      </w:r>
    </w:p>
    <w:p w:rsidR="003B0D5D" w:rsidRPr="004C0475" w:rsidRDefault="003B0D5D" w:rsidP="009C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Информацията се изпраща на следния адрес:</w:t>
      </w:r>
    </w:p>
    <w:p w:rsidR="003B0D5D" w:rsidRPr="007E5ACB" w:rsidRDefault="003B0D5D" w:rsidP="009C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European Commission</w:t>
      </w:r>
    </w:p>
    <w:p w:rsidR="003B0D5D" w:rsidRPr="007E5ACB" w:rsidRDefault="003B0D5D" w:rsidP="009C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Directorate-General for Agriculture and Rural Development </w:t>
      </w:r>
    </w:p>
    <w:p w:rsidR="003B0D5D" w:rsidRPr="007E5ACB" w:rsidRDefault="003B0D5D" w:rsidP="009C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Unit J.5 – Financial Audit</w:t>
      </w:r>
    </w:p>
    <w:p w:rsidR="005F799F" w:rsidRDefault="003B0D5D" w:rsidP="009C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Rue de la Loi 102</w:t>
      </w:r>
    </w:p>
    <w:p w:rsidR="003B0D5D" w:rsidRPr="003A3836" w:rsidRDefault="003B0D5D" w:rsidP="009C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B-1049 Brussels</w:t>
      </w:r>
    </w:p>
    <w:p w:rsidR="00A238B4" w:rsidRPr="007E5ACB" w:rsidRDefault="003B0D5D" w:rsidP="0005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BELGIUM</w:t>
      </w:r>
    </w:p>
    <w:p w:rsidR="00AD0EC8" w:rsidRDefault="00AD0EC8" w:rsidP="00051AB4">
      <w:pPr>
        <w:spacing w:after="0"/>
      </w:pPr>
    </w:p>
    <w:p w:rsidR="00AD0EC8" w:rsidRPr="007E5ACB" w:rsidRDefault="00AD0EC8" w:rsidP="00AD0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в) предаване на отдел AGRI J.5 по електронен път:</w:t>
      </w:r>
    </w:p>
    <w:p w:rsidR="0087642E" w:rsidRDefault="00D61494" w:rsidP="00AD0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Координиращият орган на държавата членка трябва да прехвърли </w:t>
      </w:r>
      <w:r>
        <w:rPr>
          <w:b/>
        </w:rPr>
        <w:t>компресиран (ZIP) файл</w:t>
      </w:r>
      <w:r>
        <w:t xml:space="preserve"> (.zip)</w:t>
      </w:r>
      <w:r>
        <w:rPr>
          <w:rStyle w:val="FootnoteReference"/>
        </w:rPr>
        <w:footnoteReference w:id="5"/>
      </w:r>
      <w:r>
        <w:t xml:space="preserve">, състоящ се от същите документи, следващ структурата, представена в </w:t>
      </w:r>
      <w:r>
        <w:rPr>
          <w:i/>
        </w:rPr>
        <w:t>приложение 1</w:t>
      </w:r>
      <w:r>
        <w:t>. Предаването на компресирания (ZIP) файл трябва да се извърши чрез STATEL/eDAMIS (относно използването на средата STATEL/eDAMIS, вж. точка 1 от приложение II към Регламент за изпълнение (ЕС) № [таблиците с X]/2015 на Комисията). За държавите членки с многобройни разплащателни агенции следва да се създаде 1 компресиран (ZIP) файл, съдържащ по една подпапка за всяка разплащателна агенция.</w:t>
      </w:r>
    </w:p>
    <w:p w:rsidR="005B0DE8" w:rsidRDefault="00EE7E34" w:rsidP="00AD0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В случай</w:t>
      </w:r>
      <w:r w:rsidR="00F151E0">
        <w:t>,</w:t>
      </w:r>
      <w:r>
        <w:t xml:space="preserve"> че при първоначалното прехвърляне не се предоставя цялата поискана информация и/или се предоставят неточни данни; допълнително могат да бъдат прехвърлени zip-файлове, включително само неточните/липсващи данни. Във всички случаи обаче трябва да се запази структурата, описана в</w:t>
      </w:r>
      <w:r>
        <w:rPr>
          <w:i/>
        </w:rPr>
        <w:t xml:space="preserve"> приложение 1</w:t>
      </w:r>
      <w:r>
        <w:t xml:space="preserve">. </w:t>
      </w:r>
    </w:p>
    <w:p w:rsidR="00EE7E34" w:rsidRPr="007E5ACB" w:rsidRDefault="00EE7E34" w:rsidP="00AD0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Компресираният (ZIP) файл следва да се изпрати във формат „FINANCIAL-CLEARANCE“ (вж. eDAMIS клиент).</w:t>
      </w:r>
    </w:p>
    <w:p w:rsidR="00C82B4A" w:rsidRPr="007E5ACB" w:rsidRDefault="00C82B4A" w:rsidP="004345DD">
      <w:pPr>
        <w:spacing w:before="120"/>
      </w:pPr>
      <w:r>
        <w:t>На държавите членки се припомня, че:</w:t>
      </w:r>
    </w:p>
    <w:p w:rsidR="00C82B4A" w:rsidRPr="002D4568" w:rsidRDefault="00C82B4A" w:rsidP="00C82B4A">
      <w:pPr>
        <w:numPr>
          <w:ilvl w:val="0"/>
          <w:numId w:val="19"/>
        </w:numPr>
      </w:pPr>
      <w:r>
        <w:t>Документите във формат Word включват: доклад</w:t>
      </w:r>
      <w:r w:rsidR="00F151E0">
        <w:t>а</w:t>
      </w:r>
      <w:r>
        <w:t xml:space="preserve">, одитното становище, потвърждението, че разходите и целевите приходи се съхраняват на компютър, както и всякакви приложения или други документи. </w:t>
      </w:r>
    </w:p>
    <w:p w:rsidR="00637DE0" w:rsidRDefault="00C82B4A" w:rsidP="00637DE0">
      <w:pPr>
        <w:numPr>
          <w:ilvl w:val="0"/>
          <w:numId w:val="19"/>
        </w:numPr>
        <w:spacing w:after="120"/>
        <w:ind w:left="284" w:hanging="284"/>
      </w:pPr>
      <w:r>
        <w:t>Файловете с документите следва да бъдат наименувани, както следва:</w:t>
      </w:r>
    </w:p>
    <w:p w:rsidR="00C82B4A" w:rsidRPr="007E5ACB" w:rsidRDefault="006871C5" w:rsidP="006871C5">
      <w:pPr>
        <w:numPr>
          <w:ilvl w:val="0"/>
          <w:numId w:val="21"/>
        </w:numPr>
        <w:tabs>
          <w:tab w:val="clear" w:pos="283"/>
          <w:tab w:val="num" w:pos="567"/>
        </w:tabs>
        <w:spacing w:after="120"/>
        <w:ind w:left="568" w:hanging="284"/>
      </w:pPr>
      <w:r>
        <w:t>report.doc : файл, съдържащ доклада и всички приложения към него</w:t>
      </w:r>
    </w:p>
    <w:p w:rsidR="00C82B4A" w:rsidRPr="002D4568" w:rsidRDefault="006871C5" w:rsidP="000C2F3E">
      <w:pPr>
        <w:numPr>
          <w:ilvl w:val="0"/>
          <w:numId w:val="23"/>
        </w:numPr>
        <w:tabs>
          <w:tab w:val="clear" w:pos="283"/>
          <w:tab w:val="num" w:pos="567"/>
        </w:tabs>
        <w:spacing w:after="120"/>
        <w:ind w:left="568" w:hanging="284"/>
      </w:pPr>
      <w:r>
        <w:t>confir.doc : файл, съдържащ потвърждението, че подробна информация за всички движения на запасите се съхранява на компютър</w:t>
      </w:r>
    </w:p>
    <w:p w:rsidR="00705275" w:rsidRDefault="006871C5" w:rsidP="00705275">
      <w:pPr>
        <w:numPr>
          <w:ilvl w:val="0"/>
          <w:numId w:val="23"/>
        </w:numPr>
        <w:tabs>
          <w:tab w:val="clear" w:pos="283"/>
          <w:tab w:val="num" w:pos="567"/>
        </w:tabs>
        <w:spacing w:after="120"/>
        <w:ind w:left="568" w:hanging="284"/>
      </w:pPr>
      <w:r>
        <w:t xml:space="preserve">opinion.doc :  одитното становище на Сертифициращия орган относно годишните счетоводни отчети  </w:t>
      </w:r>
    </w:p>
    <w:p w:rsidR="00C82B4A" w:rsidRPr="007E5ACB" w:rsidRDefault="00C82B4A" w:rsidP="00C82B4A">
      <w:pPr>
        <w:spacing w:after="0"/>
      </w:pPr>
    </w:p>
    <w:p w:rsidR="00444046" w:rsidRPr="00AE11CD" w:rsidRDefault="00444046" w:rsidP="00444046">
      <w:pPr>
        <w:pStyle w:val="Heading1"/>
      </w:pPr>
      <w:r>
        <w:t>Годишната декларация — специални разпоредби за ЕЗФРСР за 2007 — 2013 г.</w:t>
      </w:r>
    </w:p>
    <w:p w:rsidR="00AF0657" w:rsidRPr="00EE71DC" w:rsidRDefault="007B4CEE" w:rsidP="00625BF0">
      <w:pPr>
        <w:spacing w:after="120"/>
        <w:ind w:right="-29"/>
      </w:pPr>
      <w:r>
        <w:t>Годишната декларация за ЕЗФРСР за периода 16.10.2014 г. — 31.12.2015 г., която се предава на хартиен носител или в електронен формат (документ: EAFRD_A.xls и EAFRD_B.xls), следва да съдържа:</w:t>
      </w:r>
    </w:p>
    <w:p w:rsidR="001C3E6C" w:rsidRPr="00E43E7C" w:rsidRDefault="001C3E6C" w:rsidP="006871C5">
      <w:pPr>
        <w:pStyle w:val="ListNumber"/>
        <w:spacing w:after="120"/>
        <w:ind w:hanging="425"/>
      </w:pPr>
      <w:r>
        <w:t>— наименованието на разплащателната агенция и кода на разплащателната агенция (F100)</w:t>
      </w:r>
    </w:p>
    <w:p w:rsidR="00AF0657" w:rsidRPr="00287E94" w:rsidRDefault="001C3E6C" w:rsidP="006871C5">
      <w:pPr>
        <w:pStyle w:val="ListNumber"/>
        <w:spacing w:after="120"/>
        <w:ind w:hanging="425"/>
      </w:pPr>
      <w:r>
        <w:t>— номера на програмата за развитие на селските райони и общия идентификационен номер (CCI)</w:t>
      </w:r>
    </w:p>
    <w:p w:rsidR="001C3E6C" w:rsidRPr="002D4568" w:rsidRDefault="001C3E6C" w:rsidP="006871C5">
      <w:pPr>
        <w:pStyle w:val="ListBullet"/>
        <w:spacing w:after="120"/>
        <w:ind w:firstLine="1"/>
      </w:pPr>
      <w:r>
        <w:t>— бюджетния код (F109)</w:t>
      </w:r>
      <w:r>
        <w:rPr>
          <w:rStyle w:val="FootnoteReference"/>
        </w:rPr>
        <w:footnoteReference w:id="6"/>
      </w:r>
    </w:p>
    <w:p w:rsidR="007B4CEE" w:rsidRPr="0065120F" w:rsidRDefault="001C3E6C" w:rsidP="006871C5">
      <w:pPr>
        <w:pStyle w:val="ListBullet"/>
        <w:spacing w:after="120"/>
        <w:ind w:firstLine="1"/>
      </w:pPr>
      <w:r>
        <w:t>— описание на мярката</w:t>
      </w:r>
    </w:p>
    <w:p w:rsidR="001C3E6C" w:rsidRPr="002A0569" w:rsidRDefault="001C3E6C" w:rsidP="006871C5">
      <w:pPr>
        <w:pStyle w:val="ListBullet"/>
        <w:ind w:firstLine="1"/>
      </w:pPr>
      <w:r>
        <w:t>— годишна декларация за разходите (F106) по бюджетен код</w:t>
      </w:r>
    </w:p>
    <w:p w:rsidR="00BD2CA5" w:rsidRPr="002C2B35" w:rsidRDefault="00664AEF" w:rsidP="005B1AF0">
      <w:pPr>
        <w:ind w:right="-29"/>
      </w:pPr>
      <w:r>
        <w:t xml:space="preserve">Електронната годишна декларация А трябва във всички случаи да бъде същата като подписаната версия на хартиен носител (Годишна декларация А) и да съдържа същите разходи за всеки бюджетен код за периода 16.10.2015 г. — 31.12.2015 г. В съпътстващото настоящия документ </w:t>
      </w:r>
      <w:r>
        <w:rPr>
          <w:i/>
        </w:rPr>
        <w:t>приложение 2</w:t>
      </w:r>
      <w:r>
        <w:t xml:space="preserve"> се съдържа образец на Годишната декларация А и Б с всички изисквани данни.</w:t>
      </w:r>
    </w:p>
    <w:p w:rsidR="00DD4DB2" w:rsidRPr="00506B5F" w:rsidRDefault="00DD4DB2" w:rsidP="005B1AF0">
      <w:pPr>
        <w:pStyle w:val="Heading1"/>
      </w:pPr>
      <w:r>
        <w:t>Компютърните файлове (данните от таблицата с Х, данните от годишната декларация и данните за изравняването) съгласно Регламент за изпълнение (ЕС) № [таблиците с X]/2015 на Комисията, обхващащи направените разходи в периода 16.10.2015 г. — 31.12.2015 г.</w:t>
      </w:r>
    </w:p>
    <w:p w:rsidR="005C3559" w:rsidRPr="000225DA" w:rsidRDefault="006E506B" w:rsidP="006871C5">
      <w:pPr>
        <w:spacing w:after="120"/>
      </w:pPr>
      <w:r>
        <w:t>Координиращият орган на държавата членка трябва да изпрати:</w:t>
      </w:r>
    </w:p>
    <w:p w:rsidR="005C3559" w:rsidRPr="00B8570C" w:rsidRDefault="005C3559" w:rsidP="00000505">
      <w:pPr>
        <w:numPr>
          <w:ilvl w:val="0"/>
          <w:numId w:val="34"/>
        </w:numPr>
        <w:spacing w:after="120"/>
      </w:pPr>
      <w:r>
        <w:t>файловете за таблицата с Х, описани в точка 2 от приложение ІІ към сега действащия „регламент за таблицата с Х“,</w:t>
      </w:r>
    </w:p>
    <w:p w:rsidR="005C3559" w:rsidRPr="00B8570C" w:rsidRDefault="005C3559" w:rsidP="00000505">
      <w:pPr>
        <w:numPr>
          <w:ilvl w:val="0"/>
          <w:numId w:val="34"/>
        </w:numPr>
        <w:spacing w:after="120"/>
      </w:pPr>
      <w:r>
        <w:t xml:space="preserve">файла/файловете с годишната декларация за периода 16.10.2015 г. —31.12.2015 г. и, </w:t>
      </w:r>
    </w:p>
    <w:p w:rsidR="001D42E1" w:rsidRPr="00910366" w:rsidRDefault="005C3559" w:rsidP="00000505">
      <w:pPr>
        <w:numPr>
          <w:ilvl w:val="0"/>
          <w:numId w:val="34"/>
        </w:numPr>
      </w:pPr>
      <w:r>
        <w:t>— при разлики между Годишната декларация А и декларацията за 5-ото тримесечие на 2015 г. (Т4 2015 г.), обхващащи периода 16.10.2015 г. —31.12.2015 г., или разлики между Годишната декларация А и данните, свързани с таблицата с Х — файл с обяснения за разликите за всички разплащателни агенции или отделни файлове с обяснения за разликите за всяка разплащателна агенция съгласно точка 4 от приложение ІІ към сега действащия „Регламент за таблицата с Х“. Съгласно член 52 от Регламент (ЕС) № 1306/2013 на Европейския парламент и на Съвета финансиране може да бъде отказано за всички разлики, за които не е представено обяснение.</w:t>
      </w:r>
    </w:p>
    <w:p w:rsidR="00811353" w:rsidRPr="007E5ACB" w:rsidRDefault="00091455" w:rsidP="00811353">
      <w:r>
        <w:t>Освен това координиращият орган на държавата членка трябва да предаде списък с кодовете за всяка разплащателна агенция чрез посоченото средство за предаване</w:t>
      </w:r>
      <w:r>
        <w:rPr>
          <w:rStyle w:val="FootnoteReference"/>
        </w:rPr>
        <w:footnoteReference w:id="7"/>
      </w:r>
      <w:r>
        <w:t>, когато кодовете се използват за полета, за които в приложение ІІІ към Регламент (ЕС) № xxxx/2015 не са предвидени задължителни стандартни кодове съгласно точка 5 от приложение ІІ към настоящия „Регламент за таблицата с Х“.</w:t>
      </w:r>
    </w:p>
    <w:p w:rsidR="00A7162C" w:rsidRDefault="00811353" w:rsidP="00811353">
      <w:pPr>
        <w:tabs>
          <w:tab w:val="left" w:pos="5103"/>
        </w:tabs>
        <w:spacing w:before="1200" w:after="0"/>
        <w:ind w:left="5103"/>
        <w:jc w:val="center"/>
      </w:pPr>
      <w:r>
        <w:t>Christina Borchmann</w:t>
      </w:r>
    </w:p>
    <w:p w:rsidR="00811353" w:rsidRPr="00A7162C" w:rsidRDefault="00811353" w:rsidP="00811353">
      <w:pPr>
        <w:tabs>
          <w:tab w:val="left" w:pos="5103"/>
        </w:tabs>
        <w:spacing w:before="200" w:after="0"/>
        <w:ind w:left="5103"/>
        <w:jc w:val="center"/>
      </w:pPr>
      <w:r>
        <w:t>Директор</w:t>
      </w:r>
    </w:p>
    <w:p w:rsidR="004F30C6" w:rsidRDefault="004F30C6" w:rsidP="00A7162C">
      <w:pPr>
        <w:keepNext/>
        <w:keepLines/>
        <w:tabs>
          <w:tab w:val="left" w:pos="5670"/>
        </w:tabs>
        <w:spacing w:before="480" w:after="0"/>
        <w:ind w:left="1985" w:hanging="1985"/>
        <w:jc w:val="left"/>
      </w:pPr>
    </w:p>
    <w:p w:rsidR="00A7162C" w:rsidRDefault="00A7162C" w:rsidP="000A78D9">
      <w:pPr>
        <w:keepNext/>
        <w:keepLines/>
        <w:tabs>
          <w:tab w:val="left" w:pos="5670"/>
        </w:tabs>
        <w:spacing w:after="0"/>
        <w:ind w:left="1985" w:hanging="1985"/>
        <w:jc w:val="left"/>
      </w:pPr>
      <w:r>
        <w:t>Приложения:</w:t>
      </w:r>
      <w:r>
        <w:tab/>
        <w:t>Приложение 1 – Структура на компресирания (ZIP) файл</w:t>
      </w:r>
      <w:r>
        <w:br/>
        <w:t>Приложение 2 а — ЕЗФРСР — Годишна декларация А (за всяка програма) — 16.10.2015 г. — 31.12.2015 г.</w:t>
      </w:r>
    </w:p>
    <w:p w:rsidR="00637DE0" w:rsidRDefault="00F151E0" w:rsidP="000A78D9">
      <w:pPr>
        <w:keepNext/>
        <w:keepLines/>
        <w:tabs>
          <w:tab w:val="left" w:pos="5670"/>
        </w:tabs>
        <w:spacing w:after="0"/>
        <w:ind w:left="1985" w:hanging="1985"/>
        <w:jc w:val="left"/>
      </w:pPr>
      <w:r>
        <w:tab/>
        <w:t>Приложение 2 б — ЕЗФРСР — Г</w:t>
      </w:r>
      <w:r w:rsidR="00637DE0">
        <w:t>одишна декларация Б (за всяка програма) — 16.10.2014 г. — 31.12.2015 г.</w:t>
      </w:r>
    </w:p>
    <w:p w:rsidR="00A16899" w:rsidRDefault="00B8570C" w:rsidP="000A78D9">
      <w:pPr>
        <w:keepNext/>
        <w:keepLines/>
        <w:tabs>
          <w:tab w:val="left" w:pos="5670"/>
        </w:tabs>
        <w:spacing w:after="0"/>
        <w:ind w:left="1985" w:hanging="1985"/>
        <w:jc w:val="left"/>
      </w:pPr>
      <w:r>
        <w:tab/>
        <w:t>Приложение 3 — Потвърждение за неуравнени авансови плащания по линия на ЕЗФРСР за периода 2007—2013 г. към 31.12.2015 г.</w:t>
      </w:r>
    </w:p>
    <w:p w:rsidR="009C1B51" w:rsidRDefault="00F151E0" w:rsidP="000A78D9">
      <w:pPr>
        <w:keepNext/>
        <w:keepLines/>
        <w:tabs>
          <w:tab w:val="left" w:pos="5670"/>
        </w:tabs>
        <w:spacing w:after="0"/>
        <w:ind w:left="1985" w:hanging="1985"/>
        <w:jc w:val="left"/>
      </w:pPr>
      <w:r>
        <w:tab/>
        <w:t>Приложение 4 а и б — С</w:t>
      </w:r>
      <w:bookmarkStart w:id="0" w:name="_GoBack"/>
      <w:bookmarkEnd w:id="0"/>
      <w:r w:rsidR="00A16899">
        <w:t>умите по ЕЗФРСР, платени за финансовите инструменти към 31.12.2015 г.</w:t>
      </w:r>
    </w:p>
    <w:p w:rsidR="00072EC5" w:rsidRDefault="00072EC5" w:rsidP="000A78D9">
      <w:pPr>
        <w:keepNext/>
        <w:keepLines/>
        <w:tabs>
          <w:tab w:val="left" w:pos="5670"/>
        </w:tabs>
        <w:spacing w:after="0"/>
        <w:ind w:left="1985" w:hanging="1985"/>
        <w:jc w:val="left"/>
      </w:pPr>
      <w:r>
        <w:tab/>
        <w:t>Приложение 5 — Потвърждение за превишаване на финансовия план</w:t>
      </w:r>
    </w:p>
    <w:p w:rsidR="00072EC5" w:rsidRPr="00A7162C" w:rsidRDefault="00072EC5" w:rsidP="000A78D9">
      <w:pPr>
        <w:keepNext/>
        <w:keepLines/>
        <w:tabs>
          <w:tab w:val="left" w:pos="5670"/>
        </w:tabs>
        <w:spacing w:after="0"/>
        <w:ind w:left="1985" w:hanging="1985"/>
        <w:jc w:val="left"/>
      </w:pPr>
      <w:r>
        <w:tab/>
        <w:t xml:space="preserve">Приложение 6 — Потвърждение на сумите за приспадания във връзка с прегледа на състоянието и пакета за възстановяване  </w:t>
      </w:r>
    </w:p>
    <w:p w:rsidR="001A65AC" w:rsidRPr="007E5ACB" w:rsidRDefault="001A65AC" w:rsidP="0071452C">
      <w:pPr>
        <w:spacing w:before="240" w:after="480"/>
        <w:jc w:val="center"/>
        <w:rPr>
          <w:sz w:val="22"/>
          <w:szCs w:val="22"/>
        </w:rPr>
      </w:pPr>
      <w:r>
        <w:tab/>
      </w:r>
      <w:r>
        <w:tab/>
      </w:r>
      <w:r>
        <w:tab/>
      </w:r>
    </w:p>
    <w:sectPr w:rsidR="001A65AC" w:rsidRPr="007E5ACB" w:rsidSect="001C2988">
      <w:footerReference w:type="default" r:id="rId10"/>
      <w:headerReference w:type="first" r:id="rId11"/>
      <w:footerReference w:type="first" r:id="rId12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10" w:rsidRDefault="00884A10">
      <w:r>
        <w:separator/>
      </w:r>
    </w:p>
  </w:endnote>
  <w:endnote w:type="continuationSeparator" w:id="0">
    <w:p w:rsidR="00884A10" w:rsidRDefault="0088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9B9" w:rsidRDefault="00D759B9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F151E0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9B9" w:rsidRDefault="00D759B9">
    <w:pPr>
      <w:pStyle w:val="Footer"/>
      <w:rPr>
        <w:sz w:val="24"/>
        <w:szCs w:val="24"/>
      </w:rPr>
    </w:pPr>
  </w:p>
  <w:p w:rsidR="00D759B9" w:rsidRPr="00D51213" w:rsidRDefault="00D759B9">
    <w:pPr>
      <w:pStyle w:val="Footer"/>
    </w:pPr>
    <w:r>
      <w:t xml:space="preserve"> </w:t>
    </w:r>
  </w:p>
  <w:p w:rsidR="00D759B9" w:rsidRPr="00D51213" w:rsidRDefault="00D75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10" w:rsidRDefault="00884A10">
      <w:r>
        <w:separator/>
      </w:r>
    </w:p>
  </w:footnote>
  <w:footnote w:type="continuationSeparator" w:id="0">
    <w:p w:rsidR="00884A10" w:rsidRDefault="00884A10">
      <w:r>
        <w:continuationSeparator/>
      </w:r>
    </w:p>
  </w:footnote>
  <w:footnote w:id="1">
    <w:p w:rsidR="00D759B9" w:rsidRPr="004E17E5" w:rsidRDefault="00D759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Тази информация следва да се предоставя съгласно приложение ІІ към Регламент за изпълнение (ЕС) № [таблиците с X]/2015 на Комисията. Ще се изисква представянето на две годишни декларации: Годишна декларация А), обхващаща периода 16.10.2015 г. — 31.12.2015 г., и годишна декларация Б), обхващаща периода 16.10.2014 г. — 31.12.2015 г. Годишна декларация Б) следва да бъде сумата от годишната декларация А) и годишната декларация по ЕЗФРСР за програмния период 2007 — 2013 г., представена до 15.2.2016 г. </w:t>
      </w:r>
    </w:p>
  </w:footnote>
  <w:footnote w:id="2">
    <w:p w:rsidR="00D759B9" w:rsidRPr="000A78D9" w:rsidRDefault="00D759B9" w:rsidP="002C41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За бюджетните кодове на ЕЗФРСР (F109), приложими за финансовата 2016 г., вж. приложение ІV към Регламент за изпълнение (ЕС) № xxxx/2015 на Комисията — бюджетни кодове, започващи само с 05040501.</w:t>
      </w:r>
    </w:p>
  </w:footnote>
  <w:footnote w:id="3">
    <w:p w:rsidR="00D759B9" w:rsidRPr="005B1AF0" w:rsidRDefault="00D759B9" w:rsidP="00DF541C">
      <w:pPr>
        <w:pStyle w:val="FootnoteText"/>
        <w:rPr>
          <w:highlight w:val="green"/>
        </w:rPr>
      </w:pPr>
      <w:r>
        <w:rPr>
          <w:rStyle w:val="FootnoteReference"/>
        </w:rPr>
        <w:footnoteRef/>
      </w:r>
      <w:r>
        <w:t xml:space="preserve"> </w:t>
      </w:r>
      <w:r>
        <w:tab/>
        <w:t>Обобщен доклад, представен по време на 19-ата среща на Комитета по земеделските фондове, която се проведе на 20.5.2015 г. — документ № D/2053835/2015-02.</w:t>
      </w:r>
    </w:p>
  </w:footnote>
  <w:footnote w:id="4">
    <w:p w:rsidR="00D759B9" w:rsidRPr="007E5ACB" w:rsidRDefault="00D759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За бюджетните кодове на ЕЗФРСР (F109), приложими за финансовата 2016 г., вж. приложение ІV към Регламент за изпълнение (ЕС) № хххх/2015 на Комисията.</w:t>
      </w:r>
    </w:p>
  </w:footnote>
  <w:footnote w:id="5">
    <w:p w:rsidR="00D759B9" w:rsidRPr="00F151E0" w:rsidRDefault="00D759B9">
      <w:pPr>
        <w:pStyle w:val="FootnoteText"/>
      </w:pPr>
      <w:r>
        <w:rPr>
          <w:rStyle w:val="FootnoteReference"/>
        </w:rPr>
        <w:footnoteRef/>
      </w:r>
      <w:r>
        <w:t xml:space="preserve"> Компресиране на данни — формат компресиран (ZIP) файл (.zip).</w:t>
      </w:r>
    </w:p>
  </w:footnote>
  <w:footnote w:id="6">
    <w:p w:rsidR="00D759B9" w:rsidRPr="006C2489" w:rsidRDefault="00D759B9" w:rsidP="003E4EEA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tab/>
        <w:t>Бюджетният код (F109) трябва да бъде създаден в съответствие с приложение ІV към Регламент за изпълнение (ЕС) № 1067/2014 на Комисията (напр. 05040501 — „мярка“ — „процент на съфинансиране“ — „тип програма“ — „номер на програмата“).</w:t>
      </w:r>
    </w:p>
  </w:footnote>
  <w:footnote w:id="7">
    <w:p w:rsidR="00D759B9" w:rsidRPr="003977CB" w:rsidRDefault="00D759B9">
      <w:pPr>
        <w:pStyle w:val="FootnoteText"/>
      </w:pPr>
      <w:r>
        <w:rPr>
          <w:rStyle w:val="FootnoteReference"/>
        </w:rPr>
        <w:footnoteRef/>
      </w:r>
      <w:r>
        <w:t xml:space="preserve"> Вж. приложение II към Регламент за изпълнение (ЕС) № [таблиците с X]/2015 на Комисията.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9B9" w:rsidRDefault="00D759B9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4A67E13"/>
    <w:multiLevelType w:val="hybridMultilevel"/>
    <w:tmpl w:val="0C7072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5652B5"/>
    <w:multiLevelType w:val="multilevel"/>
    <w:tmpl w:val="B10A6748"/>
    <w:lvl w:ilvl="0">
      <w:start w:val="1"/>
      <w:numFmt w:val="decimal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262685D"/>
    <w:multiLevelType w:val="singleLevel"/>
    <w:tmpl w:val="D96C95A2"/>
    <w:lvl w:ilvl="0">
      <w:start w:val="1"/>
      <w:numFmt w:val="bullet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">
    <w:nsid w:val="143D0A16"/>
    <w:multiLevelType w:val="singleLevel"/>
    <w:tmpl w:val="01FA5668"/>
    <w:lvl w:ilvl="0">
      <w:start w:val="1"/>
      <w:numFmt w:val="bullet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>
    <w:nsid w:val="1F1111AD"/>
    <w:multiLevelType w:val="singleLevel"/>
    <w:tmpl w:val="104C99F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>
    <w:nsid w:val="24225E59"/>
    <w:multiLevelType w:val="singleLevel"/>
    <w:tmpl w:val="47806A40"/>
    <w:lvl w:ilvl="0">
      <w:start w:val="1"/>
      <w:numFmt w:val="bullet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8">
    <w:nsid w:val="2C8D5AD3"/>
    <w:multiLevelType w:val="singleLevel"/>
    <w:tmpl w:val="82EE6B70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9">
    <w:nsid w:val="2E1337D5"/>
    <w:multiLevelType w:val="singleLevel"/>
    <w:tmpl w:val="9E7A5A0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>
    <w:nsid w:val="3A674ADA"/>
    <w:multiLevelType w:val="singleLevel"/>
    <w:tmpl w:val="9E7A5A0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>
    <w:nsid w:val="3A7730C4"/>
    <w:multiLevelType w:val="singleLevel"/>
    <w:tmpl w:val="456C96DE"/>
    <w:lvl w:ilvl="0">
      <w:start w:val="1"/>
      <w:numFmt w:val="bullet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2">
    <w:nsid w:val="3AD003CB"/>
    <w:multiLevelType w:val="singleLevel"/>
    <w:tmpl w:val="104C99F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5481EA4"/>
    <w:multiLevelType w:val="multilevel"/>
    <w:tmpl w:val="28525E6E"/>
    <w:lvl w:ilvl="0">
      <w:start w:val="1"/>
      <w:numFmt w:val="decimal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5FE51B5"/>
    <w:multiLevelType w:val="hybridMultilevel"/>
    <w:tmpl w:val="8CFC23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5D172F"/>
    <w:multiLevelType w:val="multilevel"/>
    <w:tmpl w:val="6AEE9BA4"/>
    <w:lvl w:ilvl="0">
      <w:start w:val="1"/>
      <w:numFmt w:val="decimal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8860AAB"/>
    <w:multiLevelType w:val="multilevel"/>
    <w:tmpl w:val="E8744BD2"/>
    <w:lvl w:ilvl="0">
      <w:start w:val="1"/>
      <w:numFmt w:val="decimal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3787659"/>
    <w:multiLevelType w:val="hybridMultilevel"/>
    <w:tmpl w:val="0A887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16160"/>
    <w:multiLevelType w:val="hybridMultilevel"/>
    <w:tmpl w:val="10F2813E"/>
    <w:lvl w:ilvl="0" w:tplc="5EE4A51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4BD0BEC"/>
    <w:multiLevelType w:val="singleLevel"/>
    <w:tmpl w:val="72D6F37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2">
    <w:nsid w:val="574C3E84"/>
    <w:multiLevelType w:val="hybridMultilevel"/>
    <w:tmpl w:val="155CD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616C1"/>
    <w:multiLevelType w:val="singleLevel"/>
    <w:tmpl w:val="9E7A5A0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4">
    <w:nsid w:val="64D21010"/>
    <w:multiLevelType w:val="hybridMultilevel"/>
    <w:tmpl w:val="EF94827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62B5C67"/>
    <w:multiLevelType w:val="singleLevel"/>
    <w:tmpl w:val="40D2097A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668A10F7"/>
    <w:multiLevelType w:val="singleLevel"/>
    <w:tmpl w:val="BD783356"/>
    <w:lvl w:ilvl="0">
      <w:start w:val="1"/>
      <w:numFmt w:val="bullet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7">
    <w:nsid w:val="67671EEF"/>
    <w:multiLevelType w:val="singleLevel"/>
    <w:tmpl w:val="249CEA72"/>
    <w:lvl w:ilvl="0">
      <w:start w:val="1"/>
      <w:numFmt w:val="bullet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>
    <w:nsid w:val="6D176B68"/>
    <w:multiLevelType w:val="singleLevel"/>
    <w:tmpl w:val="15E8CC0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9">
    <w:nsid w:val="6E5C21E3"/>
    <w:multiLevelType w:val="singleLevel"/>
    <w:tmpl w:val="91AE4CCA"/>
    <w:lvl w:ilvl="0">
      <w:start w:val="1"/>
      <w:numFmt w:val="bullet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0">
    <w:nsid w:val="795F0C82"/>
    <w:multiLevelType w:val="singleLevel"/>
    <w:tmpl w:val="104C99F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1"/>
  </w:num>
  <w:num w:numId="5">
    <w:abstractNumId w:val="11"/>
  </w:num>
  <w:num w:numId="6">
    <w:abstractNumId w:val="8"/>
  </w:num>
  <w:num w:numId="7">
    <w:abstractNumId w:val="5"/>
  </w:num>
  <w:num w:numId="8">
    <w:abstractNumId w:val="4"/>
  </w:num>
  <w:num w:numId="9">
    <w:abstractNumId w:val="25"/>
  </w:num>
  <w:num w:numId="10">
    <w:abstractNumId w:val="27"/>
  </w:num>
  <w:num w:numId="11">
    <w:abstractNumId w:val="26"/>
  </w:num>
  <w:num w:numId="12">
    <w:abstractNumId w:val="29"/>
  </w:num>
  <w:num w:numId="13">
    <w:abstractNumId w:val="7"/>
  </w:num>
  <w:num w:numId="14">
    <w:abstractNumId w:val="13"/>
  </w:num>
  <w:num w:numId="15">
    <w:abstractNumId w:val="16"/>
  </w:num>
  <w:num w:numId="16">
    <w:abstractNumId w:val="14"/>
  </w:num>
  <w:num w:numId="17">
    <w:abstractNumId w:val="3"/>
  </w:num>
  <w:num w:numId="18">
    <w:abstractNumId w:val="17"/>
  </w:num>
  <w:num w:numId="19">
    <w:abstractNumId w:val="12"/>
  </w:num>
  <w:num w:numId="20">
    <w:abstractNumId w:val="6"/>
  </w:num>
  <w:num w:numId="21">
    <w:abstractNumId w:val="10"/>
  </w:num>
  <w:num w:numId="22">
    <w:abstractNumId w:val="23"/>
  </w:num>
  <w:num w:numId="23">
    <w:abstractNumId w:val="9"/>
  </w:num>
  <w:num w:numId="24">
    <w:abstractNumId w:val="30"/>
  </w:num>
  <w:num w:numId="25">
    <w:abstractNumId w:val="28"/>
  </w:num>
  <w:num w:numId="26">
    <w:abstractNumId w:val="15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2"/>
  </w:num>
  <w:num w:numId="32">
    <w:abstractNumId w:val="19"/>
  </w:num>
  <w:num w:numId="33">
    <w:abstractNumId w:val="24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T"/>
  </w:docVars>
  <w:rsids>
    <w:rsidRoot w:val="00D51213"/>
    <w:rsid w:val="00000505"/>
    <w:rsid w:val="000018D9"/>
    <w:rsid w:val="00001B75"/>
    <w:rsid w:val="00001E35"/>
    <w:rsid w:val="00002263"/>
    <w:rsid w:val="00004238"/>
    <w:rsid w:val="00004A4F"/>
    <w:rsid w:val="00006479"/>
    <w:rsid w:val="00006EA9"/>
    <w:rsid w:val="00015088"/>
    <w:rsid w:val="0001547F"/>
    <w:rsid w:val="000225DA"/>
    <w:rsid w:val="000257C7"/>
    <w:rsid w:val="00026F85"/>
    <w:rsid w:val="00034C17"/>
    <w:rsid w:val="0003515D"/>
    <w:rsid w:val="00040C03"/>
    <w:rsid w:val="00046A80"/>
    <w:rsid w:val="00050369"/>
    <w:rsid w:val="00051AB4"/>
    <w:rsid w:val="00052848"/>
    <w:rsid w:val="0005301D"/>
    <w:rsid w:val="00054B84"/>
    <w:rsid w:val="0007123F"/>
    <w:rsid w:val="00071989"/>
    <w:rsid w:val="00071EB7"/>
    <w:rsid w:val="00072EC5"/>
    <w:rsid w:val="000734B9"/>
    <w:rsid w:val="00075D01"/>
    <w:rsid w:val="000825DF"/>
    <w:rsid w:val="00083CA6"/>
    <w:rsid w:val="00084F3E"/>
    <w:rsid w:val="00091455"/>
    <w:rsid w:val="000955DF"/>
    <w:rsid w:val="00097002"/>
    <w:rsid w:val="000A023B"/>
    <w:rsid w:val="000A137C"/>
    <w:rsid w:val="000A1822"/>
    <w:rsid w:val="000A338B"/>
    <w:rsid w:val="000A3BC4"/>
    <w:rsid w:val="000A78D9"/>
    <w:rsid w:val="000A7C6A"/>
    <w:rsid w:val="000B0D34"/>
    <w:rsid w:val="000B14DC"/>
    <w:rsid w:val="000B2896"/>
    <w:rsid w:val="000B35A5"/>
    <w:rsid w:val="000B4440"/>
    <w:rsid w:val="000B4551"/>
    <w:rsid w:val="000B45CD"/>
    <w:rsid w:val="000B6438"/>
    <w:rsid w:val="000B64A6"/>
    <w:rsid w:val="000C2F3E"/>
    <w:rsid w:val="000D20AA"/>
    <w:rsid w:val="000D26E8"/>
    <w:rsid w:val="000D4451"/>
    <w:rsid w:val="000D79E1"/>
    <w:rsid w:val="000E1BAD"/>
    <w:rsid w:val="000E1DF6"/>
    <w:rsid w:val="000E4693"/>
    <w:rsid w:val="000E48C7"/>
    <w:rsid w:val="000E5E98"/>
    <w:rsid w:val="000F0621"/>
    <w:rsid w:val="000F246E"/>
    <w:rsid w:val="000F35AE"/>
    <w:rsid w:val="000F55B8"/>
    <w:rsid w:val="000F67A7"/>
    <w:rsid w:val="001067FC"/>
    <w:rsid w:val="00107D19"/>
    <w:rsid w:val="00110ADE"/>
    <w:rsid w:val="00110B62"/>
    <w:rsid w:val="001113F5"/>
    <w:rsid w:val="0011592B"/>
    <w:rsid w:val="001169CC"/>
    <w:rsid w:val="00117D3A"/>
    <w:rsid w:val="001200EB"/>
    <w:rsid w:val="0012223A"/>
    <w:rsid w:val="00123FA1"/>
    <w:rsid w:val="001270CD"/>
    <w:rsid w:val="0013095B"/>
    <w:rsid w:val="00131F6A"/>
    <w:rsid w:val="001341F1"/>
    <w:rsid w:val="00134EC7"/>
    <w:rsid w:val="00135F05"/>
    <w:rsid w:val="00135F9D"/>
    <w:rsid w:val="001368A2"/>
    <w:rsid w:val="001405A8"/>
    <w:rsid w:val="00140751"/>
    <w:rsid w:val="0014458F"/>
    <w:rsid w:val="00146CF6"/>
    <w:rsid w:val="0014784D"/>
    <w:rsid w:val="001503A9"/>
    <w:rsid w:val="001509C1"/>
    <w:rsid w:val="001577AF"/>
    <w:rsid w:val="00160AA9"/>
    <w:rsid w:val="00162690"/>
    <w:rsid w:val="00164385"/>
    <w:rsid w:val="00167997"/>
    <w:rsid w:val="00170F52"/>
    <w:rsid w:val="00173551"/>
    <w:rsid w:val="001738C5"/>
    <w:rsid w:val="00174697"/>
    <w:rsid w:val="0018555F"/>
    <w:rsid w:val="00187709"/>
    <w:rsid w:val="00192072"/>
    <w:rsid w:val="00192BF7"/>
    <w:rsid w:val="00194364"/>
    <w:rsid w:val="00196B0D"/>
    <w:rsid w:val="001A03D1"/>
    <w:rsid w:val="001A08C2"/>
    <w:rsid w:val="001A1166"/>
    <w:rsid w:val="001A1742"/>
    <w:rsid w:val="001A65AC"/>
    <w:rsid w:val="001A6FDC"/>
    <w:rsid w:val="001B4AF1"/>
    <w:rsid w:val="001B64E0"/>
    <w:rsid w:val="001C2988"/>
    <w:rsid w:val="001C33B5"/>
    <w:rsid w:val="001C3E6C"/>
    <w:rsid w:val="001C7D3E"/>
    <w:rsid w:val="001D0B19"/>
    <w:rsid w:val="001D2DC4"/>
    <w:rsid w:val="001D30B3"/>
    <w:rsid w:val="001D3824"/>
    <w:rsid w:val="001D3F9B"/>
    <w:rsid w:val="001D42E1"/>
    <w:rsid w:val="001D5336"/>
    <w:rsid w:val="001E087C"/>
    <w:rsid w:val="001E0CC9"/>
    <w:rsid w:val="001E2CB3"/>
    <w:rsid w:val="001E41FF"/>
    <w:rsid w:val="001E53EE"/>
    <w:rsid w:val="001E60E7"/>
    <w:rsid w:val="001F1129"/>
    <w:rsid w:val="001F38FA"/>
    <w:rsid w:val="002109CD"/>
    <w:rsid w:val="00211815"/>
    <w:rsid w:val="00211C72"/>
    <w:rsid w:val="00217AA4"/>
    <w:rsid w:val="00220A25"/>
    <w:rsid w:val="00221008"/>
    <w:rsid w:val="00223C4A"/>
    <w:rsid w:val="00227EAB"/>
    <w:rsid w:val="00230A3D"/>
    <w:rsid w:val="002312D8"/>
    <w:rsid w:val="0023249D"/>
    <w:rsid w:val="00232944"/>
    <w:rsid w:val="00232F25"/>
    <w:rsid w:val="00233D5F"/>
    <w:rsid w:val="002358F6"/>
    <w:rsid w:val="0023600F"/>
    <w:rsid w:val="002371C6"/>
    <w:rsid w:val="00237D6C"/>
    <w:rsid w:val="002418DD"/>
    <w:rsid w:val="00242BB6"/>
    <w:rsid w:val="002450A8"/>
    <w:rsid w:val="0024604D"/>
    <w:rsid w:val="00251DC8"/>
    <w:rsid w:val="00252069"/>
    <w:rsid w:val="0025209A"/>
    <w:rsid w:val="00252204"/>
    <w:rsid w:val="002537E0"/>
    <w:rsid w:val="002648BC"/>
    <w:rsid w:val="00265CE3"/>
    <w:rsid w:val="00265F36"/>
    <w:rsid w:val="002665E9"/>
    <w:rsid w:val="00266A39"/>
    <w:rsid w:val="00266FA2"/>
    <w:rsid w:val="00270F52"/>
    <w:rsid w:val="00274C90"/>
    <w:rsid w:val="00283485"/>
    <w:rsid w:val="00283841"/>
    <w:rsid w:val="00284062"/>
    <w:rsid w:val="00285231"/>
    <w:rsid w:val="00287E94"/>
    <w:rsid w:val="00290FB8"/>
    <w:rsid w:val="00294997"/>
    <w:rsid w:val="00295FDB"/>
    <w:rsid w:val="002A0569"/>
    <w:rsid w:val="002A39E5"/>
    <w:rsid w:val="002A4826"/>
    <w:rsid w:val="002A533B"/>
    <w:rsid w:val="002A6DFA"/>
    <w:rsid w:val="002A7464"/>
    <w:rsid w:val="002B0D9F"/>
    <w:rsid w:val="002B4333"/>
    <w:rsid w:val="002B606B"/>
    <w:rsid w:val="002B69CE"/>
    <w:rsid w:val="002C1C9B"/>
    <w:rsid w:val="002C2B35"/>
    <w:rsid w:val="002C4186"/>
    <w:rsid w:val="002C5D80"/>
    <w:rsid w:val="002C677C"/>
    <w:rsid w:val="002D102A"/>
    <w:rsid w:val="002D33D7"/>
    <w:rsid w:val="002D367F"/>
    <w:rsid w:val="002D4568"/>
    <w:rsid w:val="002D7BAD"/>
    <w:rsid w:val="002E2D4C"/>
    <w:rsid w:val="002E2D81"/>
    <w:rsid w:val="002E477C"/>
    <w:rsid w:val="002E6CE8"/>
    <w:rsid w:val="002F0064"/>
    <w:rsid w:val="002F0B2E"/>
    <w:rsid w:val="002F4BC3"/>
    <w:rsid w:val="002F4D70"/>
    <w:rsid w:val="002F699B"/>
    <w:rsid w:val="002F6D54"/>
    <w:rsid w:val="002F72B8"/>
    <w:rsid w:val="002F76BF"/>
    <w:rsid w:val="002F7D86"/>
    <w:rsid w:val="00303896"/>
    <w:rsid w:val="00305017"/>
    <w:rsid w:val="00306C5A"/>
    <w:rsid w:val="00310D56"/>
    <w:rsid w:val="00311390"/>
    <w:rsid w:val="00312571"/>
    <w:rsid w:val="00316721"/>
    <w:rsid w:val="003173A3"/>
    <w:rsid w:val="003206C1"/>
    <w:rsid w:val="00320AA0"/>
    <w:rsid w:val="00324EF3"/>
    <w:rsid w:val="00324F9D"/>
    <w:rsid w:val="00326D10"/>
    <w:rsid w:val="00327FEF"/>
    <w:rsid w:val="00332878"/>
    <w:rsid w:val="00334189"/>
    <w:rsid w:val="003341B8"/>
    <w:rsid w:val="00335D16"/>
    <w:rsid w:val="003426C6"/>
    <w:rsid w:val="003434BD"/>
    <w:rsid w:val="00344D72"/>
    <w:rsid w:val="003459B9"/>
    <w:rsid w:val="00346784"/>
    <w:rsid w:val="003524CA"/>
    <w:rsid w:val="00352DA8"/>
    <w:rsid w:val="00355ABC"/>
    <w:rsid w:val="0036248C"/>
    <w:rsid w:val="00364647"/>
    <w:rsid w:val="003704C1"/>
    <w:rsid w:val="0037149A"/>
    <w:rsid w:val="00372632"/>
    <w:rsid w:val="00374115"/>
    <w:rsid w:val="00374BA0"/>
    <w:rsid w:val="00381DA5"/>
    <w:rsid w:val="00387057"/>
    <w:rsid w:val="003873F2"/>
    <w:rsid w:val="00390B28"/>
    <w:rsid w:val="00397338"/>
    <w:rsid w:val="003977CB"/>
    <w:rsid w:val="003A17FF"/>
    <w:rsid w:val="003A1C55"/>
    <w:rsid w:val="003A2554"/>
    <w:rsid w:val="003A3836"/>
    <w:rsid w:val="003B0902"/>
    <w:rsid w:val="003B0CF9"/>
    <w:rsid w:val="003B0D5D"/>
    <w:rsid w:val="003B2559"/>
    <w:rsid w:val="003B645F"/>
    <w:rsid w:val="003B651E"/>
    <w:rsid w:val="003B6E6D"/>
    <w:rsid w:val="003C0DFD"/>
    <w:rsid w:val="003C1E3A"/>
    <w:rsid w:val="003C6F42"/>
    <w:rsid w:val="003D158F"/>
    <w:rsid w:val="003D2EA8"/>
    <w:rsid w:val="003D3206"/>
    <w:rsid w:val="003D4555"/>
    <w:rsid w:val="003D4C9B"/>
    <w:rsid w:val="003D53D3"/>
    <w:rsid w:val="003D549D"/>
    <w:rsid w:val="003D7B16"/>
    <w:rsid w:val="003E4EEA"/>
    <w:rsid w:val="003F2162"/>
    <w:rsid w:val="003F3188"/>
    <w:rsid w:val="003F5BFB"/>
    <w:rsid w:val="003F779F"/>
    <w:rsid w:val="004004B0"/>
    <w:rsid w:val="00401E96"/>
    <w:rsid w:val="00402154"/>
    <w:rsid w:val="00402926"/>
    <w:rsid w:val="00410D3B"/>
    <w:rsid w:val="00411424"/>
    <w:rsid w:val="00412149"/>
    <w:rsid w:val="004121CC"/>
    <w:rsid w:val="004131CB"/>
    <w:rsid w:val="00420029"/>
    <w:rsid w:val="00421598"/>
    <w:rsid w:val="0042208C"/>
    <w:rsid w:val="00423D6D"/>
    <w:rsid w:val="00427100"/>
    <w:rsid w:val="00427741"/>
    <w:rsid w:val="00431A73"/>
    <w:rsid w:val="00431E7B"/>
    <w:rsid w:val="004345DD"/>
    <w:rsid w:val="00434F7E"/>
    <w:rsid w:val="00444046"/>
    <w:rsid w:val="00445974"/>
    <w:rsid w:val="00450D38"/>
    <w:rsid w:val="00451A53"/>
    <w:rsid w:val="0045255B"/>
    <w:rsid w:val="00453CFF"/>
    <w:rsid w:val="004543E7"/>
    <w:rsid w:val="00455459"/>
    <w:rsid w:val="00456337"/>
    <w:rsid w:val="00457D56"/>
    <w:rsid w:val="00463E43"/>
    <w:rsid w:val="00466A83"/>
    <w:rsid w:val="004721A1"/>
    <w:rsid w:val="0047222E"/>
    <w:rsid w:val="0047563E"/>
    <w:rsid w:val="00480586"/>
    <w:rsid w:val="0048614A"/>
    <w:rsid w:val="00487CCC"/>
    <w:rsid w:val="00492FE4"/>
    <w:rsid w:val="004B3702"/>
    <w:rsid w:val="004B797D"/>
    <w:rsid w:val="004C0475"/>
    <w:rsid w:val="004C3E5B"/>
    <w:rsid w:val="004C52FA"/>
    <w:rsid w:val="004C5F31"/>
    <w:rsid w:val="004D185F"/>
    <w:rsid w:val="004D30B0"/>
    <w:rsid w:val="004D4C86"/>
    <w:rsid w:val="004D69E6"/>
    <w:rsid w:val="004E08C1"/>
    <w:rsid w:val="004E0ADC"/>
    <w:rsid w:val="004E17E5"/>
    <w:rsid w:val="004E4791"/>
    <w:rsid w:val="004E72E7"/>
    <w:rsid w:val="004F1634"/>
    <w:rsid w:val="004F2C60"/>
    <w:rsid w:val="004F30C6"/>
    <w:rsid w:val="004F3EB3"/>
    <w:rsid w:val="0050391F"/>
    <w:rsid w:val="00503BC1"/>
    <w:rsid w:val="00504C99"/>
    <w:rsid w:val="00506B5F"/>
    <w:rsid w:val="00510647"/>
    <w:rsid w:val="00510715"/>
    <w:rsid w:val="00513D3E"/>
    <w:rsid w:val="00516795"/>
    <w:rsid w:val="00523151"/>
    <w:rsid w:val="00524935"/>
    <w:rsid w:val="00525B29"/>
    <w:rsid w:val="00525DF8"/>
    <w:rsid w:val="00530CF2"/>
    <w:rsid w:val="005359FB"/>
    <w:rsid w:val="005371EE"/>
    <w:rsid w:val="00545F39"/>
    <w:rsid w:val="00547B42"/>
    <w:rsid w:val="00550869"/>
    <w:rsid w:val="0055222E"/>
    <w:rsid w:val="00554B4B"/>
    <w:rsid w:val="005611F5"/>
    <w:rsid w:val="00561F9C"/>
    <w:rsid w:val="00562E1D"/>
    <w:rsid w:val="00565944"/>
    <w:rsid w:val="0057006F"/>
    <w:rsid w:val="005837D6"/>
    <w:rsid w:val="00585383"/>
    <w:rsid w:val="005900F5"/>
    <w:rsid w:val="00590FE9"/>
    <w:rsid w:val="005A136D"/>
    <w:rsid w:val="005A4211"/>
    <w:rsid w:val="005A4B57"/>
    <w:rsid w:val="005B0DE8"/>
    <w:rsid w:val="005B1AF0"/>
    <w:rsid w:val="005B1D7E"/>
    <w:rsid w:val="005B6AAF"/>
    <w:rsid w:val="005C33CA"/>
    <w:rsid w:val="005C3559"/>
    <w:rsid w:val="005C40C0"/>
    <w:rsid w:val="005C7A15"/>
    <w:rsid w:val="005C7D4B"/>
    <w:rsid w:val="005D19E3"/>
    <w:rsid w:val="005D1DCF"/>
    <w:rsid w:val="005D2415"/>
    <w:rsid w:val="005D58EC"/>
    <w:rsid w:val="005D7016"/>
    <w:rsid w:val="005E1E61"/>
    <w:rsid w:val="005E3353"/>
    <w:rsid w:val="005F6B14"/>
    <w:rsid w:val="005F799F"/>
    <w:rsid w:val="00600036"/>
    <w:rsid w:val="00600646"/>
    <w:rsid w:val="0060203E"/>
    <w:rsid w:val="00602A50"/>
    <w:rsid w:val="00605177"/>
    <w:rsid w:val="00605790"/>
    <w:rsid w:val="00607A41"/>
    <w:rsid w:val="00611053"/>
    <w:rsid w:val="006117A1"/>
    <w:rsid w:val="00611A4A"/>
    <w:rsid w:val="00611A54"/>
    <w:rsid w:val="006133F2"/>
    <w:rsid w:val="00613EED"/>
    <w:rsid w:val="00620B44"/>
    <w:rsid w:val="00623FBE"/>
    <w:rsid w:val="00624FE9"/>
    <w:rsid w:val="006257A8"/>
    <w:rsid w:val="00625BA1"/>
    <w:rsid w:val="00625BF0"/>
    <w:rsid w:val="006301C4"/>
    <w:rsid w:val="00632308"/>
    <w:rsid w:val="00634659"/>
    <w:rsid w:val="00634F3C"/>
    <w:rsid w:val="00635616"/>
    <w:rsid w:val="00637DE0"/>
    <w:rsid w:val="006403B8"/>
    <w:rsid w:val="00640D73"/>
    <w:rsid w:val="006423CD"/>
    <w:rsid w:val="00642E3B"/>
    <w:rsid w:val="006453F8"/>
    <w:rsid w:val="006469B6"/>
    <w:rsid w:val="00647424"/>
    <w:rsid w:val="0065120F"/>
    <w:rsid w:val="00653530"/>
    <w:rsid w:val="006539B9"/>
    <w:rsid w:val="00653B91"/>
    <w:rsid w:val="00656E80"/>
    <w:rsid w:val="00660663"/>
    <w:rsid w:val="00661806"/>
    <w:rsid w:val="006629C9"/>
    <w:rsid w:val="006645B6"/>
    <w:rsid w:val="00664AEF"/>
    <w:rsid w:val="00665B41"/>
    <w:rsid w:val="00665E1A"/>
    <w:rsid w:val="006666A6"/>
    <w:rsid w:val="00672A1E"/>
    <w:rsid w:val="00673BCE"/>
    <w:rsid w:val="006745CD"/>
    <w:rsid w:val="006814F0"/>
    <w:rsid w:val="00681EFE"/>
    <w:rsid w:val="00683EA5"/>
    <w:rsid w:val="006871C5"/>
    <w:rsid w:val="00691EEA"/>
    <w:rsid w:val="00695086"/>
    <w:rsid w:val="006A2ED1"/>
    <w:rsid w:val="006A577F"/>
    <w:rsid w:val="006A5D80"/>
    <w:rsid w:val="006A6AA8"/>
    <w:rsid w:val="006A7084"/>
    <w:rsid w:val="006B0D9F"/>
    <w:rsid w:val="006B4AC5"/>
    <w:rsid w:val="006B567B"/>
    <w:rsid w:val="006C002C"/>
    <w:rsid w:val="006C1974"/>
    <w:rsid w:val="006C2489"/>
    <w:rsid w:val="006C4C22"/>
    <w:rsid w:val="006D1419"/>
    <w:rsid w:val="006D4240"/>
    <w:rsid w:val="006D5876"/>
    <w:rsid w:val="006D58A3"/>
    <w:rsid w:val="006D5CEA"/>
    <w:rsid w:val="006E3128"/>
    <w:rsid w:val="006E506B"/>
    <w:rsid w:val="006E7FA8"/>
    <w:rsid w:val="006F0120"/>
    <w:rsid w:val="006F2353"/>
    <w:rsid w:val="006F451E"/>
    <w:rsid w:val="006F511F"/>
    <w:rsid w:val="006F7932"/>
    <w:rsid w:val="006F7E60"/>
    <w:rsid w:val="00700F76"/>
    <w:rsid w:val="00701FDA"/>
    <w:rsid w:val="00702C39"/>
    <w:rsid w:val="00703B15"/>
    <w:rsid w:val="00705275"/>
    <w:rsid w:val="00710C63"/>
    <w:rsid w:val="0071452C"/>
    <w:rsid w:val="0071560D"/>
    <w:rsid w:val="007173B0"/>
    <w:rsid w:val="007238C1"/>
    <w:rsid w:val="0072577A"/>
    <w:rsid w:val="0072633B"/>
    <w:rsid w:val="00731940"/>
    <w:rsid w:val="0073450A"/>
    <w:rsid w:val="007362FE"/>
    <w:rsid w:val="00737E7F"/>
    <w:rsid w:val="00742EB9"/>
    <w:rsid w:val="00742FCD"/>
    <w:rsid w:val="00745F4E"/>
    <w:rsid w:val="00750D34"/>
    <w:rsid w:val="007526B8"/>
    <w:rsid w:val="00753323"/>
    <w:rsid w:val="00757B21"/>
    <w:rsid w:val="00761A0B"/>
    <w:rsid w:val="007631BE"/>
    <w:rsid w:val="00763F90"/>
    <w:rsid w:val="00767028"/>
    <w:rsid w:val="00767703"/>
    <w:rsid w:val="00767FCB"/>
    <w:rsid w:val="007707BF"/>
    <w:rsid w:val="007708FB"/>
    <w:rsid w:val="00774B30"/>
    <w:rsid w:val="007757B1"/>
    <w:rsid w:val="0078287F"/>
    <w:rsid w:val="00783E91"/>
    <w:rsid w:val="00792DF5"/>
    <w:rsid w:val="0079308B"/>
    <w:rsid w:val="007A0AAC"/>
    <w:rsid w:val="007A49A9"/>
    <w:rsid w:val="007A6632"/>
    <w:rsid w:val="007A7934"/>
    <w:rsid w:val="007B4CEE"/>
    <w:rsid w:val="007B7B2A"/>
    <w:rsid w:val="007B7CC0"/>
    <w:rsid w:val="007B7EFE"/>
    <w:rsid w:val="007C2497"/>
    <w:rsid w:val="007C561D"/>
    <w:rsid w:val="007C7269"/>
    <w:rsid w:val="007D0CA4"/>
    <w:rsid w:val="007D17E1"/>
    <w:rsid w:val="007D3217"/>
    <w:rsid w:val="007D5F0B"/>
    <w:rsid w:val="007D7121"/>
    <w:rsid w:val="007E5ACB"/>
    <w:rsid w:val="007F3B5B"/>
    <w:rsid w:val="00801326"/>
    <w:rsid w:val="00801375"/>
    <w:rsid w:val="00801377"/>
    <w:rsid w:val="0080197D"/>
    <w:rsid w:val="00805B2A"/>
    <w:rsid w:val="00807C53"/>
    <w:rsid w:val="008100CE"/>
    <w:rsid w:val="0081123D"/>
    <w:rsid w:val="00811353"/>
    <w:rsid w:val="00812384"/>
    <w:rsid w:val="00813B6D"/>
    <w:rsid w:val="00814ECA"/>
    <w:rsid w:val="00816042"/>
    <w:rsid w:val="00820B9E"/>
    <w:rsid w:val="00820C6A"/>
    <w:rsid w:val="008217BF"/>
    <w:rsid w:val="00821E83"/>
    <w:rsid w:val="00824329"/>
    <w:rsid w:val="00825238"/>
    <w:rsid w:val="00827D59"/>
    <w:rsid w:val="008321FF"/>
    <w:rsid w:val="00844DA5"/>
    <w:rsid w:val="00845800"/>
    <w:rsid w:val="00846024"/>
    <w:rsid w:val="00847EBE"/>
    <w:rsid w:val="008548DD"/>
    <w:rsid w:val="00861247"/>
    <w:rsid w:val="00863493"/>
    <w:rsid w:val="00865FF7"/>
    <w:rsid w:val="00871F31"/>
    <w:rsid w:val="0087642E"/>
    <w:rsid w:val="0087797A"/>
    <w:rsid w:val="00877E4E"/>
    <w:rsid w:val="00881C59"/>
    <w:rsid w:val="00884A10"/>
    <w:rsid w:val="00886471"/>
    <w:rsid w:val="00891FC7"/>
    <w:rsid w:val="00893537"/>
    <w:rsid w:val="00893BBC"/>
    <w:rsid w:val="00894BB4"/>
    <w:rsid w:val="00896846"/>
    <w:rsid w:val="00896988"/>
    <w:rsid w:val="008A2E0C"/>
    <w:rsid w:val="008A368A"/>
    <w:rsid w:val="008A5D7D"/>
    <w:rsid w:val="008A6C22"/>
    <w:rsid w:val="008B1B47"/>
    <w:rsid w:val="008B20D7"/>
    <w:rsid w:val="008B348B"/>
    <w:rsid w:val="008B3B54"/>
    <w:rsid w:val="008B3F28"/>
    <w:rsid w:val="008B4748"/>
    <w:rsid w:val="008C3055"/>
    <w:rsid w:val="008C3191"/>
    <w:rsid w:val="008C3ED8"/>
    <w:rsid w:val="008C5BC4"/>
    <w:rsid w:val="008D6B8B"/>
    <w:rsid w:val="008D7E56"/>
    <w:rsid w:val="008E00FB"/>
    <w:rsid w:val="008E1DA3"/>
    <w:rsid w:val="008E2595"/>
    <w:rsid w:val="008E3B9D"/>
    <w:rsid w:val="008E4DAC"/>
    <w:rsid w:val="008E5231"/>
    <w:rsid w:val="008E67DE"/>
    <w:rsid w:val="008E783D"/>
    <w:rsid w:val="008E7B76"/>
    <w:rsid w:val="008F0D86"/>
    <w:rsid w:val="008F3259"/>
    <w:rsid w:val="008F37B5"/>
    <w:rsid w:val="008F3823"/>
    <w:rsid w:val="008F45A5"/>
    <w:rsid w:val="008F4D9B"/>
    <w:rsid w:val="008F683B"/>
    <w:rsid w:val="0090057C"/>
    <w:rsid w:val="00900F27"/>
    <w:rsid w:val="00900F3C"/>
    <w:rsid w:val="009066FE"/>
    <w:rsid w:val="00910366"/>
    <w:rsid w:val="00912375"/>
    <w:rsid w:val="00913038"/>
    <w:rsid w:val="00914DD5"/>
    <w:rsid w:val="00920EC1"/>
    <w:rsid w:val="00927A81"/>
    <w:rsid w:val="00927E20"/>
    <w:rsid w:val="00930E2E"/>
    <w:rsid w:val="0093459F"/>
    <w:rsid w:val="00935F6F"/>
    <w:rsid w:val="009368F0"/>
    <w:rsid w:val="00937878"/>
    <w:rsid w:val="00941B5A"/>
    <w:rsid w:val="00942A1F"/>
    <w:rsid w:val="009435D7"/>
    <w:rsid w:val="009450C7"/>
    <w:rsid w:val="00945FBD"/>
    <w:rsid w:val="00946E63"/>
    <w:rsid w:val="00951575"/>
    <w:rsid w:val="0095544B"/>
    <w:rsid w:val="00961173"/>
    <w:rsid w:val="00964334"/>
    <w:rsid w:val="00965465"/>
    <w:rsid w:val="00966A38"/>
    <w:rsid w:val="00967709"/>
    <w:rsid w:val="00975630"/>
    <w:rsid w:val="00975C28"/>
    <w:rsid w:val="0097671C"/>
    <w:rsid w:val="00981A5A"/>
    <w:rsid w:val="009823DD"/>
    <w:rsid w:val="00990DF0"/>
    <w:rsid w:val="00995BD0"/>
    <w:rsid w:val="00996171"/>
    <w:rsid w:val="009A0291"/>
    <w:rsid w:val="009A1445"/>
    <w:rsid w:val="009A24D9"/>
    <w:rsid w:val="009A49F2"/>
    <w:rsid w:val="009A5D62"/>
    <w:rsid w:val="009B1BD7"/>
    <w:rsid w:val="009B298C"/>
    <w:rsid w:val="009B584A"/>
    <w:rsid w:val="009B6660"/>
    <w:rsid w:val="009C125A"/>
    <w:rsid w:val="009C1AA6"/>
    <w:rsid w:val="009C1B51"/>
    <w:rsid w:val="009C251B"/>
    <w:rsid w:val="009C54C5"/>
    <w:rsid w:val="009C637E"/>
    <w:rsid w:val="009D33FC"/>
    <w:rsid w:val="009D3FE6"/>
    <w:rsid w:val="009E2CE8"/>
    <w:rsid w:val="009E2ED7"/>
    <w:rsid w:val="009E738F"/>
    <w:rsid w:val="009F020F"/>
    <w:rsid w:val="009F21A5"/>
    <w:rsid w:val="009F2505"/>
    <w:rsid w:val="009F2FFD"/>
    <w:rsid w:val="009F3BD4"/>
    <w:rsid w:val="009F53EC"/>
    <w:rsid w:val="009F69A3"/>
    <w:rsid w:val="00A00821"/>
    <w:rsid w:val="00A00CD4"/>
    <w:rsid w:val="00A0133F"/>
    <w:rsid w:val="00A017F5"/>
    <w:rsid w:val="00A044AD"/>
    <w:rsid w:val="00A0727C"/>
    <w:rsid w:val="00A072DD"/>
    <w:rsid w:val="00A10FBD"/>
    <w:rsid w:val="00A11A2F"/>
    <w:rsid w:val="00A11E92"/>
    <w:rsid w:val="00A131EF"/>
    <w:rsid w:val="00A1610C"/>
    <w:rsid w:val="00A16899"/>
    <w:rsid w:val="00A2022C"/>
    <w:rsid w:val="00A20466"/>
    <w:rsid w:val="00A2226C"/>
    <w:rsid w:val="00A229DA"/>
    <w:rsid w:val="00A23129"/>
    <w:rsid w:val="00A238B4"/>
    <w:rsid w:val="00A25EC5"/>
    <w:rsid w:val="00A3047C"/>
    <w:rsid w:val="00A30840"/>
    <w:rsid w:val="00A32620"/>
    <w:rsid w:val="00A34C60"/>
    <w:rsid w:val="00A35001"/>
    <w:rsid w:val="00A418F4"/>
    <w:rsid w:val="00A420FF"/>
    <w:rsid w:val="00A455F3"/>
    <w:rsid w:val="00A5085A"/>
    <w:rsid w:val="00A52451"/>
    <w:rsid w:val="00A54B07"/>
    <w:rsid w:val="00A603BE"/>
    <w:rsid w:val="00A60470"/>
    <w:rsid w:val="00A61B68"/>
    <w:rsid w:val="00A64571"/>
    <w:rsid w:val="00A70D19"/>
    <w:rsid w:val="00A7162C"/>
    <w:rsid w:val="00A71721"/>
    <w:rsid w:val="00A73694"/>
    <w:rsid w:val="00A7451D"/>
    <w:rsid w:val="00A74DDA"/>
    <w:rsid w:val="00A751B0"/>
    <w:rsid w:val="00A7605F"/>
    <w:rsid w:val="00A77E90"/>
    <w:rsid w:val="00A81794"/>
    <w:rsid w:val="00A81D5A"/>
    <w:rsid w:val="00A86CC3"/>
    <w:rsid w:val="00A93710"/>
    <w:rsid w:val="00A96734"/>
    <w:rsid w:val="00A9732D"/>
    <w:rsid w:val="00AA1AC7"/>
    <w:rsid w:val="00AA2014"/>
    <w:rsid w:val="00AA2DD9"/>
    <w:rsid w:val="00AA40A7"/>
    <w:rsid w:val="00AA4B46"/>
    <w:rsid w:val="00AA7CCE"/>
    <w:rsid w:val="00AB0EB5"/>
    <w:rsid w:val="00AB3510"/>
    <w:rsid w:val="00AB6DA7"/>
    <w:rsid w:val="00AC1C62"/>
    <w:rsid w:val="00AC4B89"/>
    <w:rsid w:val="00AC5C6A"/>
    <w:rsid w:val="00AC7878"/>
    <w:rsid w:val="00AD0EC8"/>
    <w:rsid w:val="00AD1B43"/>
    <w:rsid w:val="00AE11CD"/>
    <w:rsid w:val="00AE1C3B"/>
    <w:rsid w:val="00AE2F68"/>
    <w:rsid w:val="00AE4893"/>
    <w:rsid w:val="00AE6160"/>
    <w:rsid w:val="00AE6E7A"/>
    <w:rsid w:val="00AE6EC6"/>
    <w:rsid w:val="00AE75B5"/>
    <w:rsid w:val="00AF0657"/>
    <w:rsid w:val="00AF26C1"/>
    <w:rsid w:val="00AF371E"/>
    <w:rsid w:val="00AF4B5B"/>
    <w:rsid w:val="00AF4D36"/>
    <w:rsid w:val="00B03A44"/>
    <w:rsid w:val="00B04BA5"/>
    <w:rsid w:val="00B050DC"/>
    <w:rsid w:val="00B0631F"/>
    <w:rsid w:val="00B11BE5"/>
    <w:rsid w:val="00B12C61"/>
    <w:rsid w:val="00B14B80"/>
    <w:rsid w:val="00B2372B"/>
    <w:rsid w:val="00B3307F"/>
    <w:rsid w:val="00B351CD"/>
    <w:rsid w:val="00B356E0"/>
    <w:rsid w:val="00B35BB8"/>
    <w:rsid w:val="00B36C06"/>
    <w:rsid w:val="00B41590"/>
    <w:rsid w:val="00B43366"/>
    <w:rsid w:val="00B43B60"/>
    <w:rsid w:val="00B44AF1"/>
    <w:rsid w:val="00B46A10"/>
    <w:rsid w:val="00B46F28"/>
    <w:rsid w:val="00B4743B"/>
    <w:rsid w:val="00B52882"/>
    <w:rsid w:val="00B55EFA"/>
    <w:rsid w:val="00B5633E"/>
    <w:rsid w:val="00B5775B"/>
    <w:rsid w:val="00B578DE"/>
    <w:rsid w:val="00B67472"/>
    <w:rsid w:val="00B67B17"/>
    <w:rsid w:val="00B71856"/>
    <w:rsid w:val="00B720EA"/>
    <w:rsid w:val="00B725E2"/>
    <w:rsid w:val="00B73352"/>
    <w:rsid w:val="00B770E8"/>
    <w:rsid w:val="00B815FE"/>
    <w:rsid w:val="00B825CF"/>
    <w:rsid w:val="00B8277B"/>
    <w:rsid w:val="00B84395"/>
    <w:rsid w:val="00B8570C"/>
    <w:rsid w:val="00B90384"/>
    <w:rsid w:val="00B909AA"/>
    <w:rsid w:val="00B915FC"/>
    <w:rsid w:val="00B91673"/>
    <w:rsid w:val="00B92D46"/>
    <w:rsid w:val="00B952C8"/>
    <w:rsid w:val="00BA0370"/>
    <w:rsid w:val="00BA3FB3"/>
    <w:rsid w:val="00BA4C7A"/>
    <w:rsid w:val="00BB2784"/>
    <w:rsid w:val="00BC0A99"/>
    <w:rsid w:val="00BC12C8"/>
    <w:rsid w:val="00BC13D5"/>
    <w:rsid w:val="00BC33F6"/>
    <w:rsid w:val="00BC364A"/>
    <w:rsid w:val="00BD2CA5"/>
    <w:rsid w:val="00BD6808"/>
    <w:rsid w:val="00BE60A2"/>
    <w:rsid w:val="00BF0426"/>
    <w:rsid w:val="00BF41B6"/>
    <w:rsid w:val="00BF5620"/>
    <w:rsid w:val="00BF6D76"/>
    <w:rsid w:val="00C05526"/>
    <w:rsid w:val="00C138F6"/>
    <w:rsid w:val="00C1723E"/>
    <w:rsid w:val="00C2441F"/>
    <w:rsid w:val="00C25C62"/>
    <w:rsid w:val="00C34D83"/>
    <w:rsid w:val="00C404C0"/>
    <w:rsid w:val="00C41637"/>
    <w:rsid w:val="00C42BCA"/>
    <w:rsid w:val="00C43DF3"/>
    <w:rsid w:val="00C440F9"/>
    <w:rsid w:val="00C454C3"/>
    <w:rsid w:val="00C468C1"/>
    <w:rsid w:val="00C46C24"/>
    <w:rsid w:val="00C52168"/>
    <w:rsid w:val="00C542E1"/>
    <w:rsid w:val="00C55E32"/>
    <w:rsid w:val="00C67535"/>
    <w:rsid w:val="00C7042C"/>
    <w:rsid w:val="00C743AC"/>
    <w:rsid w:val="00C74570"/>
    <w:rsid w:val="00C76532"/>
    <w:rsid w:val="00C777C7"/>
    <w:rsid w:val="00C8007E"/>
    <w:rsid w:val="00C82216"/>
    <w:rsid w:val="00C82B4A"/>
    <w:rsid w:val="00C85D72"/>
    <w:rsid w:val="00C86B99"/>
    <w:rsid w:val="00C87A45"/>
    <w:rsid w:val="00C93BEE"/>
    <w:rsid w:val="00C940F1"/>
    <w:rsid w:val="00C948D7"/>
    <w:rsid w:val="00CA00B6"/>
    <w:rsid w:val="00CA0712"/>
    <w:rsid w:val="00CA3418"/>
    <w:rsid w:val="00CA4832"/>
    <w:rsid w:val="00CA65C3"/>
    <w:rsid w:val="00CA73FC"/>
    <w:rsid w:val="00CC1048"/>
    <w:rsid w:val="00CC2B9F"/>
    <w:rsid w:val="00CC6258"/>
    <w:rsid w:val="00CC6881"/>
    <w:rsid w:val="00CC7630"/>
    <w:rsid w:val="00CD0C8C"/>
    <w:rsid w:val="00CD6D0C"/>
    <w:rsid w:val="00CD7D5D"/>
    <w:rsid w:val="00CD7DD4"/>
    <w:rsid w:val="00CE061F"/>
    <w:rsid w:val="00CE62BA"/>
    <w:rsid w:val="00CF0C66"/>
    <w:rsid w:val="00CF3981"/>
    <w:rsid w:val="00CF5AB5"/>
    <w:rsid w:val="00D00496"/>
    <w:rsid w:val="00D03795"/>
    <w:rsid w:val="00D037C4"/>
    <w:rsid w:val="00D056BB"/>
    <w:rsid w:val="00D07A5D"/>
    <w:rsid w:val="00D10C62"/>
    <w:rsid w:val="00D11DA2"/>
    <w:rsid w:val="00D1528F"/>
    <w:rsid w:val="00D17C83"/>
    <w:rsid w:val="00D24B4B"/>
    <w:rsid w:val="00D306AC"/>
    <w:rsid w:val="00D30EF3"/>
    <w:rsid w:val="00D315A6"/>
    <w:rsid w:val="00D32006"/>
    <w:rsid w:val="00D343F4"/>
    <w:rsid w:val="00D34945"/>
    <w:rsid w:val="00D446C1"/>
    <w:rsid w:val="00D45C70"/>
    <w:rsid w:val="00D47131"/>
    <w:rsid w:val="00D503C4"/>
    <w:rsid w:val="00D51213"/>
    <w:rsid w:val="00D5704D"/>
    <w:rsid w:val="00D61494"/>
    <w:rsid w:val="00D63739"/>
    <w:rsid w:val="00D659BB"/>
    <w:rsid w:val="00D663BA"/>
    <w:rsid w:val="00D702EE"/>
    <w:rsid w:val="00D716A5"/>
    <w:rsid w:val="00D74BD8"/>
    <w:rsid w:val="00D74DD3"/>
    <w:rsid w:val="00D759B9"/>
    <w:rsid w:val="00D76670"/>
    <w:rsid w:val="00D810FB"/>
    <w:rsid w:val="00D81C9A"/>
    <w:rsid w:val="00D85E7B"/>
    <w:rsid w:val="00D871F8"/>
    <w:rsid w:val="00D91116"/>
    <w:rsid w:val="00D9325B"/>
    <w:rsid w:val="00D93489"/>
    <w:rsid w:val="00D9377B"/>
    <w:rsid w:val="00D9445F"/>
    <w:rsid w:val="00D94476"/>
    <w:rsid w:val="00D97693"/>
    <w:rsid w:val="00D979F4"/>
    <w:rsid w:val="00DA21D8"/>
    <w:rsid w:val="00DA3B12"/>
    <w:rsid w:val="00DA4418"/>
    <w:rsid w:val="00DB4099"/>
    <w:rsid w:val="00DC04AA"/>
    <w:rsid w:val="00DC10DC"/>
    <w:rsid w:val="00DC44D4"/>
    <w:rsid w:val="00DC53C0"/>
    <w:rsid w:val="00DD02E8"/>
    <w:rsid w:val="00DD047A"/>
    <w:rsid w:val="00DD0AC8"/>
    <w:rsid w:val="00DD1441"/>
    <w:rsid w:val="00DD1A3D"/>
    <w:rsid w:val="00DD2456"/>
    <w:rsid w:val="00DD25DC"/>
    <w:rsid w:val="00DD4DB2"/>
    <w:rsid w:val="00DD5A34"/>
    <w:rsid w:val="00DD6786"/>
    <w:rsid w:val="00DE0378"/>
    <w:rsid w:val="00DE0BD3"/>
    <w:rsid w:val="00DF2F8D"/>
    <w:rsid w:val="00DF378E"/>
    <w:rsid w:val="00DF3A1E"/>
    <w:rsid w:val="00DF4924"/>
    <w:rsid w:val="00DF4DBE"/>
    <w:rsid w:val="00DF52C0"/>
    <w:rsid w:val="00DF5404"/>
    <w:rsid w:val="00DF541C"/>
    <w:rsid w:val="00DF5933"/>
    <w:rsid w:val="00DF6376"/>
    <w:rsid w:val="00DF6E99"/>
    <w:rsid w:val="00DF77D6"/>
    <w:rsid w:val="00E0516C"/>
    <w:rsid w:val="00E1000D"/>
    <w:rsid w:val="00E13FCD"/>
    <w:rsid w:val="00E14F61"/>
    <w:rsid w:val="00E170E7"/>
    <w:rsid w:val="00E17BDB"/>
    <w:rsid w:val="00E25A07"/>
    <w:rsid w:val="00E26561"/>
    <w:rsid w:val="00E309BF"/>
    <w:rsid w:val="00E30E0C"/>
    <w:rsid w:val="00E31495"/>
    <w:rsid w:val="00E32A48"/>
    <w:rsid w:val="00E33F23"/>
    <w:rsid w:val="00E340E6"/>
    <w:rsid w:val="00E36858"/>
    <w:rsid w:val="00E42F77"/>
    <w:rsid w:val="00E43370"/>
    <w:rsid w:val="00E437A6"/>
    <w:rsid w:val="00E43E7C"/>
    <w:rsid w:val="00E47DB6"/>
    <w:rsid w:val="00E512ED"/>
    <w:rsid w:val="00E52B60"/>
    <w:rsid w:val="00E53A33"/>
    <w:rsid w:val="00E556F2"/>
    <w:rsid w:val="00E57332"/>
    <w:rsid w:val="00E60B6C"/>
    <w:rsid w:val="00E63A59"/>
    <w:rsid w:val="00E64FF5"/>
    <w:rsid w:val="00E67E54"/>
    <w:rsid w:val="00E700A4"/>
    <w:rsid w:val="00E7013A"/>
    <w:rsid w:val="00E7267A"/>
    <w:rsid w:val="00E7437E"/>
    <w:rsid w:val="00E776D7"/>
    <w:rsid w:val="00E8334E"/>
    <w:rsid w:val="00E83C4A"/>
    <w:rsid w:val="00E93800"/>
    <w:rsid w:val="00E9497D"/>
    <w:rsid w:val="00E978C7"/>
    <w:rsid w:val="00EA07A4"/>
    <w:rsid w:val="00EA0F1B"/>
    <w:rsid w:val="00EA127B"/>
    <w:rsid w:val="00EA1EE0"/>
    <w:rsid w:val="00EA2FCB"/>
    <w:rsid w:val="00EA40C3"/>
    <w:rsid w:val="00EB0781"/>
    <w:rsid w:val="00EB1341"/>
    <w:rsid w:val="00EB4B1D"/>
    <w:rsid w:val="00EB4F5B"/>
    <w:rsid w:val="00EB4F78"/>
    <w:rsid w:val="00EB6365"/>
    <w:rsid w:val="00EB6A24"/>
    <w:rsid w:val="00EB7F5D"/>
    <w:rsid w:val="00EC6F75"/>
    <w:rsid w:val="00ED0369"/>
    <w:rsid w:val="00ED1506"/>
    <w:rsid w:val="00ED522C"/>
    <w:rsid w:val="00ED522E"/>
    <w:rsid w:val="00EE02B9"/>
    <w:rsid w:val="00EE3654"/>
    <w:rsid w:val="00EE54D0"/>
    <w:rsid w:val="00EE71DC"/>
    <w:rsid w:val="00EE7E34"/>
    <w:rsid w:val="00EF7586"/>
    <w:rsid w:val="00F01653"/>
    <w:rsid w:val="00F116A5"/>
    <w:rsid w:val="00F116B9"/>
    <w:rsid w:val="00F146D2"/>
    <w:rsid w:val="00F151E0"/>
    <w:rsid w:val="00F15E53"/>
    <w:rsid w:val="00F22CD8"/>
    <w:rsid w:val="00F22D65"/>
    <w:rsid w:val="00F23C9E"/>
    <w:rsid w:val="00F23D89"/>
    <w:rsid w:val="00F24E78"/>
    <w:rsid w:val="00F30A04"/>
    <w:rsid w:val="00F30EB1"/>
    <w:rsid w:val="00F334C5"/>
    <w:rsid w:val="00F334FB"/>
    <w:rsid w:val="00F35CC0"/>
    <w:rsid w:val="00F37F9E"/>
    <w:rsid w:val="00F4236C"/>
    <w:rsid w:val="00F47557"/>
    <w:rsid w:val="00F5162D"/>
    <w:rsid w:val="00F55215"/>
    <w:rsid w:val="00F565CA"/>
    <w:rsid w:val="00F60531"/>
    <w:rsid w:val="00F60CC2"/>
    <w:rsid w:val="00F61D1D"/>
    <w:rsid w:val="00F644E7"/>
    <w:rsid w:val="00F65E1C"/>
    <w:rsid w:val="00F65FC8"/>
    <w:rsid w:val="00F660B4"/>
    <w:rsid w:val="00F66D9D"/>
    <w:rsid w:val="00F733C1"/>
    <w:rsid w:val="00F73CA3"/>
    <w:rsid w:val="00F741D1"/>
    <w:rsid w:val="00F7713E"/>
    <w:rsid w:val="00F77431"/>
    <w:rsid w:val="00F77525"/>
    <w:rsid w:val="00F8509B"/>
    <w:rsid w:val="00F85D77"/>
    <w:rsid w:val="00F9008A"/>
    <w:rsid w:val="00F9021C"/>
    <w:rsid w:val="00F90454"/>
    <w:rsid w:val="00F9154F"/>
    <w:rsid w:val="00F93EBF"/>
    <w:rsid w:val="00F95937"/>
    <w:rsid w:val="00F96F97"/>
    <w:rsid w:val="00FA1760"/>
    <w:rsid w:val="00FA1E0A"/>
    <w:rsid w:val="00FA22C4"/>
    <w:rsid w:val="00FA39D7"/>
    <w:rsid w:val="00FA3FA1"/>
    <w:rsid w:val="00FA496C"/>
    <w:rsid w:val="00FA6D27"/>
    <w:rsid w:val="00FB0C0C"/>
    <w:rsid w:val="00FB15AB"/>
    <w:rsid w:val="00FB3A0D"/>
    <w:rsid w:val="00FB3D0D"/>
    <w:rsid w:val="00FB485C"/>
    <w:rsid w:val="00FC3962"/>
    <w:rsid w:val="00FC59FC"/>
    <w:rsid w:val="00FD11FE"/>
    <w:rsid w:val="00FD7955"/>
    <w:rsid w:val="00FE04F6"/>
    <w:rsid w:val="00FE2307"/>
    <w:rsid w:val="00FE4837"/>
    <w:rsid w:val="00FE5038"/>
    <w:rsid w:val="00FE7BA1"/>
    <w:rsid w:val="00FF3426"/>
    <w:rsid w:val="00FF3A21"/>
    <w:rsid w:val="00FF3CB4"/>
    <w:rsid w:val="00FF3DE3"/>
    <w:rsid w:val="00FF4017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F55215"/>
    <w:pPr>
      <w:keepNext/>
      <w:numPr>
        <w:numId w:val="30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F55215"/>
    <w:pPr>
      <w:keepNext/>
      <w:numPr>
        <w:ilvl w:val="1"/>
        <w:numId w:val="30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F55215"/>
    <w:pPr>
      <w:keepNext/>
      <w:numPr>
        <w:ilvl w:val="2"/>
        <w:numId w:val="30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F55215"/>
    <w:pPr>
      <w:keepNext/>
      <w:numPr>
        <w:ilvl w:val="3"/>
        <w:numId w:val="30"/>
      </w:numPr>
      <w:outlineLvl w:val="3"/>
    </w:pPr>
  </w:style>
  <w:style w:type="paragraph" w:styleId="Heading5">
    <w:name w:val="heading 5"/>
    <w:basedOn w:val="Normal"/>
    <w:next w:val="Normal"/>
    <w:qFormat/>
    <w:rsid w:val="006D58A3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6D58A3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D58A3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D58A3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D58A3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6D58A3"/>
    <w:pPr>
      <w:ind w:left="482"/>
    </w:pPr>
  </w:style>
  <w:style w:type="paragraph" w:customStyle="1" w:styleId="Text2">
    <w:name w:val="Text 2"/>
    <w:basedOn w:val="Normal"/>
    <w:rsid w:val="006D58A3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rsid w:val="006D58A3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rsid w:val="006D58A3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link w:val="List2Char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6D58A3"/>
    <w:pPr>
      <w:tabs>
        <w:tab w:val="num" w:pos="283"/>
      </w:tabs>
      <w:ind w:left="283" w:hanging="283"/>
    </w:pPr>
  </w:style>
  <w:style w:type="paragraph" w:styleId="ListBullet2">
    <w:name w:val="List Bullet 2"/>
    <w:basedOn w:val="Text2"/>
    <w:rsid w:val="006D58A3"/>
    <w:pPr>
      <w:tabs>
        <w:tab w:val="clear" w:pos="2160"/>
        <w:tab w:val="num" w:pos="1360"/>
      </w:tabs>
      <w:ind w:left="1360" w:hanging="283"/>
    </w:pPr>
  </w:style>
  <w:style w:type="paragraph" w:styleId="ListBullet3">
    <w:name w:val="List Bullet 3"/>
    <w:basedOn w:val="Text3"/>
    <w:rsid w:val="006D58A3"/>
    <w:pPr>
      <w:tabs>
        <w:tab w:val="clear" w:pos="2302"/>
        <w:tab w:val="num" w:pos="2199"/>
      </w:tabs>
      <w:ind w:left="2199" w:hanging="283"/>
    </w:pPr>
  </w:style>
  <w:style w:type="paragraph" w:styleId="ListBullet4">
    <w:name w:val="List Bullet 4"/>
    <w:basedOn w:val="Text4"/>
    <w:rsid w:val="006D58A3"/>
    <w:pPr>
      <w:tabs>
        <w:tab w:val="num" w:pos="3163"/>
      </w:tabs>
      <w:ind w:left="3163" w:hanging="283"/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link w:val="ListContinueChar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6D58A3"/>
    <w:pPr>
      <w:tabs>
        <w:tab w:val="num" w:pos="709"/>
      </w:tabs>
      <w:ind w:left="709" w:hanging="709"/>
    </w:pPr>
  </w:style>
  <w:style w:type="paragraph" w:styleId="ListNumber2">
    <w:name w:val="List Number 2"/>
    <w:basedOn w:val="Text2"/>
    <w:rsid w:val="006D58A3"/>
    <w:pPr>
      <w:tabs>
        <w:tab w:val="clear" w:pos="2160"/>
        <w:tab w:val="num" w:pos="1786"/>
      </w:tabs>
      <w:ind w:left="1786" w:hanging="709"/>
    </w:pPr>
  </w:style>
  <w:style w:type="paragraph" w:styleId="ListNumber3">
    <w:name w:val="List Number 3"/>
    <w:basedOn w:val="Text3"/>
    <w:rsid w:val="006D58A3"/>
    <w:pPr>
      <w:tabs>
        <w:tab w:val="clear" w:pos="2302"/>
        <w:tab w:val="num" w:pos="2625"/>
      </w:tabs>
      <w:ind w:left="2625" w:hanging="709"/>
    </w:pPr>
  </w:style>
  <w:style w:type="paragraph" w:styleId="ListNumber4">
    <w:name w:val="List Number 4"/>
    <w:basedOn w:val="Text4"/>
    <w:rsid w:val="006D58A3"/>
    <w:pPr>
      <w:tabs>
        <w:tab w:val="num" w:pos="3589"/>
      </w:tabs>
      <w:ind w:left="3589" w:hanging="709"/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6D58A3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6D58A3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6D58A3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6D58A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6D58A3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6D58A3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6D58A3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6D58A3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6D58A3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paragraph" w:customStyle="1" w:styleId="ListBullet1">
    <w:name w:val="List Bullet 1"/>
    <w:basedOn w:val="Text1"/>
    <w:rsid w:val="006D58A3"/>
    <w:pPr>
      <w:tabs>
        <w:tab w:val="num" w:pos="765"/>
      </w:tabs>
      <w:ind w:left="765" w:hanging="283"/>
    </w:pPr>
  </w:style>
  <w:style w:type="paragraph" w:customStyle="1" w:styleId="ListDash">
    <w:name w:val="List Dash"/>
    <w:basedOn w:val="Normal"/>
    <w:rsid w:val="006D58A3"/>
    <w:pPr>
      <w:tabs>
        <w:tab w:val="num" w:pos="283"/>
      </w:tabs>
      <w:ind w:left="283" w:hanging="283"/>
    </w:pPr>
  </w:style>
  <w:style w:type="paragraph" w:customStyle="1" w:styleId="ListDash1">
    <w:name w:val="List Dash 1"/>
    <w:basedOn w:val="Text1"/>
    <w:rsid w:val="006D58A3"/>
    <w:pPr>
      <w:tabs>
        <w:tab w:val="num" w:pos="765"/>
      </w:tabs>
      <w:ind w:left="765" w:hanging="283"/>
    </w:pPr>
  </w:style>
  <w:style w:type="paragraph" w:customStyle="1" w:styleId="ListDash2">
    <w:name w:val="List Dash 2"/>
    <w:basedOn w:val="Text2"/>
    <w:rsid w:val="006D58A3"/>
    <w:pPr>
      <w:tabs>
        <w:tab w:val="clear" w:pos="2160"/>
        <w:tab w:val="num" w:pos="1360"/>
      </w:tabs>
      <w:ind w:left="1360" w:hanging="283"/>
    </w:pPr>
  </w:style>
  <w:style w:type="paragraph" w:customStyle="1" w:styleId="ListDash3">
    <w:name w:val="List Dash 3"/>
    <w:basedOn w:val="Text3"/>
    <w:rsid w:val="006D58A3"/>
    <w:pPr>
      <w:tabs>
        <w:tab w:val="clear" w:pos="2302"/>
        <w:tab w:val="num" w:pos="2199"/>
      </w:tabs>
      <w:ind w:left="2199" w:hanging="283"/>
    </w:pPr>
  </w:style>
  <w:style w:type="paragraph" w:customStyle="1" w:styleId="ListDash4">
    <w:name w:val="List Dash 4"/>
    <w:basedOn w:val="Text4"/>
    <w:rsid w:val="006D58A3"/>
    <w:pPr>
      <w:tabs>
        <w:tab w:val="num" w:pos="3163"/>
      </w:tabs>
      <w:ind w:left="3163" w:hanging="283"/>
    </w:pPr>
  </w:style>
  <w:style w:type="paragraph" w:customStyle="1" w:styleId="ListNumberLevel2">
    <w:name w:val="List Number (Level 2)"/>
    <w:basedOn w:val="Normal"/>
    <w:rsid w:val="006D58A3"/>
    <w:pPr>
      <w:tabs>
        <w:tab w:val="num" w:pos="1417"/>
      </w:tabs>
      <w:ind w:left="1417" w:hanging="708"/>
    </w:pPr>
  </w:style>
  <w:style w:type="paragraph" w:customStyle="1" w:styleId="ListNumberLevel3">
    <w:name w:val="List Number (Level 3)"/>
    <w:basedOn w:val="Normal"/>
    <w:rsid w:val="006D58A3"/>
    <w:pPr>
      <w:tabs>
        <w:tab w:val="num" w:pos="2126"/>
      </w:tabs>
      <w:ind w:left="2126" w:hanging="709"/>
    </w:pPr>
  </w:style>
  <w:style w:type="paragraph" w:customStyle="1" w:styleId="ListNumberLevel4">
    <w:name w:val="List Number (Level 4)"/>
    <w:basedOn w:val="Normal"/>
    <w:rsid w:val="006D58A3"/>
    <w:pPr>
      <w:tabs>
        <w:tab w:val="num" w:pos="2835"/>
      </w:tabs>
      <w:ind w:left="2835" w:hanging="709"/>
    </w:pPr>
  </w:style>
  <w:style w:type="paragraph" w:customStyle="1" w:styleId="ListNumber1">
    <w:name w:val="List Number 1"/>
    <w:basedOn w:val="Text1"/>
    <w:rsid w:val="006D58A3"/>
    <w:pPr>
      <w:tabs>
        <w:tab w:val="num" w:pos="1191"/>
      </w:tabs>
      <w:ind w:left="1191" w:hanging="709"/>
    </w:pPr>
  </w:style>
  <w:style w:type="paragraph" w:customStyle="1" w:styleId="ListNumber1Level2">
    <w:name w:val="List Number 1 (Level 2)"/>
    <w:basedOn w:val="Text1"/>
    <w:rsid w:val="006D58A3"/>
    <w:pPr>
      <w:tabs>
        <w:tab w:val="num" w:pos="1899"/>
      </w:tabs>
      <w:ind w:left="1899" w:hanging="708"/>
    </w:pPr>
  </w:style>
  <w:style w:type="paragraph" w:customStyle="1" w:styleId="ListNumber1Level3">
    <w:name w:val="List Number 1 (Level 3)"/>
    <w:basedOn w:val="Text1"/>
    <w:rsid w:val="006D58A3"/>
    <w:pPr>
      <w:tabs>
        <w:tab w:val="num" w:pos="2608"/>
      </w:tabs>
      <w:ind w:left="2608" w:hanging="709"/>
    </w:pPr>
  </w:style>
  <w:style w:type="paragraph" w:customStyle="1" w:styleId="ListNumber1Level4">
    <w:name w:val="List Number 1 (Level 4)"/>
    <w:basedOn w:val="Text1"/>
    <w:rsid w:val="006D58A3"/>
    <w:pPr>
      <w:tabs>
        <w:tab w:val="num" w:pos="3317"/>
      </w:tabs>
      <w:ind w:left="3317" w:hanging="709"/>
    </w:pPr>
  </w:style>
  <w:style w:type="paragraph" w:customStyle="1" w:styleId="ListNumber2Level2">
    <w:name w:val="List Number 2 (Level 2)"/>
    <w:basedOn w:val="Text2"/>
    <w:rsid w:val="006D58A3"/>
    <w:pPr>
      <w:tabs>
        <w:tab w:val="clear" w:pos="2160"/>
        <w:tab w:val="num" w:pos="2494"/>
      </w:tabs>
      <w:ind w:left="2494" w:hanging="708"/>
    </w:pPr>
  </w:style>
  <w:style w:type="paragraph" w:customStyle="1" w:styleId="ListNumber2Level3">
    <w:name w:val="List Number 2 (Level 3)"/>
    <w:basedOn w:val="Text2"/>
    <w:rsid w:val="006D58A3"/>
    <w:pPr>
      <w:tabs>
        <w:tab w:val="clear" w:pos="2160"/>
        <w:tab w:val="num" w:pos="3203"/>
      </w:tabs>
      <w:ind w:left="3203" w:hanging="709"/>
    </w:pPr>
  </w:style>
  <w:style w:type="paragraph" w:customStyle="1" w:styleId="ListNumber2Level4">
    <w:name w:val="List Number 2 (Level 4)"/>
    <w:basedOn w:val="Text2"/>
    <w:rsid w:val="006D58A3"/>
    <w:pPr>
      <w:tabs>
        <w:tab w:val="clear" w:pos="2160"/>
        <w:tab w:val="num" w:pos="3912"/>
      </w:tabs>
      <w:ind w:left="3901" w:hanging="703"/>
    </w:pPr>
  </w:style>
  <w:style w:type="paragraph" w:customStyle="1" w:styleId="ListNumber3Level2">
    <w:name w:val="List Number 3 (Level 2)"/>
    <w:basedOn w:val="Text3"/>
    <w:rsid w:val="006D58A3"/>
    <w:pPr>
      <w:tabs>
        <w:tab w:val="clear" w:pos="2302"/>
        <w:tab w:val="num" w:pos="3333"/>
      </w:tabs>
      <w:ind w:left="3333" w:hanging="708"/>
    </w:pPr>
  </w:style>
  <w:style w:type="paragraph" w:customStyle="1" w:styleId="ListNumber3Level3">
    <w:name w:val="List Number 3 (Level 3)"/>
    <w:basedOn w:val="Text3"/>
    <w:rsid w:val="006D58A3"/>
    <w:pPr>
      <w:tabs>
        <w:tab w:val="clear" w:pos="2302"/>
        <w:tab w:val="num" w:pos="4042"/>
      </w:tabs>
      <w:ind w:left="4042" w:hanging="709"/>
    </w:pPr>
  </w:style>
  <w:style w:type="paragraph" w:customStyle="1" w:styleId="ListNumber3Level4">
    <w:name w:val="List Number 3 (Level 4)"/>
    <w:basedOn w:val="Text3"/>
    <w:rsid w:val="006D58A3"/>
    <w:pPr>
      <w:tabs>
        <w:tab w:val="clear" w:pos="2302"/>
        <w:tab w:val="num" w:pos="4751"/>
      </w:tabs>
      <w:ind w:left="4751" w:hanging="709"/>
    </w:pPr>
  </w:style>
  <w:style w:type="paragraph" w:customStyle="1" w:styleId="ListNumber4Level2">
    <w:name w:val="List Number 4 (Level 2)"/>
    <w:basedOn w:val="Text4"/>
    <w:rsid w:val="006D58A3"/>
    <w:pPr>
      <w:tabs>
        <w:tab w:val="num" w:pos="4297"/>
      </w:tabs>
      <w:ind w:left="4297" w:hanging="708"/>
    </w:pPr>
  </w:style>
  <w:style w:type="paragraph" w:customStyle="1" w:styleId="ListNumber4Level3">
    <w:name w:val="List Number 4 (Level 3)"/>
    <w:basedOn w:val="Text4"/>
    <w:rsid w:val="006D58A3"/>
    <w:pPr>
      <w:tabs>
        <w:tab w:val="num" w:pos="5006"/>
      </w:tabs>
      <w:ind w:left="5006" w:hanging="709"/>
    </w:pPr>
  </w:style>
  <w:style w:type="paragraph" w:customStyle="1" w:styleId="ListNumber4Level4">
    <w:name w:val="List Number 4 (Level 4)"/>
    <w:basedOn w:val="Text4"/>
    <w:rsid w:val="006D58A3"/>
    <w:pPr>
      <w:tabs>
        <w:tab w:val="num" w:pos="5715"/>
      </w:tabs>
      <w:ind w:left="5715" w:hanging="709"/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b/>
      <w:smallCaps/>
      <w:sz w:val="20"/>
      <w:u w:val="single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"/>
    <w:next w:val="ZDGName"/>
    <w:rsid w:val="006D58A3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rsid w:val="006D58A3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FootnoteReference">
    <w:name w:val="footnote reference"/>
    <w:semiHidden/>
    <w:rsid w:val="00DD4DB2"/>
    <w:rPr>
      <w:rFonts w:ascii="TimesNewRomanPS" w:hAnsi="TimesNewRomanPS"/>
      <w:position w:val="6"/>
      <w:sz w:val="16"/>
    </w:rPr>
  </w:style>
  <w:style w:type="character" w:customStyle="1" w:styleId="Marker">
    <w:name w:val="Marker"/>
    <w:rsid w:val="00DD4DB2"/>
    <w:rPr>
      <w:noProof w:val="0"/>
      <w:color w:val="0000FF"/>
      <w:lang w:val="bg-BG"/>
    </w:rPr>
  </w:style>
  <w:style w:type="character" w:styleId="CommentReference">
    <w:name w:val="annotation reference"/>
    <w:semiHidden/>
    <w:rsid w:val="006F7932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F7932"/>
    <w:rPr>
      <w:b/>
      <w:bCs/>
    </w:rPr>
  </w:style>
  <w:style w:type="paragraph" w:styleId="BalloonText">
    <w:name w:val="Balloon Text"/>
    <w:basedOn w:val="Normal"/>
    <w:semiHidden/>
    <w:rsid w:val="006F7932"/>
    <w:rPr>
      <w:rFonts w:ascii="Tahoma" w:hAnsi="Tahoma" w:cs="Tahoma"/>
      <w:sz w:val="16"/>
      <w:szCs w:val="16"/>
    </w:rPr>
  </w:style>
  <w:style w:type="character" w:styleId="Hyperlink">
    <w:name w:val="Hyperlink"/>
    <w:rsid w:val="00B351CD"/>
    <w:rPr>
      <w:color w:val="0000FF"/>
      <w:u w:val="single"/>
    </w:rPr>
  </w:style>
  <w:style w:type="paragraph" w:customStyle="1" w:styleId="CharCharCarCharCharCar">
    <w:name w:val="Char Char Car Char Char Car"/>
    <w:basedOn w:val="Normal"/>
    <w:rsid w:val="00372632"/>
    <w:pPr>
      <w:spacing w:after="160" w:line="240" w:lineRule="exact"/>
      <w:jc w:val="left"/>
    </w:pPr>
    <w:rPr>
      <w:rFonts w:ascii="Tahoma" w:hAnsi="Tahoma"/>
      <w:sz w:val="20"/>
    </w:rPr>
  </w:style>
  <w:style w:type="character" w:customStyle="1" w:styleId="ListContinueChar">
    <w:name w:val="List Continue Char"/>
    <w:link w:val="ListContinue"/>
    <w:rsid w:val="006A6AA8"/>
    <w:rPr>
      <w:sz w:val="24"/>
      <w:lang w:val="bg-BG" w:eastAsia="bg-BG" w:bidi="bg-BG"/>
    </w:rPr>
  </w:style>
  <w:style w:type="character" w:customStyle="1" w:styleId="List2Char">
    <w:name w:val="List 2 Char"/>
    <w:link w:val="List2"/>
    <w:rsid w:val="006A6AA8"/>
    <w:rPr>
      <w:sz w:val="24"/>
      <w:lang w:val="bg-BG" w:eastAsia="bg-BG" w:bidi="bg-BG"/>
    </w:rPr>
  </w:style>
  <w:style w:type="table" w:styleId="TableGrid">
    <w:name w:val="Table Grid"/>
    <w:basedOn w:val="TableNormal"/>
    <w:rsid w:val="008E2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9BA08-756F-4CF0-8C02-14AF74F0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8</TotalTime>
  <Pages>6</Pages>
  <Words>1643</Words>
  <Characters>9371</Characters>
  <Application>Microsoft Office Word</Application>
  <DocSecurity>0</DocSecurity>
  <PresentationFormat>Microsoft Word 10.0</PresentationFormat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Juan GONZÁLEZ</dc:creator>
  <cp:keywords>EL4</cp:keywords>
  <cp:lastModifiedBy>DIMITROVA Spaska (DGT)</cp:lastModifiedBy>
  <cp:revision>3</cp:revision>
  <cp:lastPrinted>2015-06-22T09:02:00Z</cp:lastPrinted>
  <dcterms:created xsi:type="dcterms:W3CDTF">2015-10-08T15:37:00Z</dcterms:created>
  <dcterms:modified xsi:type="dcterms:W3CDTF">2015-10-27T11:25:00Z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4.1eTp XP1 [20020325]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Juan GONZÁLEZ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_NewReviewCycle">
    <vt:lpwstr/>
  </property>
  <property fmtid="{D5CDD505-2E9C-101B-9397-08002B2CF9AE}" pid="13" name="ELDocType">
    <vt:lpwstr>not.dot</vt:lpwstr>
  </property>
</Properties>
</file>