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81" w:rsidRPr="00005A81" w:rsidRDefault="008963A4" w:rsidP="00005A81">
      <w:pPr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01712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D01712">
        <w:rPr>
          <w:rFonts w:ascii="Verdana" w:hAnsi="Verdana"/>
          <w:sz w:val="20"/>
          <w:szCs w:val="20"/>
          <w:lang w:val="bg-BG"/>
        </w:rPr>
        <w:t xml:space="preserve"> Открита процедура за извършване на услуга </w:t>
      </w:r>
      <w:r w:rsidRPr="00D01712"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="00005A81" w:rsidRPr="00005A81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„Изработка на дизайн, </w:t>
      </w:r>
      <w:proofErr w:type="spellStart"/>
      <w:r w:rsidR="00005A81" w:rsidRPr="00005A81">
        <w:rPr>
          <w:rFonts w:ascii="Verdana" w:eastAsia="Times New Roman" w:hAnsi="Verdana" w:cs="Times New Roman"/>
          <w:b/>
          <w:sz w:val="20"/>
          <w:szCs w:val="20"/>
          <w:lang w:val="bg-BG"/>
        </w:rPr>
        <w:t>брандиране</w:t>
      </w:r>
      <w:proofErr w:type="spellEnd"/>
      <w:r w:rsidR="00005A81" w:rsidRPr="00005A81">
        <w:rPr>
          <w:rFonts w:ascii="Verdana" w:eastAsia="Times New Roman" w:hAnsi="Verdana" w:cs="Times New Roman"/>
          <w:b/>
          <w:sz w:val="20"/>
          <w:szCs w:val="20"/>
          <w:lang w:val="bg-BG"/>
        </w:rPr>
        <w:t>, отпечатване и доставка на рекламно-информационни материали за нуждите на ПРСР (2014-2020г.)“</w:t>
      </w:r>
    </w:p>
    <w:p w:rsidR="00B5704D" w:rsidRPr="00D01712" w:rsidRDefault="00B5704D" w:rsidP="00D01712">
      <w:pPr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B5704D" w:rsidRPr="00D01712" w:rsidRDefault="00B5704D" w:rsidP="00D01712">
      <w:pPr>
        <w:spacing w:after="120" w:line="36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D01712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ЦЕНОВО ПРЕДЛОЖЕНИЕ</w:t>
      </w:r>
    </w:p>
    <w:p w:rsidR="00B5704D" w:rsidRPr="00D01712" w:rsidRDefault="00B5704D" w:rsidP="00D01712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D01712" w:rsidRPr="00D01712" w:rsidRDefault="00D01712" w:rsidP="00D01712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01712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D01712" w:rsidRPr="00D01712" w:rsidRDefault="00D01712" w:rsidP="00D0171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01712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D01712" w:rsidRPr="00D01712" w:rsidRDefault="00D01712" w:rsidP="00D0171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01712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D01712" w:rsidRPr="00D01712" w:rsidRDefault="00D01712" w:rsidP="00D0171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D01712" w:rsidRPr="00D01712" w:rsidRDefault="00D01712" w:rsidP="00D0171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01712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D01712" w:rsidRPr="00D01712" w:rsidRDefault="00D01712" w:rsidP="00D0171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940"/>
      </w:tblGrid>
      <w:tr w:rsidR="00D01712" w:rsidRPr="00D01712" w:rsidTr="00D01712">
        <w:trPr>
          <w:trHeight w:val="55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12" w:rsidRPr="00D01712" w:rsidRDefault="00D01712" w:rsidP="00D01712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0171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12" w:rsidRPr="00D01712" w:rsidRDefault="00D01712" w:rsidP="00D01712">
            <w:pPr>
              <w:spacing w:after="12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01712" w:rsidRPr="00D01712" w:rsidTr="00D01712">
        <w:trPr>
          <w:trHeight w:val="6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12" w:rsidRPr="00D01712" w:rsidRDefault="00D01712" w:rsidP="00D01712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0171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12" w:rsidRPr="00D01712" w:rsidRDefault="00D01712" w:rsidP="00D01712">
            <w:pPr>
              <w:spacing w:after="120" w:line="36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01712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D01712" w:rsidRPr="00D01712" w:rsidTr="00D01712">
        <w:trPr>
          <w:trHeight w:val="5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12" w:rsidRPr="00D01712" w:rsidRDefault="00D01712" w:rsidP="00D01712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0171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12" w:rsidRPr="00D01712" w:rsidRDefault="00D01712" w:rsidP="00D01712">
            <w:pPr>
              <w:spacing w:after="12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01712" w:rsidRPr="00D01712" w:rsidTr="00D01712">
        <w:trPr>
          <w:trHeight w:val="5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12" w:rsidRPr="00D01712" w:rsidRDefault="00D01712" w:rsidP="00D01712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0171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12" w:rsidRPr="00D01712" w:rsidRDefault="00D01712" w:rsidP="00D01712">
            <w:pPr>
              <w:spacing w:after="12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01712" w:rsidRPr="00D01712" w:rsidTr="00D01712">
        <w:trPr>
          <w:trHeight w:val="6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12" w:rsidRPr="00D01712" w:rsidRDefault="00D01712" w:rsidP="00D01712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0171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12" w:rsidRPr="00D01712" w:rsidRDefault="00D01712" w:rsidP="00D01712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01712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D01712" w:rsidRPr="00D01712" w:rsidTr="00D01712">
        <w:trPr>
          <w:trHeight w:val="6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12" w:rsidRPr="00D01712" w:rsidRDefault="00D01712" w:rsidP="00D01712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0171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12" w:rsidRPr="00D01712" w:rsidRDefault="00D01712" w:rsidP="00D01712">
            <w:pPr>
              <w:spacing w:after="12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01712" w:rsidRPr="00D01712" w:rsidTr="00D01712">
        <w:trPr>
          <w:trHeight w:val="5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12" w:rsidRPr="00D01712" w:rsidRDefault="00D01712" w:rsidP="00D01712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0171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12" w:rsidRPr="00D01712" w:rsidRDefault="00D01712" w:rsidP="00D01712">
            <w:pPr>
              <w:spacing w:after="12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01712" w:rsidRPr="00D01712" w:rsidTr="00D01712">
        <w:trPr>
          <w:trHeight w:val="5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12" w:rsidRPr="00D01712" w:rsidRDefault="00D01712" w:rsidP="00D01712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0171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12" w:rsidRPr="00D01712" w:rsidRDefault="00D01712" w:rsidP="00D01712">
            <w:pPr>
              <w:spacing w:after="12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01712" w:rsidRPr="00D01712" w:rsidTr="00D01712">
        <w:trPr>
          <w:trHeight w:val="5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12" w:rsidRPr="00D01712" w:rsidRDefault="00D01712" w:rsidP="00D01712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0171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12" w:rsidRPr="00D01712" w:rsidRDefault="00D01712" w:rsidP="00D01712">
            <w:pPr>
              <w:spacing w:after="12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D01712" w:rsidRPr="00D01712" w:rsidRDefault="00D01712" w:rsidP="00D01712">
      <w:pPr>
        <w:spacing w:before="84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01712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УВАЖАЕМИ ДАМИ И ГОСПОДА,</w:t>
      </w:r>
    </w:p>
    <w:p w:rsidR="00D01712" w:rsidRDefault="00D01712" w:rsidP="00D01712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01712">
        <w:rPr>
          <w:rFonts w:ascii="Verdana" w:eastAsia="Times New Roman" w:hAnsi="Verdana" w:cs="Times New Roman"/>
          <w:sz w:val="20"/>
          <w:szCs w:val="20"/>
          <w:lang w:val="bg-BG"/>
        </w:rPr>
        <w:t xml:space="preserve">Във връзка с Решение и обявление за възлагане на обществена поръчка на Министерство на земеделието и храните заявявам, че желая да участвам в </w:t>
      </w:r>
      <w:r w:rsidRPr="00D01712">
        <w:rPr>
          <w:rFonts w:ascii="Verdana" w:eastAsia="Times New Roman" w:hAnsi="Verdana" w:cs="Times New Roman"/>
          <w:b/>
          <w:sz w:val="20"/>
          <w:szCs w:val="20"/>
          <w:lang w:val="bg-BG"/>
        </w:rPr>
        <w:t>откритата процедура</w:t>
      </w:r>
      <w:r w:rsidRPr="00D01712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възлагане на обществена поръчка при условията, обявени в тази документация, като правя следното ценово предложение:</w:t>
      </w:r>
    </w:p>
    <w:tbl>
      <w:tblPr>
        <w:tblW w:w="11365" w:type="dxa"/>
        <w:jc w:val="center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2505"/>
        <w:gridCol w:w="3331"/>
        <w:gridCol w:w="1435"/>
        <w:gridCol w:w="1262"/>
        <w:gridCol w:w="1051"/>
        <w:gridCol w:w="850"/>
      </w:tblGrid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lastRenderedPageBreak/>
              <w:t>№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E067D2">
              <w:rPr>
                <w:rFonts w:ascii="Verdana" w:hAnsi="Verdana"/>
                <w:b/>
                <w:sz w:val="16"/>
                <w:szCs w:val="16"/>
                <w:lang w:val="bg-BG"/>
              </w:rPr>
              <w:t>Вид рекламен артикул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E067D2">
              <w:rPr>
                <w:rFonts w:ascii="Verdana" w:hAnsi="Verdana"/>
                <w:b/>
                <w:sz w:val="16"/>
                <w:szCs w:val="16"/>
                <w:lang w:val="bg-BG"/>
              </w:rPr>
              <w:t>Технически параметри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E067D2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E067D2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Печат и </w:t>
            </w:r>
            <w:proofErr w:type="spellStart"/>
            <w:r w:rsidRPr="00E067D2">
              <w:rPr>
                <w:rFonts w:ascii="Verdana" w:hAnsi="Verdana"/>
                <w:b/>
                <w:sz w:val="16"/>
                <w:szCs w:val="16"/>
                <w:lang w:val="bg-BG"/>
              </w:rPr>
              <w:t>брандиране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E067D2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E067D2">
              <w:rPr>
                <w:rFonts w:ascii="Verdana" w:hAnsi="Verdana"/>
                <w:b/>
                <w:sz w:val="16"/>
                <w:szCs w:val="16"/>
                <w:lang w:val="bg-BG"/>
              </w:rPr>
              <w:t>Количество (бр.)</w:t>
            </w:r>
          </w:p>
        </w:tc>
        <w:tc>
          <w:tcPr>
            <w:tcW w:w="1051" w:type="dxa"/>
          </w:tcPr>
          <w:p w:rsidR="00C62E5E" w:rsidRPr="00E067D2" w:rsidRDefault="00C62E5E" w:rsidP="00E067D2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E067D2">
              <w:rPr>
                <w:rFonts w:ascii="Verdana" w:hAnsi="Verdana"/>
                <w:b/>
                <w:sz w:val="16"/>
                <w:szCs w:val="16"/>
                <w:lang w:val="bg-BG"/>
              </w:rPr>
              <w:t>Ед. Цена без вкл. ДДС</w:t>
            </w:r>
          </w:p>
        </w:tc>
        <w:tc>
          <w:tcPr>
            <w:tcW w:w="850" w:type="dxa"/>
          </w:tcPr>
          <w:p w:rsidR="00C62E5E" w:rsidRPr="00E067D2" w:rsidRDefault="00C62E5E" w:rsidP="00E067D2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E067D2">
              <w:rPr>
                <w:rFonts w:ascii="Verdana" w:hAnsi="Verdana"/>
                <w:b/>
                <w:sz w:val="16"/>
                <w:szCs w:val="16"/>
                <w:lang w:val="bg-BG"/>
              </w:rPr>
              <w:t>Обща цена без вкл. ДДС</w:t>
            </w: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E067D2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Химикалка – метална </w:t>
            </w: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смарт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телефони, подходяща за работа с “тъч </w:t>
            </w: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скрийн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“ дисплей на </w:t>
            </w: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смарт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телефони</w:t>
            </w:r>
          </w:p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3331" w:type="dxa"/>
            <w:shd w:val="clear" w:color="auto" w:fill="auto"/>
            <w:vAlign w:val="bottom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метална сплав, покрита с цветна боя + гланцов лак.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Автоматична с пълнител син цвят, тип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паркер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Позволяваща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брандиране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Макс. височина на надписа: 6мм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лазерно гравиране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2500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Химикалка с вградена </w:t>
            </w: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флаш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памет</w:t>
            </w:r>
          </w:p>
        </w:tc>
        <w:tc>
          <w:tcPr>
            <w:tcW w:w="3331" w:type="dxa"/>
            <w:shd w:val="clear" w:color="auto" w:fill="auto"/>
            <w:vAlign w:val="bottom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Материал: метална сплав, покрита с цветна боя + гланцов лак. Автоматична с пълнител син цвят, тип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паркер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Вградена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флаш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памет (4GB).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В кожена кутия.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Позволяваща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брандиране</w:t>
            </w:r>
            <w:proofErr w:type="spellEnd"/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Макс. височина на надписа: 6мм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лазерно гравиране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2500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Тефтер от </w:t>
            </w: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еко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материали в комплект с химикалка от </w:t>
            </w: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еко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материали </w:t>
            </w:r>
          </w:p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3331" w:type="dxa"/>
            <w:shd w:val="clear" w:color="auto" w:fill="auto"/>
            <w:vAlign w:val="bottom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рециклирана хартия, пресована под високо налягане, без цветно покритие.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Водач и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клипс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 от цветна пластмаса –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разградима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Автоматична с пълнител син цвят. Позволяваща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брандиране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Макс. височина на надписа: 6мм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12500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Тематична химикалка</w:t>
            </w:r>
          </w:p>
        </w:tc>
        <w:tc>
          <w:tcPr>
            <w:tcW w:w="3331" w:type="dxa"/>
            <w:shd w:val="clear" w:color="auto" w:fill="auto"/>
            <w:vAlign w:val="bottom"/>
          </w:tcPr>
          <w:p w:rsidR="00C62E5E" w:rsidRPr="00E067D2" w:rsidRDefault="00C62E5E" w:rsidP="008D5757">
            <w:pPr>
              <w:spacing w:line="24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Пластмаса, цветна</w:t>
            </w:r>
          </w:p>
          <w:p w:rsidR="00C62E5E" w:rsidRPr="00E067D2" w:rsidRDefault="00C62E5E" w:rsidP="008D5757">
            <w:pPr>
              <w:spacing w:line="24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Пълнител син цвят.</w:t>
            </w:r>
          </w:p>
          <w:p w:rsidR="00C62E5E" w:rsidRPr="00E067D2" w:rsidRDefault="00C62E5E" w:rsidP="008D5757">
            <w:pPr>
              <w:spacing w:line="24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Позволяваща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брандиране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директен UV печат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5000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Флаш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памет USB</w:t>
            </w:r>
          </w:p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3331" w:type="dxa"/>
            <w:shd w:val="clear" w:color="auto" w:fill="auto"/>
            <w:vAlign w:val="bottom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Преносима памет с USB интерфейс. Капацитет -  16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Gb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държач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: метална сплав, безцветна, позволяваща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брандиране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 Материал тяло: пластмаса, цветна.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л</w:t>
            </w:r>
            <w:r w:rsidR="008D5757">
              <w:rPr>
                <w:rFonts w:ascii="Verdana" w:hAnsi="Verdana"/>
                <w:sz w:val="18"/>
                <w:szCs w:val="18"/>
                <w:lang w:val="bg-BG"/>
              </w:rPr>
              <w:t>азерно гравиране</w:t>
            </w: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или</w:t>
            </w: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директен UV печат</w:t>
            </w: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lastRenderedPageBreak/>
              <w:t>2500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Тематична </w:t>
            </w: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флаш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памет USB</w:t>
            </w:r>
          </w:p>
        </w:tc>
        <w:tc>
          <w:tcPr>
            <w:tcW w:w="3331" w:type="dxa"/>
            <w:shd w:val="clear" w:color="auto" w:fill="auto"/>
            <w:vAlign w:val="bottom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Преносима памет с USB интерфейс. Капацитет -  16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Gb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Материал: метална сплав, позволяваща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брандиране</w:t>
            </w:r>
            <w:proofErr w:type="spellEnd"/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лазерно гравиране</w:t>
            </w: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или</w:t>
            </w: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директен UV печат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5000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Чаша – порцеланова</w:t>
            </w:r>
          </w:p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Чаша за топли напитки.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порцелан.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Цвят Бял.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Диаметър: Ø8/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Височина: 9.5 см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Позволяваща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брандиране</w:t>
            </w:r>
            <w:proofErr w:type="spellEnd"/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2000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Дъждобран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Дъждобран с качулка и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тик-так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закопчаване.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полиетилен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Размери: 85×66 см.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Рекламна площ: 200 x 200 мм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1500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Чадър сгъваем</w:t>
            </w:r>
          </w:p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Компактен, сгъваем чадър с калъф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Диаметър: 960 мм.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полиестер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, вътрешната страна на чадъра е в сребърен цвят, а горната част – цветна;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Ос: метална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Дръжка: пластмаса.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3000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Чадър голям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Автоматичен чадър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Плътен и устойчив и при най-лошо време.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Диаметър: 1050мм.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полиестер</w:t>
            </w:r>
            <w:proofErr w:type="spellEnd"/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Ос: метална;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Дръжка: дървена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3000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Връзка за бадж</w:t>
            </w:r>
          </w:p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Връзка за бадж с метална закопчалка. Ширина - 20 mm, дължина: 80см. Материал: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полиестер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 Цветна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или </w:t>
            </w: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трансфер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1500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Аудио слушалки обгръщащи ухото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Слушалки обгръщащи ухото.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Корпус: пластмаса (бяла или черна);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Кабел: 1.5м.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Интерфейс: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стерео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жак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3,5мм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Позволяващи персонализация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1500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Самозареждащо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се фенерче  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LED фенерче в кутия, работи с батерия или ръчно динамо. Окомплектовано с батерии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Размери: 100x50x25 mm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пластмаса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2000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Комплект термос с два броя чаши </w:t>
            </w:r>
          </w:p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Външен корпус: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алуминии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Двойни стени.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Вътрешен контейнер: неръждаема стомана. Позволяващ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брандиране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1500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Термо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раничка</w:t>
            </w:r>
            <w:proofErr w:type="spellEnd"/>
          </w:p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Термо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раничка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;.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Външна част: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полиестер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Вътрешна част: PE;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Размери: 280х340х135 mm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Закопчаване: цип.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1500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Тефтер лукс в комплект с луксозна химикалка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Тефтер: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Размер: А5;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Луксозна обшита корица от естествена кожа с двустранна мека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вложка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Тяло хартия жълт офсет-352 стр.,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двуцв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.печат, 5 езика, 16 стр. полезна инф., текст. лента за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отб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.,черен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форзац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, джоб. В кутия.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Химикалка: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метална сплав, покрита с цветна боя + гланцов лак.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Автоматична с пълнител син цвят, тип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паркер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Позволяваща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брандиране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Макс. височина на надписа: 6 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лазерно гравиране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1000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Тениска, обикновена 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100% памук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Плътност: 130 гр./кв.м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Цвят: БЯЛ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Размери: S, M, L, XL, XXL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4000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Шапка с козирка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Материал: 100%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полиестер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,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Закопчаване: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велкро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4000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Торба от плат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нетъкан текстил - памук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Размери: 30/38/9 см;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Позволяваща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брандиране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4000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Луксозна торба от хартия 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Хартиена торба.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Цвят кафяв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Размери: 27.8/37/8.5 см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2000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Въшна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батерия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Корпус: 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алуминии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Покритие: боя-цветове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Интерфейс: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micro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USB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Капацитет: 4000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mah</w:t>
            </w:r>
            <w:proofErr w:type="spellEnd"/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лазерно гравиране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2000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Баджове с </w:t>
            </w: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клипс</w:t>
            </w:r>
            <w:proofErr w:type="spellEnd"/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полиетилен</w:t>
            </w:r>
            <w:proofErr w:type="spellEnd"/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Размери:10.6/8.2 см;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С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клипс</w:t>
            </w:r>
            <w:proofErr w:type="spellEnd"/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1500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Тематични </w:t>
            </w: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антистрес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топки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Cs/>
                <w:sz w:val="18"/>
                <w:szCs w:val="18"/>
                <w:lang w:val="bg-BG"/>
              </w:rPr>
              <w:t>Размери:</w:t>
            </w: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ø 6,3 cm</w:t>
            </w: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E067D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Максимален размер на </w:t>
            </w:r>
            <w:proofErr w:type="spellStart"/>
            <w:r w:rsidRPr="00E067D2">
              <w:rPr>
                <w:rFonts w:ascii="Verdana" w:hAnsi="Verdana"/>
                <w:bCs/>
                <w:sz w:val="18"/>
                <w:szCs w:val="18"/>
                <w:lang w:val="bg-BG"/>
              </w:rPr>
              <w:t>печатаемото</w:t>
            </w:r>
            <w:proofErr w:type="spellEnd"/>
            <w:r w:rsidRPr="00E067D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поле:</w:t>
            </w: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3 x 1,5 cm</w:t>
            </w:r>
          </w:p>
          <w:p w:rsidR="00C62E5E" w:rsidRPr="00E067D2" w:rsidRDefault="00C62E5E" w:rsidP="00E067D2">
            <w:pPr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Cs/>
                <w:sz w:val="18"/>
                <w:szCs w:val="18"/>
                <w:lang w:val="bg-BG"/>
              </w:rPr>
              <w:t>PU материал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2000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Тематични ключодържатели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пластмаса.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2000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Комплект за вино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Комплект за вино, 4 части в дървена кутия.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Части: Метален тирбушон за вино, метална тапа за вино с гумен уплътнител, метален дозатор за вино, метален попива</w:t>
            </w:r>
            <w:r w:rsidR="008D5757">
              <w:rPr>
                <w:rFonts w:ascii="Verdana" w:hAnsi="Verdana"/>
                <w:sz w:val="18"/>
                <w:szCs w:val="18"/>
                <w:lang w:val="bg-BG"/>
              </w:rPr>
              <w:t>телен ринг за гърло на бутилка.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– за кутията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300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Луксозен комплект за вино 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Комплект за вино,3 части в кожена кутия.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Части: Абстрактен тирбушон за вино - метален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Метална тапа за вино с гумен уплътнител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Метален попивателен ринг за гърло на бутилка.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 метални части: метална сплав, покритие -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инокс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, огледален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– за кутията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300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Топки за футбол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Материал: изкуствена кожа, шита 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Пплондер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: каучук.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Обиколка: 70см.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Тегло: до 500гр.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750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Топки за баскетбол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гума, Тегло: до 600гр.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750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Топки за волейбол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Материал: висококачествена синтетична кожа от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микрофибър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полиуретан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, лепена;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Пплондер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Двупластов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, направен от примеси на гума и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бутил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Обиколка: 66-68 см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Тегло: до 300 гр.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750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Раница тип "ученическа"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Материал: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полиестер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Размери: 310 x 160 x 470 mm;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 преден джоб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ситопечат</w:t>
            </w:r>
            <w:proofErr w:type="spellEnd"/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Кожени бизнес раници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кожа; 17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Размери: 310 x 160 x 470 mm; С преден джоб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лазерно гравиране </w:t>
            </w: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или </w:t>
            </w:r>
          </w:p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сухо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преге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Тематичен пъзел за малки деца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 на пъзела: 29.9/21 см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Печат: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сублимационен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до 29/21 см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Брой части: 120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картон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трансфер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Тематичен голям пъзел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 на пъзела: 29/40 см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Печат: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сублимационен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29/40 см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Брой части: 300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картон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трансфер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Брошури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Хартия: 130гр.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Гланц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Печат: офсет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Цветност: 4+4,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Размер: А5 (210х148.5мм)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15000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Дипляни</w:t>
            </w:r>
            <w:proofErr w:type="spellEnd"/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Хартия: 130гр.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Гланц;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Печат: офсет;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Цветност: 4+4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Сгъвки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: 2 бр.;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Размер: АА (210х297мм)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15000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Блокноти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с листа за писане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Кочан: 50 листа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Размер: А4,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Печат: офсет;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Хартия: 80гр.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Офсетова</w:t>
            </w:r>
          </w:p>
          <w:p w:rsidR="00C62E5E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Цветност: 4+0</w:t>
            </w:r>
          </w:p>
          <w:p w:rsidR="00EA5032" w:rsidRPr="00E067D2" w:rsidRDefault="00EA5032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20000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Работни календари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Едносекционен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 календар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Размери:  310х495мм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Подложка: 300гр./кв.м.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бигована</w:t>
            </w:r>
            <w:proofErr w:type="spellEnd"/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Тетрадки: 80гр./кв.м. офсет, 2+0, 12 листа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Глава: пълноцветен печат,</w:t>
            </w:r>
          </w:p>
          <w:p w:rsidR="00C62E5E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Хартия: 300гр./кв.м</w:t>
            </w:r>
          </w:p>
          <w:p w:rsidR="00EA5032" w:rsidRPr="00E067D2" w:rsidRDefault="00EA5032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bookmarkStart w:id="0" w:name="_GoBack"/>
            <w:bookmarkEnd w:id="0"/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3000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Настолен календар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 xml:space="preserve">Подложка: </w:t>
            </w:r>
            <w:proofErr w:type="spellStart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бяля</w:t>
            </w:r>
            <w:proofErr w:type="spellEnd"/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, 350гр./кв.м,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Размер: 420х295мм;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Тяло: 420х280мм,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54 листа,  80гр./кв.м, офсет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Корица: пълноцветен печат,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Хартия 300гр.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Хром гланц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Захващане: спирала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3000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  <w:tr w:rsidR="00C62E5E" w:rsidRPr="00E067D2" w:rsidTr="00EA503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62E5E" w:rsidRPr="00E067D2" w:rsidRDefault="00C62E5E" w:rsidP="00C62E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proofErr w:type="spellStart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Конферентна</w:t>
            </w:r>
            <w:proofErr w:type="spellEnd"/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папка 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Цветност на корица 4+0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Материал: картон 350гр.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Хром мат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Размер в сгънат вид- А4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sz w:val="18"/>
                <w:szCs w:val="18"/>
                <w:lang w:val="bg-BG"/>
              </w:rPr>
              <w:t>Джоб с щанцоване</w:t>
            </w:r>
          </w:p>
          <w:p w:rsidR="00C62E5E" w:rsidRPr="00E067D2" w:rsidRDefault="00C62E5E" w:rsidP="00E067D2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067D2">
              <w:rPr>
                <w:rFonts w:ascii="Verdana" w:hAnsi="Verdana"/>
                <w:b/>
                <w:sz w:val="18"/>
                <w:szCs w:val="18"/>
                <w:lang w:val="bg-BG"/>
              </w:rPr>
              <w:t>7500</w:t>
            </w:r>
          </w:p>
        </w:tc>
        <w:tc>
          <w:tcPr>
            <w:tcW w:w="1051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C62E5E" w:rsidRPr="00E067D2" w:rsidRDefault="00C62E5E" w:rsidP="00626456">
            <w:pPr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</w:tr>
    </w:tbl>
    <w:p w:rsidR="00D01712" w:rsidRPr="008D5757" w:rsidRDefault="00D01712" w:rsidP="00D0171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01712" w:rsidRPr="00D01712" w:rsidRDefault="00D01712" w:rsidP="00D0171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01712" w:rsidRPr="00005A81" w:rsidRDefault="00D01712" w:rsidP="00005A81">
      <w:pPr>
        <w:pStyle w:val="BodyTextIndent"/>
        <w:spacing w:line="360" w:lineRule="auto"/>
        <w:ind w:firstLine="360"/>
        <w:rPr>
          <w:rFonts w:ascii="Verdana" w:hAnsi="Verdana"/>
          <w:sz w:val="20"/>
          <w:lang w:val="en-US"/>
        </w:rPr>
      </w:pPr>
      <w:r w:rsidRPr="00D01712">
        <w:rPr>
          <w:rFonts w:ascii="Verdana" w:hAnsi="Verdana"/>
          <w:b/>
          <w:sz w:val="20"/>
          <w:lang w:eastAsia="bg-BG"/>
        </w:rPr>
        <w:t>2.</w:t>
      </w:r>
      <w:r w:rsidRPr="00D01712">
        <w:rPr>
          <w:rFonts w:ascii="Verdana" w:hAnsi="Verdana"/>
          <w:sz w:val="20"/>
          <w:lang w:eastAsia="bg-BG"/>
        </w:rPr>
        <w:t xml:space="preserve"> Сборът от единичните цени за изпълнение на договора е в размер на </w:t>
      </w:r>
      <w:r w:rsidRPr="00D01712">
        <w:rPr>
          <w:rFonts w:ascii="Verdana" w:hAnsi="Verdana"/>
          <w:sz w:val="20"/>
        </w:rPr>
        <w:t>…………. лв. /…………./ без ДДС.</w:t>
      </w:r>
    </w:p>
    <w:p w:rsidR="00005A81" w:rsidRDefault="00D01712" w:rsidP="00005A81">
      <w:pPr>
        <w:pStyle w:val="BodyTextIndent"/>
        <w:spacing w:line="360" w:lineRule="auto"/>
        <w:ind w:firstLine="360"/>
        <w:rPr>
          <w:rFonts w:ascii="Verdana" w:hAnsi="Verdana"/>
          <w:sz w:val="20"/>
          <w:lang w:val="en-US" w:eastAsia="bg-BG"/>
        </w:rPr>
      </w:pPr>
      <w:r w:rsidRPr="00526600">
        <w:rPr>
          <w:rFonts w:ascii="Verdana" w:hAnsi="Verdana"/>
          <w:b/>
          <w:sz w:val="20"/>
          <w:lang w:eastAsia="bg-BG"/>
        </w:rPr>
        <w:t>3.</w:t>
      </w:r>
      <w:r w:rsidRPr="00526600">
        <w:rPr>
          <w:rFonts w:ascii="Verdana" w:hAnsi="Verdana"/>
          <w:sz w:val="20"/>
          <w:lang w:eastAsia="bg-BG"/>
        </w:rPr>
        <w:t xml:space="preserve"> Общата сума за изпълнение на договора е в размер на </w:t>
      </w:r>
      <w:r w:rsidRPr="00526600">
        <w:rPr>
          <w:rFonts w:ascii="Verdana" w:hAnsi="Verdana"/>
          <w:sz w:val="20"/>
        </w:rPr>
        <w:t>…………. лв. /…………./ без ДДС.</w:t>
      </w:r>
      <w:r w:rsidR="00526600" w:rsidRPr="00526600">
        <w:rPr>
          <w:rFonts w:ascii="Verdana" w:hAnsi="Verdana"/>
          <w:sz w:val="20"/>
          <w:lang w:eastAsia="bg-BG"/>
        </w:rPr>
        <w:t xml:space="preserve"> </w:t>
      </w:r>
    </w:p>
    <w:p w:rsidR="00D01712" w:rsidRDefault="00D01712" w:rsidP="00005A81">
      <w:pPr>
        <w:pStyle w:val="BodyTextIndent"/>
        <w:spacing w:line="360" w:lineRule="auto"/>
        <w:ind w:firstLine="360"/>
        <w:rPr>
          <w:rFonts w:ascii="Verdana" w:hAnsi="Verdana"/>
          <w:i/>
          <w:sz w:val="20"/>
        </w:rPr>
      </w:pPr>
      <w:r w:rsidRPr="00D01712">
        <w:rPr>
          <w:rFonts w:ascii="Verdana" w:hAnsi="Verdana"/>
          <w:b/>
          <w:i/>
          <w:sz w:val="20"/>
          <w:u w:val="single"/>
        </w:rPr>
        <w:t>*Забележка:</w:t>
      </w:r>
      <w:r w:rsidRPr="00D01712">
        <w:rPr>
          <w:rFonts w:ascii="Verdana" w:hAnsi="Verdana"/>
          <w:i/>
          <w:sz w:val="20"/>
        </w:rPr>
        <w:t xml:space="preserve"> Сборът на сумите на отделните артикули следва да съвпада с общата</w:t>
      </w:r>
      <w:r w:rsidRPr="00D01712">
        <w:rPr>
          <w:rFonts w:ascii="Verdana" w:hAnsi="Verdana"/>
          <w:b/>
          <w:i/>
          <w:sz w:val="20"/>
        </w:rPr>
        <w:t xml:space="preserve"> </w:t>
      </w:r>
      <w:r w:rsidRPr="00D01712">
        <w:rPr>
          <w:rFonts w:ascii="Verdana" w:hAnsi="Verdana"/>
          <w:i/>
          <w:sz w:val="20"/>
        </w:rPr>
        <w:t>цена за изпълнение на поръчката, предложена в настоящата оферта. В случай че двете стойности не съвпадат, ще се вземе предвид сбора на посочените общи стойности за отделните артикули.</w:t>
      </w:r>
      <w:r>
        <w:rPr>
          <w:rFonts w:ascii="Verdana" w:hAnsi="Verdana"/>
          <w:i/>
          <w:sz w:val="20"/>
        </w:rPr>
        <w:t xml:space="preserve"> </w:t>
      </w:r>
      <w:r w:rsidRPr="00D01712">
        <w:rPr>
          <w:rFonts w:ascii="Verdana" w:hAnsi="Verdana"/>
          <w:i/>
          <w:sz w:val="20"/>
        </w:rPr>
        <w:t>Общата сума за изпълнение на договора не може да надвишава прогнозната стойност на поръчката</w:t>
      </w:r>
      <w:r w:rsidR="00526600" w:rsidRPr="00526600">
        <w:rPr>
          <w:rFonts w:ascii="Verdana" w:hAnsi="Verdana"/>
          <w:sz w:val="20"/>
          <w:lang w:eastAsia="bg-BG"/>
        </w:rPr>
        <w:t xml:space="preserve"> </w:t>
      </w:r>
      <w:r w:rsidR="00526600" w:rsidRPr="00526600">
        <w:rPr>
          <w:rFonts w:ascii="Verdana" w:hAnsi="Verdana"/>
          <w:i/>
          <w:sz w:val="20"/>
          <w:lang w:eastAsia="bg-BG"/>
        </w:rPr>
        <w:t xml:space="preserve">от </w:t>
      </w:r>
      <w:r w:rsidR="00526600" w:rsidRPr="00526600">
        <w:rPr>
          <w:rFonts w:ascii="Verdana" w:hAnsi="Verdana"/>
          <w:i/>
          <w:sz w:val="20"/>
        </w:rPr>
        <w:t>700 000 лв. без ДДС.</w:t>
      </w:r>
    </w:p>
    <w:p w:rsidR="008D5757" w:rsidRDefault="008D5757" w:rsidP="00005A81">
      <w:pPr>
        <w:pStyle w:val="BodyTextIndent"/>
        <w:spacing w:line="360" w:lineRule="auto"/>
        <w:ind w:firstLine="360"/>
        <w:rPr>
          <w:rFonts w:ascii="Verdana" w:hAnsi="Verdana"/>
          <w:i/>
          <w:sz w:val="20"/>
        </w:rPr>
      </w:pPr>
    </w:p>
    <w:p w:rsidR="008D5757" w:rsidRPr="00005A81" w:rsidRDefault="008D5757" w:rsidP="00005A81">
      <w:pPr>
        <w:pStyle w:val="BodyTextIndent"/>
        <w:spacing w:line="360" w:lineRule="auto"/>
        <w:ind w:firstLine="360"/>
        <w:rPr>
          <w:rFonts w:ascii="Verdana" w:hAnsi="Verdana"/>
          <w:sz w:val="20"/>
          <w:lang w:val="en-US" w:eastAsia="bg-BG"/>
        </w:rPr>
      </w:pPr>
    </w:p>
    <w:p w:rsidR="00D01712" w:rsidRPr="00D01712" w:rsidRDefault="00D01712" w:rsidP="00D01712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D0171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__________2016 г.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                                                                                  </w:t>
      </w:r>
      <w:r w:rsidRPr="00D01712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D0171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</w:t>
      </w:r>
    </w:p>
    <w:p w:rsidR="00D01712" w:rsidRPr="00D01712" w:rsidRDefault="00D01712" w:rsidP="00D017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                                                                                                                 </w:t>
      </w:r>
      <w:r w:rsidRPr="00D0171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/подпис и печат/</w:t>
      </w:r>
    </w:p>
    <w:p w:rsidR="00D01712" w:rsidRPr="00D01712" w:rsidRDefault="00D01712" w:rsidP="00D0171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D01712" w:rsidRDefault="00D01712" w:rsidP="00D01712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</w:p>
    <w:p w:rsidR="00B5704D" w:rsidRPr="00D01712" w:rsidRDefault="00B5704D" w:rsidP="00D01712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36453" w:rsidRPr="00D01712" w:rsidRDefault="00E36453" w:rsidP="00D01712">
      <w:pPr>
        <w:spacing w:line="360" w:lineRule="auto"/>
        <w:rPr>
          <w:rFonts w:ascii="Verdana" w:hAnsi="Verdana"/>
          <w:color w:val="FFFFFF" w:themeColor="background1"/>
          <w:sz w:val="20"/>
          <w:szCs w:val="20"/>
          <w:lang w:val="bg-BG"/>
        </w:rPr>
      </w:pPr>
    </w:p>
    <w:sectPr w:rsidR="00E36453" w:rsidRPr="00D01712" w:rsidSect="00D01712">
      <w:headerReference w:type="default" r:id="rId8"/>
      <w:footerReference w:type="default" r:id="rId9"/>
      <w:headerReference w:type="first" r:id="rId10"/>
      <w:pgSz w:w="12240" w:h="15840"/>
      <w:pgMar w:top="1417" w:right="1417" w:bottom="851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9B" w:rsidRDefault="0067689B" w:rsidP="00B5704D">
      <w:pPr>
        <w:spacing w:after="0" w:line="240" w:lineRule="auto"/>
      </w:pPr>
      <w:r>
        <w:separator/>
      </w:r>
    </w:p>
  </w:endnote>
  <w:endnote w:type="continuationSeparator" w:id="0">
    <w:p w:rsidR="0067689B" w:rsidRDefault="0067689B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06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E17CF" w:rsidRDefault="006E17C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032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E17CF" w:rsidRDefault="006E1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9B" w:rsidRDefault="0067689B" w:rsidP="00B5704D">
      <w:pPr>
        <w:spacing w:after="0" w:line="240" w:lineRule="auto"/>
      </w:pPr>
      <w:r>
        <w:separator/>
      </w:r>
    </w:p>
  </w:footnote>
  <w:footnote w:type="continuationSeparator" w:id="0">
    <w:p w:rsidR="0067689B" w:rsidRDefault="0067689B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0D" w:rsidRDefault="002A070D">
    <w:pPr>
      <w:pStyle w:val="Header"/>
    </w:pPr>
  </w:p>
  <w:p w:rsidR="002A070D" w:rsidRDefault="002A07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0D" w:rsidRPr="00ED7928" w:rsidRDefault="002A070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2A070D" w:rsidRPr="00B5704D" w:rsidRDefault="002A070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314"/>
    <w:multiLevelType w:val="hybridMultilevel"/>
    <w:tmpl w:val="AD1C8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C8D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6258B"/>
    <w:multiLevelType w:val="hybridMultilevel"/>
    <w:tmpl w:val="FBC66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05A81"/>
    <w:rsid w:val="000872B1"/>
    <w:rsid w:val="000E66EB"/>
    <w:rsid w:val="000F7666"/>
    <w:rsid w:val="0010020B"/>
    <w:rsid w:val="00151F71"/>
    <w:rsid w:val="00152010"/>
    <w:rsid w:val="001A2C8A"/>
    <w:rsid w:val="001A4CA5"/>
    <w:rsid w:val="001E29CE"/>
    <w:rsid w:val="00267DC4"/>
    <w:rsid w:val="002A070D"/>
    <w:rsid w:val="00355FD1"/>
    <w:rsid w:val="003613B1"/>
    <w:rsid w:val="00383DE0"/>
    <w:rsid w:val="003B1682"/>
    <w:rsid w:val="00401FE0"/>
    <w:rsid w:val="00412822"/>
    <w:rsid w:val="004365F4"/>
    <w:rsid w:val="00467867"/>
    <w:rsid w:val="00526600"/>
    <w:rsid w:val="0054286D"/>
    <w:rsid w:val="005B50E6"/>
    <w:rsid w:val="005C0C63"/>
    <w:rsid w:val="005C3CF5"/>
    <w:rsid w:val="00657AC5"/>
    <w:rsid w:val="00671104"/>
    <w:rsid w:val="0067689B"/>
    <w:rsid w:val="006D68BD"/>
    <w:rsid w:val="006E17CF"/>
    <w:rsid w:val="006F363E"/>
    <w:rsid w:val="00715890"/>
    <w:rsid w:val="007251AA"/>
    <w:rsid w:val="00731BE6"/>
    <w:rsid w:val="00736F86"/>
    <w:rsid w:val="0075517A"/>
    <w:rsid w:val="00783D99"/>
    <w:rsid w:val="007A727F"/>
    <w:rsid w:val="007C2728"/>
    <w:rsid w:val="008459FC"/>
    <w:rsid w:val="00865DA0"/>
    <w:rsid w:val="008804F0"/>
    <w:rsid w:val="008963A4"/>
    <w:rsid w:val="008D3F2F"/>
    <w:rsid w:val="008D5757"/>
    <w:rsid w:val="008E603E"/>
    <w:rsid w:val="00982B39"/>
    <w:rsid w:val="009B3858"/>
    <w:rsid w:val="00AB72E2"/>
    <w:rsid w:val="00AF2893"/>
    <w:rsid w:val="00B1578D"/>
    <w:rsid w:val="00B3320A"/>
    <w:rsid w:val="00B426F2"/>
    <w:rsid w:val="00B5704D"/>
    <w:rsid w:val="00B629FB"/>
    <w:rsid w:val="00BF38FA"/>
    <w:rsid w:val="00BF7596"/>
    <w:rsid w:val="00C210F5"/>
    <w:rsid w:val="00C555F6"/>
    <w:rsid w:val="00C62E5E"/>
    <w:rsid w:val="00C76102"/>
    <w:rsid w:val="00C83425"/>
    <w:rsid w:val="00C845B2"/>
    <w:rsid w:val="00C96356"/>
    <w:rsid w:val="00D01712"/>
    <w:rsid w:val="00D142AC"/>
    <w:rsid w:val="00D40D54"/>
    <w:rsid w:val="00DF64EF"/>
    <w:rsid w:val="00E067D2"/>
    <w:rsid w:val="00E34DF0"/>
    <w:rsid w:val="00E36453"/>
    <w:rsid w:val="00EA5032"/>
    <w:rsid w:val="00E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64</cp:revision>
  <cp:lastPrinted>2016-04-01T07:19:00Z</cp:lastPrinted>
  <dcterms:created xsi:type="dcterms:W3CDTF">2015-01-15T11:13:00Z</dcterms:created>
  <dcterms:modified xsi:type="dcterms:W3CDTF">2016-04-01T07:21:00Z</dcterms:modified>
</cp:coreProperties>
</file>