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EA2" w:rsidRPr="002D77F2" w:rsidRDefault="009D4EA2" w:rsidP="00690044">
      <w:pPr>
        <w:spacing w:line="360" w:lineRule="auto"/>
        <w:rPr>
          <w:rFonts w:ascii="Verdana" w:hAnsi="Verdana"/>
          <w:b/>
          <w:sz w:val="20"/>
          <w:lang w:val="bg-BG"/>
        </w:rPr>
      </w:pPr>
      <w:r w:rsidRPr="00690044">
        <w:rPr>
          <w:rFonts w:ascii="Verdana" w:hAnsi="Verdana"/>
          <w:b/>
          <w:sz w:val="20"/>
          <w:lang w:val="bg-BG"/>
        </w:rPr>
        <w:t>П</w:t>
      </w:r>
      <w:r w:rsidRPr="002D77F2">
        <w:rPr>
          <w:rFonts w:ascii="Verdana" w:hAnsi="Verdana"/>
          <w:b/>
          <w:sz w:val="20"/>
          <w:lang w:val="bg-BG"/>
        </w:rPr>
        <w:t>риложение № 1</w:t>
      </w:r>
    </w:p>
    <w:p w:rsidR="009D4EA2" w:rsidRPr="002D77F2" w:rsidRDefault="009D4EA2" w:rsidP="00690044">
      <w:pPr>
        <w:spacing w:line="360" w:lineRule="auto"/>
        <w:rPr>
          <w:rFonts w:ascii="Verdana" w:hAnsi="Verdana"/>
          <w:sz w:val="20"/>
          <w:lang w:val="bg-BG"/>
        </w:rPr>
      </w:pPr>
      <w:r w:rsidRPr="002D77F2">
        <w:rPr>
          <w:rFonts w:ascii="Verdana" w:hAnsi="Verdana"/>
          <w:sz w:val="20"/>
          <w:lang w:val="bg-BG"/>
        </w:rPr>
        <w:t>към чл. 16 от Наредбата за обхвата и методологията за извършване на оценка на въздействието</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407"/>
        <w:gridCol w:w="4777"/>
      </w:tblGrid>
      <w:tr w:rsidR="009D4EA2" w:rsidRPr="002D77F2" w:rsidTr="002B5681">
        <w:tc>
          <w:tcPr>
            <w:tcW w:w="9184" w:type="dxa"/>
            <w:gridSpan w:val="2"/>
            <w:tcBorders>
              <w:top w:val="single" w:sz="18" w:space="0" w:color="auto"/>
              <w:left w:val="single" w:sz="18" w:space="0" w:color="auto"/>
              <w:bottom w:val="single" w:sz="18" w:space="0" w:color="auto"/>
              <w:right w:val="single" w:sz="18" w:space="0" w:color="auto"/>
            </w:tcBorders>
            <w:shd w:val="clear" w:color="auto" w:fill="D9D9D9"/>
            <w:hideMark/>
          </w:tcPr>
          <w:p w:rsidR="009D4EA2" w:rsidRPr="002D77F2" w:rsidRDefault="009D4EA2" w:rsidP="00595D1B">
            <w:pPr>
              <w:spacing w:line="360" w:lineRule="auto"/>
              <w:jc w:val="center"/>
              <w:rPr>
                <w:rFonts w:ascii="Verdana" w:hAnsi="Verdana"/>
                <w:sz w:val="20"/>
                <w:lang w:val="bg-BG"/>
              </w:rPr>
            </w:pPr>
            <w:r w:rsidRPr="002D77F2">
              <w:rPr>
                <w:rFonts w:ascii="Verdana" w:hAnsi="Verdana"/>
                <w:sz w:val="20"/>
                <w:lang w:val="bg-BG"/>
              </w:rPr>
              <w:t>Формуляр за частична предварителна оценка на въздействието*</w:t>
            </w:r>
          </w:p>
          <w:p w:rsidR="009D4EA2" w:rsidRPr="002D77F2" w:rsidRDefault="009D4EA2" w:rsidP="00595D1B">
            <w:pPr>
              <w:spacing w:line="360" w:lineRule="auto"/>
              <w:jc w:val="center"/>
              <w:rPr>
                <w:rFonts w:ascii="Verdana" w:hAnsi="Verdana"/>
                <w:sz w:val="20"/>
                <w:lang w:val="bg-BG"/>
              </w:rPr>
            </w:pPr>
            <w:r w:rsidRPr="002D77F2">
              <w:rPr>
                <w:rFonts w:ascii="Verdana" w:hAnsi="Verdana"/>
                <w:sz w:val="20"/>
                <w:lang w:val="bg-BG"/>
              </w:rPr>
              <w:t>(Приложете към формуляра допълнителна информация/документи)</w:t>
            </w:r>
          </w:p>
        </w:tc>
      </w:tr>
      <w:tr w:rsidR="009D4EA2" w:rsidRPr="002D77F2" w:rsidTr="002B5681">
        <w:tc>
          <w:tcPr>
            <w:tcW w:w="4407" w:type="dxa"/>
            <w:tcBorders>
              <w:top w:val="single" w:sz="18" w:space="0" w:color="auto"/>
              <w:left w:val="single" w:sz="18" w:space="0" w:color="auto"/>
              <w:bottom w:val="single" w:sz="18" w:space="0" w:color="auto"/>
              <w:right w:val="single" w:sz="18" w:space="0" w:color="auto"/>
            </w:tcBorders>
            <w:hideMark/>
          </w:tcPr>
          <w:p w:rsidR="009D4EA2" w:rsidRPr="002D77F2" w:rsidRDefault="009D4EA2" w:rsidP="00595D1B">
            <w:pPr>
              <w:spacing w:line="360" w:lineRule="auto"/>
              <w:jc w:val="both"/>
              <w:rPr>
                <w:rFonts w:ascii="Verdana" w:hAnsi="Verdana"/>
                <w:b/>
                <w:sz w:val="20"/>
                <w:lang w:val="bg-BG"/>
              </w:rPr>
            </w:pPr>
            <w:r w:rsidRPr="002D77F2">
              <w:rPr>
                <w:rFonts w:ascii="Verdana" w:hAnsi="Verdana"/>
                <w:b/>
                <w:sz w:val="20"/>
                <w:lang w:val="bg-BG"/>
              </w:rPr>
              <w:t xml:space="preserve">Институция: </w:t>
            </w:r>
            <w:r w:rsidRPr="002D77F2">
              <w:rPr>
                <w:rFonts w:ascii="Verdana" w:hAnsi="Verdana"/>
                <w:sz w:val="20"/>
                <w:lang w:val="bg-BG"/>
              </w:rPr>
              <w:t xml:space="preserve">Изпълнителна агенция по рибарство и </w:t>
            </w:r>
            <w:proofErr w:type="spellStart"/>
            <w:r w:rsidRPr="002D77F2">
              <w:rPr>
                <w:rFonts w:ascii="Verdana" w:hAnsi="Verdana"/>
                <w:sz w:val="20"/>
                <w:lang w:val="bg-BG"/>
              </w:rPr>
              <w:t>аквакултури</w:t>
            </w:r>
            <w:proofErr w:type="spellEnd"/>
          </w:p>
        </w:tc>
        <w:tc>
          <w:tcPr>
            <w:tcW w:w="4777" w:type="dxa"/>
            <w:tcBorders>
              <w:top w:val="single" w:sz="18" w:space="0" w:color="auto"/>
              <w:left w:val="single" w:sz="18" w:space="0" w:color="auto"/>
              <w:bottom w:val="single" w:sz="18" w:space="0" w:color="auto"/>
              <w:right w:val="single" w:sz="18" w:space="0" w:color="auto"/>
            </w:tcBorders>
            <w:hideMark/>
          </w:tcPr>
          <w:p w:rsidR="009D4EA2" w:rsidRPr="002D77F2" w:rsidRDefault="009D4EA2" w:rsidP="00595D1B">
            <w:pPr>
              <w:tabs>
                <w:tab w:val="left" w:pos="1180"/>
                <w:tab w:val="left" w:pos="2300"/>
                <w:tab w:val="left" w:pos="2740"/>
                <w:tab w:val="left" w:pos="4480"/>
              </w:tabs>
              <w:spacing w:line="360" w:lineRule="auto"/>
              <w:jc w:val="both"/>
              <w:rPr>
                <w:rFonts w:ascii="Verdana" w:hAnsi="Verdana"/>
                <w:b/>
                <w:sz w:val="20"/>
                <w:lang w:val="bg-BG"/>
              </w:rPr>
            </w:pPr>
            <w:r w:rsidRPr="002D77F2">
              <w:rPr>
                <w:rFonts w:ascii="Verdana" w:hAnsi="Verdana"/>
                <w:b/>
                <w:sz w:val="20"/>
                <w:lang w:val="bg-BG"/>
              </w:rPr>
              <w:t xml:space="preserve">Нормативен акт: </w:t>
            </w:r>
            <w:r w:rsidR="00377430" w:rsidRPr="002D77F2">
              <w:rPr>
                <w:rFonts w:ascii="Verdana" w:hAnsi="Verdana"/>
                <w:sz w:val="20"/>
                <w:lang w:val="bg-BG"/>
              </w:rPr>
              <w:t>Тарифа за таксите, събирани по З</w:t>
            </w:r>
            <w:r w:rsidRPr="002D77F2">
              <w:rPr>
                <w:rFonts w:ascii="Verdana" w:hAnsi="Verdana"/>
                <w:sz w:val="20"/>
                <w:lang w:val="bg-BG"/>
              </w:rPr>
              <w:t xml:space="preserve">акона за рибарството и </w:t>
            </w:r>
            <w:proofErr w:type="spellStart"/>
            <w:r w:rsidRPr="002D77F2">
              <w:rPr>
                <w:rFonts w:ascii="Verdana" w:hAnsi="Verdana"/>
                <w:sz w:val="20"/>
                <w:lang w:val="bg-BG"/>
              </w:rPr>
              <w:t>аквакултурите</w:t>
            </w:r>
            <w:proofErr w:type="spellEnd"/>
          </w:p>
        </w:tc>
      </w:tr>
      <w:tr w:rsidR="009D4EA2" w:rsidRPr="002D77F2" w:rsidTr="002B5681">
        <w:tc>
          <w:tcPr>
            <w:tcW w:w="4407" w:type="dxa"/>
            <w:tcBorders>
              <w:top w:val="single" w:sz="18" w:space="0" w:color="auto"/>
              <w:left w:val="single" w:sz="18" w:space="0" w:color="auto"/>
              <w:bottom w:val="single" w:sz="18" w:space="0" w:color="auto"/>
              <w:right w:val="single" w:sz="18" w:space="0" w:color="auto"/>
            </w:tcBorders>
            <w:hideMark/>
          </w:tcPr>
          <w:p w:rsidR="009D4EA2" w:rsidRPr="002D77F2" w:rsidRDefault="009D4EA2" w:rsidP="00595D1B">
            <w:pPr>
              <w:spacing w:line="360" w:lineRule="auto"/>
              <w:jc w:val="both"/>
              <w:rPr>
                <w:rFonts w:ascii="Verdana" w:hAnsi="Verdana"/>
                <w:b/>
                <w:sz w:val="20"/>
                <w:lang w:val="bg-BG"/>
              </w:rPr>
            </w:pPr>
            <w:r w:rsidRPr="002D77F2">
              <w:rPr>
                <w:rFonts w:ascii="Verdana" w:hAnsi="Verdana"/>
                <w:b/>
                <w:sz w:val="20"/>
                <w:lang w:val="bg-BG"/>
              </w:rPr>
              <w:t>За включване в законодателната/</w:t>
            </w:r>
          </w:p>
          <w:p w:rsidR="009D4EA2" w:rsidRPr="00405B1F" w:rsidRDefault="009D4EA2" w:rsidP="006C2B88">
            <w:pPr>
              <w:spacing w:line="360" w:lineRule="auto"/>
              <w:rPr>
                <w:rFonts w:ascii="Verdana" w:hAnsi="Verdana"/>
                <w:b/>
                <w:sz w:val="20"/>
                <w:lang w:val="bg-BG"/>
              </w:rPr>
            </w:pPr>
            <w:r w:rsidRPr="002D77F2">
              <w:rPr>
                <w:rFonts w:ascii="Verdana" w:hAnsi="Verdana"/>
                <w:b/>
                <w:sz w:val="20"/>
                <w:lang w:val="bg-BG"/>
              </w:rPr>
              <w:t xml:space="preserve">оперативната програма на Министерския съвет за периода: </w:t>
            </w:r>
            <w:r w:rsidR="006C2B88">
              <w:rPr>
                <w:rFonts w:ascii="Verdana" w:hAnsi="Verdana"/>
                <w:sz w:val="20"/>
                <w:lang w:val="bg-BG"/>
              </w:rPr>
              <w:t>от</w:t>
            </w:r>
            <w:r w:rsidR="00405B1F">
              <w:rPr>
                <w:rFonts w:ascii="Verdana" w:hAnsi="Verdana"/>
                <w:sz w:val="20"/>
                <w:lang w:val="en-US"/>
              </w:rPr>
              <w:t xml:space="preserve"> 01.01.2018 </w:t>
            </w:r>
            <w:r w:rsidR="00405B1F">
              <w:rPr>
                <w:rFonts w:ascii="Verdana" w:hAnsi="Verdana"/>
                <w:sz w:val="20"/>
                <w:lang w:val="bg-BG"/>
              </w:rPr>
              <w:t>г. до 3</w:t>
            </w:r>
            <w:r w:rsidR="00BA5D00">
              <w:rPr>
                <w:rFonts w:ascii="Verdana" w:hAnsi="Verdana"/>
                <w:sz w:val="20"/>
                <w:lang w:val="en-US"/>
              </w:rPr>
              <w:t>0</w:t>
            </w:r>
            <w:bookmarkStart w:id="0" w:name="_GoBack"/>
            <w:bookmarkEnd w:id="0"/>
            <w:r w:rsidR="00405B1F">
              <w:rPr>
                <w:rFonts w:ascii="Verdana" w:hAnsi="Verdana"/>
                <w:sz w:val="20"/>
                <w:lang w:val="bg-BG"/>
              </w:rPr>
              <w:t>.06.2018 г.</w:t>
            </w:r>
          </w:p>
        </w:tc>
        <w:tc>
          <w:tcPr>
            <w:tcW w:w="4777" w:type="dxa"/>
            <w:tcBorders>
              <w:top w:val="single" w:sz="18" w:space="0" w:color="auto"/>
              <w:left w:val="single" w:sz="18" w:space="0" w:color="auto"/>
              <w:bottom w:val="single" w:sz="18" w:space="0" w:color="auto"/>
              <w:right w:val="single" w:sz="18" w:space="0" w:color="auto"/>
            </w:tcBorders>
            <w:vAlign w:val="bottom"/>
            <w:hideMark/>
          </w:tcPr>
          <w:p w:rsidR="009D4EA2" w:rsidRPr="002D77F2" w:rsidRDefault="009D4EA2" w:rsidP="00405B1F">
            <w:pPr>
              <w:spacing w:line="360" w:lineRule="auto"/>
              <w:rPr>
                <w:rFonts w:ascii="Verdana" w:hAnsi="Verdana"/>
                <w:b/>
                <w:sz w:val="20"/>
                <w:lang w:val="bg-BG"/>
              </w:rPr>
            </w:pPr>
            <w:r w:rsidRPr="002D77F2">
              <w:rPr>
                <w:rFonts w:ascii="Verdana" w:hAnsi="Verdana"/>
                <w:b/>
                <w:sz w:val="20"/>
                <w:lang w:val="bg-BG"/>
              </w:rPr>
              <w:t xml:space="preserve">Дата: </w:t>
            </w:r>
            <w:r w:rsidR="00405B1F">
              <w:rPr>
                <w:rFonts w:ascii="Verdana" w:hAnsi="Verdana"/>
                <w:sz w:val="20"/>
                <w:lang w:val="bg-BG"/>
              </w:rPr>
              <w:t>05</w:t>
            </w:r>
            <w:r w:rsidR="00FC7F1C">
              <w:rPr>
                <w:rFonts w:ascii="Verdana" w:hAnsi="Verdana"/>
                <w:sz w:val="20"/>
                <w:lang w:val="bg-BG"/>
              </w:rPr>
              <w:t>.0</w:t>
            </w:r>
            <w:r w:rsidR="00405B1F">
              <w:rPr>
                <w:rFonts w:ascii="Verdana" w:hAnsi="Verdana"/>
                <w:sz w:val="20"/>
                <w:lang w:val="bg-BG"/>
              </w:rPr>
              <w:t>1</w:t>
            </w:r>
            <w:r w:rsidR="00FC7F1C">
              <w:rPr>
                <w:rFonts w:ascii="Verdana" w:hAnsi="Verdana"/>
                <w:sz w:val="20"/>
                <w:lang w:val="bg-BG"/>
              </w:rPr>
              <w:t>.201</w:t>
            </w:r>
            <w:r w:rsidR="00405B1F">
              <w:rPr>
                <w:rFonts w:ascii="Verdana" w:hAnsi="Verdana"/>
                <w:sz w:val="20"/>
                <w:lang w:val="bg-BG"/>
              </w:rPr>
              <w:t>8</w:t>
            </w:r>
            <w:r w:rsidRPr="002D77F2">
              <w:rPr>
                <w:rFonts w:ascii="Verdana" w:hAnsi="Verdana"/>
                <w:sz w:val="20"/>
                <w:lang w:val="bg-BG"/>
              </w:rPr>
              <w:t xml:space="preserve"> г.</w:t>
            </w:r>
          </w:p>
        </w:tc>
      </w:tr>
      <w:tr w:rsidR="009D4EA2" w:rsidRPr="002D77F2" w:rsidTr="002B5681">
        <w:tc>
          <w:tcPr>
            <w:tcW w:w="4407" w:type="dxa"/>
            <w:tcBorders>
              <w:top w:val="single" w:sz="18" w:space="0" w:color="auto"/>
              <w:left w:val="single" w:sz="18" w:space="0" w:color="auto"/>
              <w:bottom w:val="single" w:sz="18" w:space="0" w:color="auto"/>
              <w:right w:val="single" w:sz="18" w:space="0" w:color="auto"/>
            </w:tcBorders>
            <w:hideMark/>
          </w:tcPr>
          <w:p w:rsidR="009D4EA2" w:rsidRPr="002D77F2" w:rsidRDefault="009D4EA2" w:rsidP="00595D1B">
            <w:pPr>
              <w:spacing w:line="360" w:lineRule="auto"/>
              <w:jc w:val="both"/>
              <w:rPr>
                <w:rFonts w:ascii="Verdana" w:hAnsi="Verdana"/>
                <w:b/>
                <w:sz w:val="20"/>
                <w:lang w:val="bg-BG"/>
              </w:rPr>
            </w:pPr>
            <w:r w:rsidRPr="002D77F2">
              <w:rPr>
                <w:rFonts w:ascii="Verdana" w:hAnsi="Verdana"/>
                <w:b/>
                <w:sz w:val="20"/>
                <w:lang w:val="bg-BG"/>
              </w:rPr>
              <w:t xml:space="preserve">Контакт за въпроси: </w:t>
            </w:r>
            <w:r w:rsidRPr="002D77F2">
              <w:rPr>
                <w:rFonts w:ascii="Verdana" w:hAnsi="Verdana"/>
                <w:sz w:val="20"/>
                <w:lang w:val="bg-BG"/>
              </w:rPr>
              <w:t>Силвия Желева</w:t>
            </w:r>
          </w:p>
        </w:tc>
        <w:tc>
          <w:tcPr>
            <w:tcW w:w="4777" w:type="dxa"/>
            <w:tcBorders>
              <w:top w:val="single" w:sz="18" w:space="0" w:color="auto"/>
              <w:left w:val="single" w:sz="18" w:space="0" w:color="auto"/>
              <w:bottom w:val="single" w:sz="18" w:space="0" w:color="auto"/>
              <w:right w:val="single" w:sz="18" w:space="0" w:color="auto"/>
            </w:tcBorders>
            <w:hideMark/>
          </w:tcPr>
          <w:p w:rsidR="009D4EA2" w:rsidRPr="002D77F2" w:rsidRDefault="009D4EA2" w:rsidP="00595D1B">
            <w:pPr>
              <w:spacing w:line="360" w:lineRule="auto"/>
              <w:jc w:val="both"/>
              <w:rPr>
                <w:rFonts w:ascii="Verdana" w:hAnsi="Verdana"/>
                <w:b/>
                <w:sz w:val="20"/>
                <w:lang w:val="bg-BG"/>
              </w:rPr>
            </w:pPr>
            <w:r w:rsidRPr="002D77F2">
              <w:rPr>
                <w:rFonts w:ascii="Verdana" w:hAnsi="Verdana"/>
                <w:b/>
                <w:sz w:val="20"/>
                <w:lang w:val="bg-BG"/>
              </w:rPr>
              <w:t xml:space="preserve">Телефон: </w:t>
            </w:r>
            <w:r w:rsidRPr="002D77F2">
              <w:rPr>
                <w:rFonts w:ascii="Verdana" w:hAnsi="Verdana"/>
                <w:sz w:val="20"/>
                <w:lang w:val="bg-BG"/>
              </w:rPr>
              <w:t>056/876079</w:t>
            </w:r>
          </w:p>
        </w:tc>
      </w:tr>
      <w:tr w:rsidR="009D4EA2" w:rsidRPr="002D77F2" w:rsidTr="002B5681">
        <w:tc>
          <w:tcPr>
            <w:tcW w:w="9184" w:type="dxa"/>
            <w:gridSpan w:val="2"/>
            <w:tcBorders>
              <w:top w:val="single" w:sz="18" w:space="0" w:color="auto"/>
              <w:left w:val="single" w:sz="18" w:space="0" w:color="auto"/>
              <w:bottom w:val="single" w:sz="18" w:space="0" w:color="auto"/>
              <w:right w:val="single" w:sz="18" w:space="0" w:color="auto"/>
            </w:tcBorders>
            <w:hideMark/>
          </w:tcPr>
          <w:p w:rsidR="009D4EA2" w:rsidRPr="002D77F2" w:rsidRDefault="009D4EA2" w:rsidP="00595D1B">
            <w:pPr>
              <w:spacing w:before="120" w:after="120" w:line="360" w:lineRule="auto"/>
              <w:jc w:val="both"/>
              <w:rPr>
                <w:rFonts w:ascii="Verdana" w:hAnsi="Verdana"/>
                <w:b/>
                <w:sz w:val="20"/>
                <w:lang w:val="bg-BG"/>
              </w:rPr>
            </w:pPr>
            <w:r w:rsidRPr="002D77F2">
              <w:rPr>
                <w:rFonts w:ascii="Verdana" w:hAnsi="Verdana"/>
                <w:b/>
                <w:sz w:val="20"/>
                <w:lang w:val="bg-BG"/>
              </w:rPr>
              <w:t xml:space="preserve">1. Дефиниране на проблема: </w:t>
            </w:r>
          </w:p>
          <w:p w:rsidR="006E3CAB" w:rsidRPr="002D77F2" w:rsidRDefault="007046A5" w:rsidP="00943126">
            <w:pPr>
              <w:pStyle w:val="ListParagraph"/>
              <w:numPr>
                <w:ilvl w:val="0"/>
                <w:numId w:val="3"/>
              </w:numPr>
              <w:spacing w:line="360" w:lineRule="auto"/>
              <w:ind w:left="0" w:firstLine="567"/>
              <w:jc w:val="both"/>
              <w:rPr>
                <w:rFonts w:ascii="Verdana" w:hAnsi="Verdana"/>
                <w:color w:val="000000"/>
                <w:sz w:val="20"/>
                <w:lang w:val="bg-BG" w:eastAsia="bg-BG"/>
              </w:rPr>
            </w:pPr>
            <w:r w:rsidRPr="002D77F2">
              <w:rPr>
                <w:rFonts w:ascii="Verdana" w:hAnsi="Verdana"/>
                <w:color w:val="000000"/>
                <w:sz w:val="20"/>
                <w:lang w:val="bg-BG" w:eastAsia="bg-BG"/>
              </w:rPr>
              <w:t>Таксите, които се заплаща</w:t>
            </w:r>
            <w:r w:rsidR="003D16C9" w:rsidRPr="002D77F2">
              <w:rPr>
                <w:rFonts w:ascii="Verdana" w:hAnsi="Verdana"/>
                <w:color w:val="000000"/>
                <w:sz w:val="20"/>
                <w:lang w:val="bg-BG" w:eastAsia="bg-BG"/>
              </w:rPr>
              <w:t>т</w:t>
            </w:r>
            <w:r w:rsidRPr="002D77F2">
              <w:rPr>
                <w:rFonts w:ascii="Verdana" w:hAnsi="Verdana"/>
                <w:color w:val="000000"/>
                <w:sz w:val="20"/>
                <w:lang w:val="bg-BG" w:eastAsia="bg-BG"/>
              </w:rPr>
              <w:t xml:space="preserve"> не покриват разходите, които се извършват за </w:t>
            </w:r>
            <w:r w:rsidR="003D16C9" w:rsidRPr="002D77F2">
              <w:rPr>
                <w:rFonts w:ascii="Verdana" w:hAnsi="Verdana"/>
                <w:color w:val="000000"/>
                <w:sz w:val="20"/>
                <w:lang w:val="bg-BG" w:eastAsia="bg-BG"/>
              </w:rPr>
              <w:t>предоставяне на съответните услуги, разрешителни</w:t>
            </w:r>
            <w:r w:rsidR="00415D08" w:rsidRPr="002D77F2">
              <w:rPr>
                <w:rFonts w:ascii="Verdana" w:hAnsi="Verdana"/>
                <w:color w:val="000000"/>
                <w:sz w:val="20"/>
                <w:lang w:val="bg-BG" w:eastAsia="bg-BG"/>
              </w:rPr>
              <w:t>,</w:t>
            </w:r>
            <w:r w:rsidR="003D16C9" w:rsidRPr="002D77F2">
              <w:rPr>
                <w:rFonts w:ascii="Verdana" w:hAnsi="Verdana"/>
                <w:color w:val="000000"/>
                <w:sz w:val="20"/>
                <w:lang w:val="bg-BG" w:eastAsia="bg-BG"/>
              </w:rPr>
              <w:t xml:space="preserve"> регистрации и други</w:t>
            </w:r>
            <w:r w:rsidRPr="002D77F2">
              <w:rPr>
                <w:rFonts w:ascii="Verdana" w:hAnsi="Verdana"/>
                <w:color w:val="000000"/>
                <w:sz w:val="20"/>
                <w:lang w:val="bg-BG" w:eastAsia="bg-BG"/>
              </w:rPr>
              <w:t xml:space="preserve">. </w:t>
            </w:r>
          </w:p>
          <w:p w:rsidR="00867180" w:rsidRPr="002D77F2" w:rsidRDefault="007046A5" w:rsidP="00867180">
            <w:pPr>
              <w:pStyle w:val="ListParagraph"/>
              <w:numPr>
                <w:ilvl w:val="0"/>
                <w:numId w:val="3"/>
              </w:numPr>
              <w:spacing w:after="200" w:line="360" w:lineRule="auto"/>
              <w:ind w:left="0" w:firstLine="567"/>
              <w:jc w:val="both"/>
              <w:rPr>
                <w:rFonts w:ascii="Verdana" w:hAnsi="Verdana"/>
                <w:color w:val="000000"/>
                <w:sz w:val="20"/>
                <w:lang w:val="bg-BG" w:eastAsia="bg-BG"/>
              </w:rPr>
            </w:pPr>
            <w:r w:rsidRPr="002D77F2">
              <w:rPr>
                <w:rFonts w:ascii="Verdana" w:hAnsi="Verdana"/>
                <w:color w:val="000000"/>
                <w:sz w:val="20"/>
                <w:lang w:val="bg-BG" w:eastAsia="bg-BG"/>
              </w:rPr>
              <w:t xml:space="preserve">Някои от разпоредбите не съответстват с действащата нормативна уредба на Закона за рибарството и </w:t>
            </w:r>
            <w:proofErr w:type="spellStart"/>
            <w:r w:rsidRPr="002D77F2">
              <w:rPr>
                <w:rFonts w:ascii="Verdana" w:hAnsi="Verdana"/>
                <w:color w:val="000000"/>
                <w:sz w:val="20"/>
                <w:lang w:val="bg-BG" w:eastAsia="bg-BG"/>
              </w:rPr>
              <w:t>аквакултурите</w:t>
            </w:r>
            <w:proofErr w:type="spellEnd"/>
            <w:r w:rsidRPr="002D77F2">
              <w:rPr>
                <w:rFonts w:ascii="Verdana" w:hAnsi="Verdana"/>
                <w:color w:val="000000"/>
                <w:sz w:val="20"/>
                <w:lang w:val="bg-BG" w:eastAsia="bg-BG"/>
              </w:rPr>
              <w:t>.</w:t>
            </w:r>
            <w:r w:rsidR="00415D08" w:rsidRPr="002D77F2">
              <w:rPr>
                <w:rFonts w:ascii="Verdana" w:hAnsi="Verdana"/>
                <w:color w:val="000000"/>
                <w:sz w:val="20"/>
                <w:lang w:val="bg-BG" w:eastAsia="bg-BG"/>
              </w:rPr>
              <w:t xml:space="preserve"> </w:t>
            </w:r>
          </w:p>
          <w:p w:rsidR="00622812" w:rsidRPr="002D77F2" w:rsidRDefault="009D4EA2" w:rsidP="00415D08">
            <w:pPr>
              <w:pStyle w:val="ListParagraph"/>
              <w:numPr>
                <w:ilvl w:val="1"/>
                <w:numId w:val="2"/>
              </w:numPr>
              <w:spacing w:before="200" w:after="120" w:line="360" w:lineRule="auto"/>
              <w:jc w:val="both"/>
              <w:rPr>
                <w:rFonts w:ascii="Verdana" w:hAnsi="Verdana"/>
                <w:i/>
                <w:sz w:val="20"/>
                <w:lang w:val="bg-BG"/>
              </w:rPr>
            </w:pPr>
            <w:r w:rsidRPr="002D77F2">
              <w:rPr>
                <w:rFonts w:ascii="Verdana" w:hAnsi="Verdana"/>
                <w:i/>
                <w:sz w:val="20"/>
                <w:lang w:val="bg-BG"/>
              </w:rPr>
              <w:t>Кратко опишете проблема и причините за неговото възникване. Посочете аргументите, които обосновават нормативната промяна.</w:t>
            </w:r>
          </w:p>
          <w:p w:rsidR="00FC408D" w:rsidRPr="002D77F2" w:rsidRDefault="00FC408D" w:rsidP="00595D1B">
            <w:pPr>
              <w:spacing w:after="120" w:line="360" w:lineRule="auto"/>
              <w:ind w:firstLine="567"/>
              <w:jc w:val="both"/>
              <w:rPr>
                <w:rFonts w:ascii="Verdana" w:hAnsi="Verdana"/>
                <w:sz w:val="20"/>
                <w:lang w:val="bg-BG" w:eastAsia="bg-BG"/>
              </w:rPr>
            </w:pPr>
            <w:r w:rsidRPr="002D77F2">
              <w:rPr>
                <w:rFonts w:ascii="Verdana" w:hAnsi="Verdana"/>
                <w:sz w:val="20"/>
                <w:lang w:val="bg-BG" w:eastAsia="bg-BG"/>
              </w:rPr>
              <w:t xml:space="preserve">Измененията на Закона за рибарството и </w:t>
            </w:r>
            <w:proofErr w:type="spellStart"/>
            <w:r w:rsidRPr="002D77F2">
              <w:rPr>
                <w:rFonts w:ascii="Verdana" w:hAnsi="Verdana"/>
                <w:sz w:val="20"/>
                <w:lang w:val="bg-BG" w:eastAsia="bg-BG"/>
              </w:rPr>
              <w:t>аквакултурите</w:t>
            </w:r>
            <w:proofErr w:type="spellEnd"/>
            <w:r w:rsidRPr="002D77F2">
              <w:rPr>
                <w:rFonts w:ascii="Verdana" w:hAnsi="Verdana"/>
                <w:sz w:val="20"/>
                <w:lang w:val="bg-BG" w:eastAsia="bg-BG"/>
              </w:rPr>
              <w:t xml:space="preserve"> </w:t>
            </w:r>
            <w:r w:rsidR="00322686" w:rsidRPr="002D77F2">
              <w:rPr>
                <w:rFonts w:ascii="Verdana" w:hAnsi="Verdana"/>
                <w:sz w:val="20"/>
                <w:lang w:val="bg-BG" w:eastAsia="bg-BG"/>
              </w:rPr>
              <w:t xml:space="preserve">през последните години </w:t>
            </w:r>
            <w:r w:rsidRPr="002D77F2">
              <w:rPr>
                <w:rFonts w:ascii="Verdana" w:hAnsi="Verdana"/>
                <w:sz w:val="20"/>
                <w:lang w:val="bg-BG" w:eastAsia="bg-BG"/>
              </w:rPr>
              <w:t xml:space="preserve">са една от причините, които налагат изменение на подзаконовия нормативен акт към него - </w:t>
            </w:r>
            <w:r w:rsidRPr="002D77F2">
              <w:rPr>
                <w:rFonts w:ascii="Verdana" w:hAnsi="Verdana"/>
                <w:sz w:val="20"/>
                <w:lang w:val="bg-BG"/>
              </w:rPr>
              <w:t xml:space="preserve">Тарифа за таксите, събирани по Закона за рибарството и </w:t>
            </w:r>
            <w:proofErr w:type="spellStart"/>
            <w:r w:rsidRPr="002D77F2">
              <w:rPr>
                <w:rFonts w:ascii="Verdana" w:hAnsi="Verdana"/>
                <w:sz w:val="20"/>
                <w:lang w:val="bg-BG"/>
              </w:rPr>
              <w:t>аквакултурите</w:t>
            </w:r>
            <w:proofErr w:type="spellEnd"/>
            <w:r w:rsidRPr="002D77F2">
              <w:rPr>
                <w:rFonts w:ascii="Verdana" w:hAnsi="Verdana"/>
                <w:sz w:val="20"/>
                <w:lang w:val="bg-BG"/>
              </w:rPr>
              <w:t xml:space="preserve"> (Тарифата)</w:t>
            </w:r>
            <w:r w:rsidR="00322686" w:rsidRPr="002D77F2">
              <w:rPr>
                <w:rFonts w:ascii="Verdana" w:hAnsi="Verdana"/>
                <w:sz w:val="20"/>
                <w:lang w:val="bg-BG"/>
              </w:rPr>
              <w:t>.</w:t>
            </w:r>
          </w:p>
          <w:p w:rsidR="009D4EA2" w:rsidRPr="002D77F2" w:rsidRDefault="00322686" w:rsidP="00595D1B">
            <w:pPr>
              <w:spacing w:after="120" w:line="360" w:lineRule="auto"/>
              <w:ind w:firstLine="567"/>
              <w:jc w:val="both"/>
              <w:rPr>
                <w:rFonts w:ascii="Verdana" w:hAnsi="Verdana"/>
                <w:i/>
                <w:sz w:val="20"/>
                <w:lang w:val="bg-BG"/>
              </w:rPr>
            </w:pPr>
            <w:r w:rsidRPr="002D77F2">
              <w:rPr>
                <w:rFonts w:ascii="Verdana" w:hAnsi="Verdana"/>
                <w:sz w:val="20"/>
                <w:lang w:val="bg-BG" w:eastAsia="bg-BG"/>
              </w:rPr>
              <w:t xml:space="preserve">Също така </w:t>
            </w:r>
            <w:r w:rsidR="00E75EC3" w:rsidRPr="002D77F2">
              <w:rPr>
                <w:rFonts w:ascii="Verdana" w:hAnsi="Verdana"/>
                <w:sz w:val="20"/>
                <w:lang w:val="bg-BG" w:eastAsia="bg-BG"/>
              </w:rPr>
              <w:t xml:space="preserve">Изпълнителна агенция по рибарство и </w:t>
            </w:r>
            <w:proofErr w:type="spellStart"/>
            <w:r w:rsidR="00E75EC3" w:rsidRPr="002D77F2">
              <w:rPr>
                <w:rFonts w:ascii="Verdana" w:hAnsi="Verdana"/>
                <w:sz w:val="20"/>
                <w:lang w:val="bg-BG" w:eastAsia="bg-BG"/>
              </w:rPr>
              <w:t>аквакултури</w:t>
            </w:r>
            <w:proofErr w:type="spellEnd"/>
            <w:r w:rsidR="00E75EC3" w:rsidRPr="002D77F2">
              <w:rPr>
                <w:rFonts w:ascii="Verdana" w:hAnsi="Verdana"/>
                <w:sz w:val="20"/>
                <w:lang w:val="bg-BG" w:eastAsia="bg-BG"/>
              </w:rPr>
              <w:t xml:space="preserve"> (ИАРА</w:t>
            </w:r>
            <w:r w:rsidR="00FC408D" w:rsidRPr="002D77F2">
              <w:rPr>
                <w:rFonts w:ascii="Verdana" w:hAnsi="Verdana"/>
                <w:sz w:val="20"/>
                <w:lang w:val="bg-BG" w:eastAsia="bg-BG"/>
              </w:rPr>
              <w:t xml:space="preserve">) </w:t>
            </w:r>
            <w:r w:rsidR="00E75EC3" w:rsidRPr="002D77F2">
              <w:rPr>
                <w:rFonts w:ascii="Verdana" w:hAnsi="Verdana"/>
                <w:sz w:val="20"/>
                <w:lang w:val="bg-BG" w:eastAsia="bg-BG"/>
              </w:rPr>
              <w:t xml:space="preserve">е отговорна за издаване на разрешителни за стопански риболов, регистрация на лицата, които развъждат и отглеждат риба и други водни организми, създаване и поддържане на информационно-статистическа система за рибарство и </w:t>
            </w:r>
            <w:proofErr w:type="spellStart"/>
            <w:r w:rsidR="00E75EC3" w:rsidRPr="002D77F2">
              <w:rPr>
                <w:rFonts w:ascii="Verdana" w:hAnsi="Verdana"/>
                <w:sz w:val="20"/>
                <w:lang w:val="bg-BG" w:eastAsia="bg-BG"/>
              </w:rPr>
              <w:t>аквакултури</w:t>
            </w:r>
            <w:proofErr w:type="spellEnd"/>
            <w:r w:rsidR="00E75EC3" w:rsidRPr="002D77F2">
              <w:rPr>
                <w:rFonts w:ascii="Verdana" w:hAnsi="Verdana"/>
                <w:sz w:val="20"/>
                <w:lang w:val="bg-BG" w:eastAsia="bg-BG"/>
              </w:rPr>
              <w:t xml:space="preserve">, разпределяне на квотите на Република България за </w:t>
            </w:r>
            <w:proofErr w:type="spellStart"/>
            <w:r w:rsidR="00E75EC3" w:rsidRPr="002D77F2">
              <w:rPr>
                <w:rFonts w:ascii="Verdana" w:hAnsi="Verdana"/>
                <w:sz w:val="20"/>
                <w:lang w:val="bg-BG" w:eastAsia="bg-BG"/>
              </w:rPr>
              <w:t>улов</w:t>
            </w:r>
            <w:proofErr w:type="spellEnd"/>
            <w:r w:rsidR="00E75EC3" w:rsidRPr="002D77F2">
              <w:rPr>
                <w:rFonts w:ascii="Verdana" w:hAnsi="Verdana"/>
                <w:sz w:val="20"/>
                <w:lang w:val="bg-BG" w:eastAsia="bg-BG"/>
              </w:rPr>
              <w:t xml:space="preserve"> на риба, предоставени по международни споразумения и договори и воденето на регистър на риболовните кораби. </w:t>
            </w:r>
            <w:r w:rsidR="00FC408D" w:rsidRPr="002D77F2">
              <w:rPr>
                <w:rFonts w:ascii="Verdana" w:hAnsi="Verdana"/>
                <w:sz w:val="20"/>
                <w:lang w:val="bg-BG" w:eastAsia="bg-BG"/>
              </w:rPr>
              <w:t>З</w:t>
            </w:r>
            <w:r w:rsidR="00E75EC3" w:rsidRPr="002D77F2">
              <w:rPr>
                <w:rFonts w:ascii="Verdana" w:hAnsi="Verdana"/>
                <w:sz w:val="20"/>
                <w:lang w:val="bg-BG" w:eastAsia="bg-BG"/>
              </w:rPr>
              <w:t xml:space="preserve">а извършването на тази дейност и предоставянето на свързаните с нея услуги, се събират такси, съгласно Тарифата. От приемането й до настоящия момент са извършени само две пълни актуализации на стойността на заплащаните такси – през 2007 г. и 2008 г. Актуализациите през 2010 г. и през 2014 г. засягат само чл. </w:t>
            </w:r>
            <w:r w:rsidR="00E75EC3" w:rsidRPr="002D77F2">
              <w:rPr>
                <w:rFonts w:ascii="Verdana" w:hAnsi="Verdana"/>
                <w:sz w:val="20"/>
                <w:lang w:val="bg-BG" w:eastAsia="bg-BG"/>
              </w:rPr>
              <w:lastRenderedPageBreak/>
              <w:t>3, а не действителното отражение на икономическите процеси върху себестойността на предлаганите услуги. Настъпилите инфлационни процеси през годините, дават отражение върху себестойността на предоставяните услуги. Допуснати са грешки при определянето на такс</w:t>
            </w:r>
            <w:r w:rsidR="00FC408D" w:rsidRPr="002D77F2">
              <w:rPr>
                <w:rFonts w:ascii="Verdana" w:hAnsi="Verdana"/>
                <w:sz w:val="20"/>
                <w:lang w:val="bg-BG" w:eastAsia="bg-BG"/>
              </w:rPr>
              <w:t>и</w:t>
            </w:r>
            <w:r w:rsidR="00E75EC3" w:rsidRPr="002D77F2">
              <w:rPr>
                <w:rFonts w:ascii="Verdana" w:hAnsi="Verdana"/>
                <w:sz w:val="20"/>
                <w:lang w:val="bg-BG" w:eastAsia="bg-BG"/>
              </w:rPr>
              <w:t xml:space="preserve"> на предоставяни услуги, като в този случай ИАРА извършва тази ревизия от гледна точка на натрупания деветгодишен опит при прилагане на Тарифата. </w:t>
            </w:r>
          </w:p>
          <w:p w:rsidR="009D4EA2" w:rsidRPr="002D77F2" w:rsidRDefault="009D4EA2" w:rsidP="00595D1B">
            <w:pPr>
              <w:spacing w:before="120" w:after="120" w:line="360" w:lineRule="auto"/>
              <w:jc w:val="both"/>
              <w:rPr>
                <w:rFonts w:ascii="Verdana" w:hAnsi="Verdana"/>
                <w:i/>
                <w:sz w:val="20"/>
                <w:lang w:val="bg-BG"/>
              </w:rPr>
            </w:pPr>
            <w:r w:rsidRPr="002D77F2">
              <w:rPr>
                <w:rFonts w:ascii="Verdana" w:hAnsi="Verdana"/>
                <w:i/>
                <w:sz w:val="20"/>
                <w:lang w:val="bg-BG"/>
              </w:rPr>
              <w:t>1.2. Опишете какви са проблемите в прилагането на съществуващото законодателство или възникналите обстоятелства, които налагат приемането на ново законодателство. Посочете възможно ли е проблемът да се реши в рамките на съществуващото законодателство чрез промяна в организацията на работа и/или чрез въвеждане на нови технологични възможности (например съвместни инспекции между няколко органа и др.).</w:t>
            </w:r>
          </w:p>
          <w:p w:rsidR="00E5447A" w:rsidRPr="002D77F2" w:rsidRDefault="00E5447A" w:rsidP="00595D1B">
            <w:pPr>
              <w:spacing w:before="200" w:line="360" w:lineRule="auto"/>
              <w:ind w:firstLine="709"/>
              <w:jc w:val="both"/>
              <w:rPr>
                <w:rFonts w:ascii="Verdana" w:hAnsi="Verdana"/>
                <w:color w:val="000000"/>
                <w:sz w:val="20"/>
                <w:lang w:val="bg-BG" w:eastAsia="bg-BG"/>
              </w:rPr>
            </w:pPr>
            <w:r w:rsidRPr="002D77F2">
              <w:rPr>
                <w:rFonts w:ascii="Verdana" w:hAnsi="Verdana"/>
                <w:color w:val="000000"/>
                <w:sz w:val="20"/>
                <w:lang w:val="bg-BG" w:eastAsia="bg-BG"/>
              </w:rPr>
              <w:t>З</w:t>
            </w:r>
            <w:r w:rsidR="00622812" w:rsidRPr="002D77F2">
              <w:rPr>
                <w:rFonts w:ascii="Verdana" w:hAnsi="Verdana"/>
                <w:color w:val="000000"/>
                <w:sz w:val="20"/>
                <w:lang w:val="bg-BG" w:eastAsia="bg-BG"/>
              </w:rPr>
              <w:t xml:space="preserve">а издаване на разрешително за </w:t>
            </w:r>
            <w:proofErr w:type="spellStart"/>
            <w:r w:rsidR="00622812" w:rsidRPr="002D77F2">
              <w:rPr>
                <w:rFonts w:ascii="Verdana" w:hAnsi="Verdana"/>
                <w:color w:val="000000"/>
                <w:sz w:val="20"/>
                <w:lang w:val="bg-BG" w:eastAsia="bg-BG"/>
              </w:rPr>
              <w:t>улов</w:t>
            </w:r>
            <w:proofErr w:type="spellEnd"/>
            <w:r w:rsidR="00622812" w:rsidRPr="002D77F2">
              <w:rPr>
                <w:rFonts w:ascii="Verdana" w:hAnsi="Verdana"/>
                <w:color w:val="000000"/>
                <w:sz w:val="20"/>
                <w:lang w:val="bg-BG" w:eastAsia="bg-BG"/>
              </w:rPr>
              <w:t xml:space="preserve"> на риба и други водни организми с научноизследователски цели </w:t>
            </w:r>
            <w:r w:rsidRPr="002D77F2">
              <w:rPr>
                <w:rFonts w:ascii="Verdana" w:hAnsi="Verdana"/>
                <w:color w:val="000000"/>
                <w:sz w:val="20"/>
                <w:lang w:val="bg-BG" w:eastAsia="bg-BG"/>
              </w:rPr>
              <w:t xml:space="preserve">липсва такса в </w:t>
            </w:r>
            <w:r w:rsidR="00622812" w:rsidRPr="002D77F2">
              <w:rPr>
                <w:rFonts w:ascii="Verdana" w:hAnsi="Verdana"/>
                <w:color w:val="000000"/>
                <w:sz w:val="20"/>
                <w:lang w:val="bg-BG" w:eastAsia="bg-BG"/>
              </w:rPr>
              <w:t>Тарифата</w:t>
            </w:r>
            <w:r w:rsidRPr="002D77F2">
              <w:rPr>
                <w:rFonts w:ascii="Verdana" w:hAnsi="Verdana"/>
                <w:color w:val="000000"/>
                <w:sz w:val="20"/>
                <w:lang w:val="bg-BG" w:eastAsia="bg-BG"/>
              </w:rPr>
              <w:t>, въпреки че в</w:t>
            </w:r>
            <w:r w:rsidR="00622812" w:rsidRPr="002D77F2">
              <w:rPr>
                <w:rFonts w:ascii="Verdana" w:hAnsi="Verdana"/>
                <w:color w:val="000000"/>
                <w:sz w:val="20"/>
                <w:lang w:val="bg-BG" w:eastAsia="bg-BG"/>
              </w:rPr>
              <w:t xml:space="preserve"> действащата разпоредба от ЗРА – чл. 40, ал. 18</w:t>
            </w:r>
            <w:r w:rsidRPr="002D77F2">
              <w:rPr>
                <w:rFonts w:ascii="Verdana" w:hAnsi="Verdana"/>
                <w:color w:val="000000"/>
                <w:sz w:val="20"/>
                <w:lang w:val="bg-BG" w:eastAsia="bg-BG"/>
              </w:rPr>
              <w:t xml:space="preserve"> е предвидено да се заплаща такава</w:t>
            </w:r>
            <w:r w:rsidR="00622812" w:rsidRPr="002D77F2">
              <w:rPr>
                <w:rFonts w:ascii="Verdana" w:hAnsi="Verdana"/>
                <w:color w:val="000000"/>
                <w:sz w:val="20"/>
                <w:lang w:val="bg-BG" w:eastAsia="bg-BG"/>
              </w:rPr>
              <w:t xml:space="preserve">. </w:t>
            </w:r>
            <w:r w:rsidRPr="002D77F2">
              <w:rPr>
                <w:rFonts w:ascii="Verdana" w:hAnsi="Verdana"/>
                <w:color w:val="000000"/>
                <w:sz w:val="20"/>
                <w:lang w:val="bg-BG" w:eastAsia="bg-BG"/>
              </w:rPr>
              <w:t>Ня</w:t>
            </w:r>
            <w:r w:rsidR="00622812" w:rsidRPr="002D77F2">
              <w:rPr>
                <w:rFonts w:ascii="Verdana" w:hAnsi="Verdana"/>
                <w:color w:val="000000"/>
                <w:sz w:val="20"/>
                <w:lang w:val="bg-BG" w:eastAsia="bg-BG"/>
              </w:rPr>
              <w:t>кои текстове</w:t>
            </w:r>
            <w:r w:rsidRPr="002D77F2">
              <w:rPr>
                <w:rFonts w:ascii="Verdana" w:hAnsi="Verdana"/>
                <w:color w:val="000000"/>
                <w:sz w:val="20"/>
                <w:lang w:val="bg-BG" w:eastAsia="bg-BG"/>
              </w:rPr>
              <w:t xml:space="preserve"> в тарифата</w:t>
            </w:r>
            <w:r w:rsidR="00622812" w:rsidRPr="002D77F2">
              <w:rPr>
                <w:rFonts w:ascii="Verdana" w:hAnsi="Verdana"/>
                <w:color w:val="000000"/>
                <w:sz w:val="20"/>
                <w:lang w:val="bg-BG" w:eastAsia="bg-BG"/>
              </w:rPr>
              <w:t>, като например „крайморски езера и блата” в чл. 2, изречение първо</w:t>
            </w:r>
            <w:r w:rsidRPr="002D77F2">
              <w:rPr>
                <w:rFonts w:ascii="Verdana" w:hAnsi="Verdana"/>
                <w:color w:val="000000"/>
                <w:sz w:val="20"/>
                <w:lang w:val="bg-BG" w:eastAsia="bg-BG"/>
              </w:rPr>
              <w:t xml:space="preserve"> противоречат на</w:t>
            </w:r>
            <w:r w:rsidRPr="002D77F2">
              <w:rPr>
                <w:rFonts w:ascii="Verdana" w:eastAsia="Calibri" w:hAnsi="Verdana"/>
                <w:sz w:val="20"/>
                <w:lang w:val="bg-BG" w:eastAsia="bg-BG"/>
              </w:rPr>
              <w:t xml:space="preserve"> разпоредбите на чл. 3, ал. 2, т. 1 от ЗРА, в който е изрично установено, че за стопански риболов се ползват българския участък на р. Дунав, вътрешните морски води, териториално море и изключителна икономическа зона в Черно море.</w:t>
            </w:r>
          </w:p>
          <w:p w:rsidR="00E5447A" w:rsidRPr="002D77F2" w:rsidRDefault="00322686" w:rsidP="00595D1B">
            <w:pPr>
              <w:spacing w:before="200" w:line="360" w:lineRule="auto"/>
              <w:ind w:firstLine="709"/>
              <w:jc w:val="both"/>
              <w:rPr>
                <w:rFonts w:ascii="Verdana" w:hAnsi="Verdana"/>
                <w:color w:val="000000"/>
                <w:sz w:val="20"/>
                <w:lang w:val="bg-BG" w:eastAsia="bg-BG"/>
              </w:rPr>
            </w:pPr>
            <w:r w:rsidRPr="002D77F2">
              <w:rPr>
                <w:rFonts w:ascii="Verdana" w:hAnsi="Verdana"/>
                <w:color w:val="000000"/>
                <w:sz w:val="20"/>
                <w:lang w:val="bg-BG" w:eastAsia="bg-BG"/>
              </w:rPr>
              <w:t xml:space="preserve">По отношение на стопанския риболов е необходимо да се въведат изменения при определянето на себестойността на предоставената услуга по маркиране на риболовните уреди. Съгласно чл. 17 и чл. 18 от Тарифата, се заплаща такса в размер на 2 лв. за немрежен риболовен уред и 2 лв. за всеки сектор с дължина до 100 м. за мрежен риболовен уред. Към настоящия момент събираните такси стигат за покриване на разходите за нискокачествени марки, които лесно могат да бъдат подменени или копирани. При използването на настоящите марки се установиха няколко съществени недостатъка. Същите корозират много бързо под въздействие на морската вода, заплитат се в риболовните мрежи и падат от тях. </w:t>
            </w:r>
          </w:p>
          <w:p w:rsidR="00E5447A" w:rsidRPr="002D77F2" w:rsidRDefault="00322686" w:rsidP="00595D1B">
            <w:pPr>
              <w:spacing w:before="200" w:line="360" w:lineRule="auto"/>
              <w:ind w:firstLine="709"/>
              <w:jc w:val="both"/>
              <w:rPr>
                <w:rFonts w:ascii="Verdana" w:hAnsi="Verdana"/>
                <w:color w:val="000000"/>
                <w:sz w:val="20"/>
                <w:lang w:val="bg-BG" w:eastAsia="bg-BG"/>
              </w:rPr>
            </w:pPr>
            <w:r w:rsidRPr="002D77F2">
              <w:rPr>
                <w:rFonts w:ascii="Verdana" w:hAnsi="Verdana"/>
                <w:color w:val="000000"/>
                <w:sz w:val="20"/>
                <w:lang w:val="bg-BG" w:eastAsia="bg-BG"/>
              </w:rPr>
              <w:t xml:space="preserve">В тарифата се извършва разграничение на мрежените уреди, използвани при извършване на стопански риболов с кораби до 10 бруто тона. Разликите в </w:t>
            </w:r>
            <w:proofErr w:type="spellStart"/>
            <w:r w:rsidRPr="002D77F2">
              <w:rPr>
                <w:rFonts w:ascii="Verdana" w:hAnsi="Verdana"/>
                <w:color w:val="000000"/>
                <w:sz w:val="20"/>
                <w:lang w:val="bg-BG" w:eastAsia="bg-BG"/>
              </w:rPr>
              <w:t>улов</w:t>
            </w:r>
            <w:proofErr w:type="spellEnd"/>
            <w:r w:rsidRPr="002D77F2">
              <w:rPr>
                <w:rFonts w:ascii="Verdana" w:hAnsi="Verdana"/>
                <w:color w:val="000000"/>
                <w:sz w:val="20"/>
                <w:lang w:val="bg-BG" w:eastAsia="bg-BG"/>
              </w:rPr>
              <w:t xml:space="preserve"> на риба с различните видове мрежени уреди е минимален, а съответстващата такса е в пъти по-малка</w:t>
            </w:r>
            <w:r w:rsidR="00E5447A" w:rsidRPr="002D77F2">
              <w:rPr>
                <w:rFonts w:ascii="Verdana" w:hAnsi="Verdana"/>
                <w:color w:val="000000"/>
                <w:sz w:val="20"/>
                <w:lang w:val="bg-BG" w:eastAsia="bg-BG"/>
              </w:rPr>
              <w:t xml:space="preserve"> от останалите</w:t>
            </w:r>
            <w:r w:rsidRPr="002D77F2">
              <w:rPr>
                <w:rFonts w:ascii="Verdana" w:hAnsi="Verdana"/>
                <w:color w:val="000000"/>
                <w:sz w:val="20"/>
                <w:lang w:val="bg-BG" w:eastAsia="bg-BG"/>
              </w:rPr>
              <w:t xml:space="preserve"> и не отговаря на реалностите в стопанския риболов. </w:t>
            </w:r>
          </w:p>
          <w:p w:rsidR="00E3047C" w:rsidRPr="002D77F2" w:rsidRDefault="00C92640" w:rsidP="00595D1B">
            <w:pPr>
              <w:spacing w:before="200" w:line="360" w:lineRule="auto"/>
              <w:ind w:firstLine="709"/>
              <w:jc w:val="both"/>
              <w:rPr>
                <w:rFonts w:ascii="Verdana" w:eastAsia="Calibri" w:hAnsi="Verdana"/>
                <w:color w:val="000000"/>
                <w:sz w:val="20"/>
                <w:lang w:val="bg-BG" w:eastAsia="bg-BG"/>
              </w:rPr>
            </w:pPr>
            <w:r w:rsidRPr="002D77F2">
              <w:rPr>
                <w:rFonts w:ascii="Verdana" w:eastAsia="Calibri" w:hAnsi="Verdana"/>
                <w:color w:val="000000"/>
                <w:sz w:val="20"/>
                <w:lang w:val="bg-BG" w:eastAsia="bg-BG"/>
              </w:rPr>
              <w:t>Също така при из</w:t>
            </w:r>
            <w:r w:rsidR="008A46D7" w:rsidRPr="002D77F2">
              <w:rPr>
                <w:rFonts w:ascii="Verdana" w:eastAsia="Calibri" w:hAnsi="Verdana"/>
                <w:color w:val="000000"/>
                <w:sz w:val="20"/>
                <w:lang w:val="bg-BG" w:eastAsia="bg-BG"/>
              </w:rPr>
              <w:t>вършване на стопански риболов в</w:t>
            </w:r>
            <w:r w:rsidR="008A46D7" w:rsidRPr="002D77F2">
              <w:rPr>
                <w:rFonts w:ascii="Verdana" w:eastAsia="Calibri" w:hAnsi="Verdana"/>
                <w:sz w:val="20"/>
                <w:lang w:val="bg-BG" w:eastAsia="bg-BG"/>
              </w:rPr>
              <w:t xml:space="preserve"> р. Дунав за използването </w:t>
            </w:r>
            <w:r w:rsidR="008A46D7" w:rsidRPr="002D77F2">
              <w:rPr>
                <w:rFonts w:ascii="Verdana" w:eastAsia="Calibri" w:hAnsi="Verdana"/>
                <w:sz w:val="20"/>
                <w:lang w:val="bg-BG" w:eastAsia="bg-BG"/>
              </w:rPr>
              <w:lastRenderedPageBreak/>
              <w:t xml:space="preserve">на </w:t>
            </w:r>
            <w:proofErr w:type="spellStart"/>
            <w:r w:rsidR="008A46D7" w:rsidRPr="002D77F2">
              <w:rPr>
                <w:rFonts w:ascii="Verdana" w:eastAsia="Calibri" w:hAnsi="Verdana"/>
                <w:sz w:val="20"/>
                <w:lang w:val="bg-BG" w:eastAsia="bg-BG"/>
              </w:rPr>
              <w:t>винтери</w:t>
            </w:r>
            <w:proofErr w:type="spellEnd"/>
            <w:r w:rsidR="008A46D7" w:rsidRPr="002D77F2">
              <w:rPr>
                <w:rFonts w:ascii="Verdana" w:eastAsia="Calibri" w:hAnsi="Verdana"/>
                <w:sz w:val="20"/>
                <w:lang w:val="bg-BG" w:eastAsia="bg-BG"/>
              </w:rPr>
              <w:t xml:space="preserve"> има обособена отделна такса</w:t>
            </w:r>
            <w:r w:rsidR="00E3047C" w:rsidRPr="002D77F2">
              <w:rPr>
                <w:rFonts w:ascii="Verdana" w:eastAsia="Calibri" w:hAnsi="Verdana"/>
                <w:sz w:val="20"/>
                <w:lang w:val="bg-BG" w:eastAsia="bg-BG"/>
              </w:rPr>
              <w:t>,</w:t>
            </w:r>
            <w:r w:rsidR="008A46D7" w:rsidRPr="002D77F2">
              <w:rPr>
                <w:rFonts w:ascii="Verdana" w:eastAsia="Calibri" w:hAnsi="Verdana"/>
                <w:sz w:val="20"/>
                <w:lang w:val="bg-BG" w:eastAsia="bg-BG"/>
              </w:rPr>
              <w:t xml:space="preserve"> докато за извършване на стопански риболов с </w:t>
            </w:r>
            <w:proofErr w:type="spellStart"/>
            <w:r w:rsidR="008A46D7" w:rsidRPr="002D77F2">
              <w:rPr>
                <w:rFonts w:ascii="Verdana" w:eastAsia="Calibri" w:hAnsi="Verdana"/>
                <w:sz w:val="20"/>
                <w:lang w:val="bg-BG" w:eastAsia="bg-BG"/>
              </w:rPr>
              <w:t>винтери</w:t>
            </w:r>
            <w:proofErr w:type="spellEnd"/>
            <w:r w:rsidR="008A46D7" w:rsidRPr="002D77F2">
              <w:rPr>
                <w:rFonts w:ascii="Verdana" w:eastAsia="Calibri" w:hAnsi="Verdana"/>
                <w:sz w:val="20"/>
                <w:lang w:val="bg-BG" w:eastAsia="bg-BG"/>
              </w:rPr>
              <w:t xml:space="preserve"> в Черно море не е обособена отделна такса</w:t>
            </w:r>
            <w:r w:rsidR="00E3047C" w:rsidRPr="002D77F2">
              <w:rPr>
                <w:rFonts w:ascii="Verdana" w:eastAsia="Calibri" w:hAnsi="Verdana"/>
                <w:sz w:val="20"/>
                <w:lang w:val="bg-BG" w:eastAsia="bg-BG"/>
              </w:rPr>
              <w:t>. Тъй като няма обособена отделна такса, риболовците нямат друга възможност освен да заплатят такса от 400 лв. – „с други разрешени риболовни уреди…“ и на практика заплащат такса за една част от уреди, които реално не използват в риболова</w:t>
            </w:r>
            <w:r w:rsidR="008A46D7" w:rsidRPr="002D77F2">
              <w:rPr>
                <w:rFonts w:ascii="Verdana" w:eastAsia="Calibri" w:hAnsi="Verdana"/>
                <w:sz w:val="20"/>
                <w:lang w:val="bg-BG" w:eastAsia="bg-BG"/>
              </w:rPr>
              <w:t>.</w:t>
            </w:r>
            <w:r w:rsidR="00322686" w:rsidRPr="002D77F2">
              <w:rPr>
                <w:rFonts w:ascii="Verdana" w:eastAsia="Calibri" w:hAnsi="Verdana"/>
                <w:color w:val="000000"/>
                <w:sz w:val="20"/>
                <w:lang w:val="bg-BG" w:eastAsia="bg-BG"/>
              </w:rPr>
              <w:t xml:space="preserve"> </w:t>
            </w:r>
          </w:p>
          <w:p w:rsidR="00AB64EB" w:rsidRPr="002D77F2" w:rsidRDefault="00AB64EB" w:rsidP="00595D1B">
            <w:pPr>
              <w:spacing w:before="200" w:line="360" w:lineRule="auto"/>
              <w:ind w:firstLine="709"/>
              <w:jc w:val="both"/>
              <w:rPr>
                <w:rFonts w:ascii="Verdana" w:eastAsia="Calibri" w:hAnsi="Verdana"/>
                <w:color w:val="000000"/>
                <w:sz w:val="20"/>
                <w:lang w:val="bg-BG" w:eastAsia="bg-BG"/>
              </w:rPr>
            </w:pPr>
            <w:r w:rsidRPr="002D77F2">
              <w:rPr>
                <w:rFonts w:ascii="Verdana" w:eastAsia="Calibri" w:hAnsi="Verdana"/>
                <w:sz w:val="20"/>
                <w:lang w:val="bg-BG" w:eastAsia="bg-BG"/>
              </w:rPr>
              <w:t xml:space="preserve">От 2006 г. до настоящия момент чл. 12 не е изменян, докато ЗРА е изменян няколко пъти по отношение на </w:t>
            </w:r>
            <w:proofErr w:type="spellStart"/>
            <w:r w:rsidRPr="002D77F2">
              <w:rPr>
                <w:rFonts w:ascii="Verdana" w:eastAsia="Calibri" w:hAnsi="Verdana"/>
                <w:sz w:val="20"/>
                <w:lang w:val="bg-BG" w:eastAsia="bg-BG"/>
              </w:rPr>
              <w:t>аквакултурите</w:t>
            </w:r>
            <w:proofErr w:type="spellEnd"/>
            <w:r w:rsidRPr="002D77F2">
              <w:rPr>
                <w:rFonts w:ascii="Verdana" w:eastAsia="Calibri" w:hAnsi="Verdana"/>
                <w:sz w:val="20"/>
                <w:lang w:val="bg-BG" w:eastAsia="bg-BG"/>
              </w:rPr>
              <w:t xml:space="preserve">, чрез добавяне на допълнителни документи, необходими за вписване в регистъра на лицата, които развъждат и отглеждат риба и други водни организми. Също така се наблюдава значително повишаване в броя на </w:t>
            </w:r>
            <w:proofErr w:type="spellStart"/>
            <w:r w:rsidRPr="002D77F2">
              <w:rPr>
                <w:rFonts w:ascii="Verdana" w:eastAsia="Calibri" w:hAnsi="Verdana"/>
                <w:sz w:val="20"/>
                <w:lang w:val="bg-BG" w:eastAsia="bg-BG"/>
              </w:rPr>
              <w:t>аквакултурните</w:t>
            </w:r>
            <w:proofErr w:type="spellEnd"/>
            <w:r w:rsidRPr="002D77F2">
              <w:rPr>
                <w:rFonts w:ascii="Verdana" w:eastAsia="Calibri" w:hAnsi="Verdana"/>
                <w:sz w:val="20"/>
                <w:lang w:val="bg-BG" w:eastAsia="bg-BG"/>
              </w:rPr>
              <w:t xml:space="preserve"> стопанства от 2006 г. до сега. Таксата, която се заплаща е крайно недостатъчна и не покрива разходите, които се извършват за осъществяване на контрол, обработване на документи и регистрация на лицата, развъждащи риба и други водни организми. По същия начин стои въпроса и с вписването в регистъра на центровете за първа продажба на продукти от риболов по чл. 15 от Тарифата, и вписването в регистъра на лицата купувачи при първа продажба на продукти от риболов по чл. 16 от Тарифата.</w:t>
            </w:r>
          </w:p>
          <w:p w:rsidR="009D4EA2" w:rsidRPr="002D77F2" w:rsidRDefault="009A2C0B" w:rsidP="00595D1B">
            <w:pPr>
              <w:spacing w:before="200" w:line="360" w:lineRule="auto"/>
              <w:ind w:firstLine="709"/>
              <w:jc w:val="both"/>
              <w:rPr>
                <w:rFonts w:ascii="Verdana" w:hAnsi="Verdana"/>
                <w:i/>
                <w:sz w:val="20"/>
                <w:lang w:val="bg-BG"/>
              </w:rPr>
            </w:pPr>
            <w:r w:rsidRPr="002D77F2">
              <w:rPr>
                <w:rFonts w:ascii="Verdana" w:hAnsi="Verdana"/>
                <w:i/>
                <w:sz w:val="20"/>
                <w:lang w:val="bg-BG"/>
              </w:rPr>
              <w:t xml:space="preserve">1.3. </w:t>
            </w:r>
            <w:r w:rsidR="009D4EA2" w:rsidRPr="002D77F2">
              <w:rPr>
                <w:rFonts w:ascii="Verdana" w:hAnsi="Verdana"/>
                <w:i/>
                <w:sz w:val="20"/>
                <w:lang w:val="bg-BG"/>
              </w:rPr>
              <w:t xml:space="preserve">Посочете дали са извършени </w:t>
            </w:r>
            <w:proofErr w:type="spellStart"/>
            <w:r w:rsidR="009D4EA2" w:rsidRPr="002D77F2">
              <w:rPr>
                <w:rFonts w:ascii="Verdana" w:hAnsi="Verdana"/>
                <w:i/>
                <w:sz w:val="20"/>
                <w:lang w:val="bg-BG"/>
              </w:rPr>
              <w:t>последващи</w:t>
            </w:r>
            <w:proofErr w:type="spellEnd"/>
            <w:r w:rsidR="009D4EA2" w:rsidRPr="002D77F2">
              <w:rPr>
                <w:rFonts w:ascii="Verdana" w:hAnsi="Verdana"/>
                <w:i/>
                <w:sz w:val="20"/>
                <w:lang w:val="bg-BG"/>
              </w:rPr>
              <w:t xml:space="preserve"> оценки на нормативния акт, или анализи за изпълнението на политиката и какви са резултатите от тях? </w:t>
            </w:r>
          </w:p>
          <w:p w:rsidR="00377430" w:rsidRPr="002D77F2" w:rsidRDefault="00377430" w:rsidP="00595D1B">
            <w:pPr>
              <w:spacing w:line="360" w:lineRule="auto"/>
              <w:ind w:firstLine="709"/>
              <w:rPr>
                <w:rFonts w:ascii="Verdana" w:hAnsi="Verdana"/>
                <w:sz w:val="20"/>
                <w:lang w:val="bg-BG" w:eastAsia="bg-BG"/>
              </w:rPr>
            </w:pPr>
            <w:r w:rsidRPr="002D77F2">
              <w:rPr>
                <w:rFonts w:ascii="Verdana" w:hAnsi="Verdana"/>
                <w:sz w:val="20"/>
                <w:lang w:val="bg-BG"/>
              </w:rPr>
              <w:t xml:space="preserve">Не са изготвяни </w:t>
            </w:r>
            <w:proofErr w:type="spellStart"/>
            <w:r w:rsidRPr="002D77F2">
              <w:rPr>
                <w:rFonts w:ascii="Verdana" w:hAnsi="Verdana"/>
                <w:sz w:val="20"/>
                <w:lang w:val="bg-BG"/>
              </w:rPr>
              <w:t>последващи</w:t>
            </w:r>
            <w:proofErr w:type="spellEnd"/>
            <w:r w:rsidRPr="002D77F2">
              <w:rPr>
                <w:rFonts w:ascii="Verdana" w:hAnsi="Verdana"/>
                <w:sz w:val="20"/>
                <w:lang w:val="bg-BG"/>
              </w:rPr>
              <w:t xml:space="preserve"> оценки на въздействието </w:t>
            </w:r>
            <w:r w:rsidRPr="002D77F2">
              <w:rPr>
                <w:rFonts w:ascii="Verdana" w:hAnsi="Verdana"/>
                <w:sz w:val="20"/>
                <w:lang w:val="bg-BG" w:eastAsia="bg-BG"/>
              </w:rPr>
              <w:t xml:space="preserve">Тарифата за таксите, събирани по Закона за рибарството и </w:t>
            </w:r>
            <w:proofErr w:type="spellStart"/>
            <w:r w:rsidRPr="002D77F2">
              <w:rPr>
                <w:rFonts w:ascii="Verdana" w:hAnsi="Verdana"/>
                <w:sz w:val="20"/>
                <w:lang w:val="bg-BG" w:eastAsia="bg-BG"/>
              </w:rPr>
              <w:t>аквакултурите</w:t>
            </w:r>
            <w:proofErr w:type="spellEnd"/>
            <w:r w:rsidR="000B13DD" w:rsidRPr="002D77F2">
              <w:rPr>
                <w:rFonts w:ascii="Verdana" w:hAnsi="Verdana"/>
                <w:sz w:val="20"/>
                <w:lang w:val="bg-BG" w:eastAsia="bg-BG"/>
              </w:rPr>
              <w:t xml:space="preserve">. </w:t>
            </w:r>
          </w:p>
        </w:tc>
      </w:tr>
      <w:tr w:rsidR="009D4EA2" w:rsidRPr="002D77F2" w:rsidTr="002B5681">
        <w:tc>
          <w:tcPr>
            <w:tcW w:w="9184" w:type="dxa"/>
            <w:gridSpan w:val="2"/>
            <w:tcBorders>
              <w:top w:val="single" w:sz="18" w:space="0" w:color="auto"/>
              <w:left w:val="single" w:sz="18" w:space="0" w:color="auto"/>
              <w:bottom w:val="single" w:sz="18" w:space="0" w:color="auto"/>
              <w:right w:val="single" w:sz="18" w:space="0" w:color="auto"/>
            </w:tcBorders>
          </w:tcPr>
          <w:p w:rsidR="00943126" w:rsidRPr="002D77F2" w:rsidRDefault="009D4EA2" w:rsidP="00943126">
            <w:pPr>
              <w:spacing w:line="360" w:lineRule="auto"/>
              <w:jc w:val="both"/>
              <w:rPr>
                <w:rFonts w:ascii="Verdana" w:hAnsi="Verdana"/>
                <w:b/>
                <w:sz w:val="20"/>
                <w:lang w:val="bg-BG"/>
              </w:rPr>
            </w:pPr>
            <w:r w:rsidRPr="002D77F2">
              <w:rPr>
                <w:rFonts w:ascii="Verdana" w:hAnsi="Verdana"/>
                <w:b/>
                <w:sz w:val="20"/>
                <w:lang w:val="bg-BG"/>
              </w:rPr>
              <w:lastRenderedPageBreak/>
              <w:t xml:space="preserve">2. Цели: </w:t>
            </w:r>
            <w:r w:rsidR="00DD407D" w:rsidRPr="002D77F2">
              <w:rPr>
                <w:rFonts w:ascii="Verdana" w:hAnsi="Verdana"/>
                <w:i/>
                <w:sz w:val="20"/>
                <w:lang w:val="bg-BG"/>
              </w:rPr>
              <w:t>Посочете целите, които си поставя нормативната промяна, по конкретен и измерим начин и график, ако е приложимо, за тяхното постигане. Съответстват ли целите на действащата стратегическа рамка?</w:t>
            </w:r>
          </w:p>
          <w:p w:rsidR="00867180" w:rsidRPr="002D77F2" w:rsidRDefault="009D4EA2" w:rsidP="00DD407D">
            <w:pPr>
              <w:spacing w:line="360" w:lineRule="auto"/>
              <w:ind w:firstLine="709"/>
              <w:jc w:val="both"/>
              <w:rPr>
                <w:rFonts w:ascii="Verdana" w:hAnsi="Verdana"/>
                <w:color w:val="000000"/>
                <w:sz w:val="20"/>
                <w:lang w:val="bg-BG" w:eastAsia="bg-BG"/>
              </w:rPr>
            </w:pPr>
            <w:r w:rsidRPr="002D77F2">
              <w:rPr>
                <w:rFonts w:ascii="Verdana" w:hAnsi="Verdana"/>
                <w:color w:val="000000"/>
                <w:sz w:val="20"/>
                <w:lang w:val="bg-BG" w:eastAsia="bg-BG"/>
              </w:rPr>
              <w:t xml:space="preserve">С проекта на Тарифата се цели да се преодолеят на първо място настъпилите инфлационни процеси през </w:t>
            </w:r>
            <w:r w:rsidR="007046A5" w:rsidRPr="002D77F2">
              <w:rPr>
                <w:rFonts w:ascii="Verdana" w:hAnsi="Verdana"/>
                <w:color w:val="000000"/>
                <w:sz w:val="20"/>
                <w:lang w:val="bg-BG" w:eastAsia="bg-BG"/>
              </w:rPr>
              <w:t>последните 9 години</w:t>
            </w:r>
            <w:r w:rsidR="00826FA1" w:rsidRPr="002D77F2">
              <w:rPr>
                <w:rFonts w:ascii="Verdana" w:hAnsi="Verdana"/>
                <w:color w:val="000000"/>
                <w:sz w:val="20"/>
                <w:lang w:val="en-US" w:eastAsia="bg-BG"/>
              </w:rPr>
              <w:t>,</w:t>
            </w:r>
            <w:r w:rsidR="007046A5" w:rsidRPr="002D77F2">
              <w:rPr>
                <w:rFonts w:ascii="Verdana" w:hAnsi="Verdana"/>
                <w:color w:val="000000"/>
                <w:sz w:val="20"/>
                <w:lang w:val="bg-BG" w:eastAsia="bg-BG"/>
              </w:rPr>
              <w:t xml:space="preserve"> като инфлацията е приблизително 20 %</w:t>
            </w:r>
            <w:r w:rsidR="00826FA1" w:rsidRPr="002D77F2">
              <w:rPr>
                <w:rFonts w:ascii="Verdana" w:hAnsi="Verdana"/>
                <w:color w:val="000000"/>
                <w:sz w:val="20"/>
                <w:lang w:val="en-US" w:eastAsia="bg-BG"/>
              </w:rPr>
              <w:t xml:space="preserve"> </w:t>
            </w:r>
            <w:r w:rsidR="00826FA1" w:rsidRPr="002D77F2">
              <w:rPr>
                <w:rFonts w:ascii="Verdana" w:hAnsi="Verdana"/>
                <w:color w:val="000000"/>
                <w:sz w:val="20"/>
                <w:lang w:val="bg-BG" w:eastAsia="bg-BG"/>
              </w:rPr>
              <w:t xml:space="preserve">и </w:t>
            </w:r>
            <w:r w:rsidR="007046A5" w:rsidRPr="002D77F2">
              <w:rPr>
                <w:rFonts w:ascii="Verdana" w:hAnsi="Verdana"/>
                <w:color w:val="000000"/>
                <w:sz w:val="20"/>
                <w:lang w:val="bg-BG" w:eastAsia="bg-BG"/>
              </w:rPr>
              <w:t>се отразява</w:t>
            </w:r>
            <w:r w:rsidRPr="002D77F2">
              <w:rPr>
                <w:rFonts w:ascii="Verdana" w:hAnsi="Verdana"/>
                <w:color w:val="000000"/>
                <w:sz w:val="20"/>
                <w:lang w:val="bg-BG" w:eastAsia="bg-BG"/>
              </w:rPr>
              <w:t xml:space="preserve"> върху себестойността на предоставяните услуги</w:t>
            </w:r>
            <w:r w:rsidR="007046A5" w:rsidRPr="002D77F2">
              <w:rPr>
                <w:rFonts w:ascii="Verdana" w:hAnsi="Verdana"/>
                <w:color w:val="000000"/>
                <w:sz w:val="20"/>
                <w:lang w:val="bg-BG" w:eastAsia="bg-BG"/>
              </w:rPr>
              <w:t xml:space="preserve">. </w:t>
            </w:r>
            <w:r w:rsidRPr="002D77F2">
              <w:rPr>
                <w:rFonts w:ascii="Verdana" w:hAnsi="Verdana"/>
                <w:color w:val="000000"/>
                <w:sz w:val="20"/>
                <w:lang w:val="bg-BG" w:eastAsia="bg-BG"/>
              </w:rPr>
              <w:t xml:space="preserve"> На второ място да се избегнат допуснати грешки при определянето на таксата на тези услуги, като в този случай ИАРА извършва тази ревизия от гледна точка на натрупания деветгодишен опит при прилагане на Тарифата. </w:t>
            </w:r>
          </w:p>
          <w:p w:rsidR="009D4EA2" w:rsidRPr="002D77F2" w:rsidRDefault="004F543F" w:rsidP="003211B2">
            <w:pPr>
              <w:spacing w:before="200" w:line="360" w:lineRule="auto"/>
              <w:ind w:firstLine="709"/>
              <w:jc w:val="both"/>
              <w:rPr>
                <w:rFonts w:ascii="Verdana" w:hAnsi="Verdana"/>
                <w:color w:val="000000"/>
                <w:sz w:val="20"/>
                <w:lang w:val="bg-BG" w:eastAsia="bg-BG"/>
              </w:rPr>
            </w:pPr>
            <w:r w:rsidRPr="002D77F2">
              <w:rPr>
                <w:rFonts w:ascii="Verdana" w:hAnsi="Verdana"/>
                <w:color w:val="000000"/>
                <w:sz w:val="20"/>
                <w:lang w:val="bg-BG" w:eastAsia="bg-BG"/>
              </w:rPr>
              <w:t xml:space="preserve"> Също така се цели да се преодолеят недостатъците при определяне на таксите за издаване на специално разрешително за </w:t>
            </w:r>
            <w:proofErr w:type="spellStart"/>
            <w:r w:rsidRPr="002D77F2">
              <w:rPr>
                <w:rFonts w:ascii="Verdana" w:hAnsi="Verdana"/>
                <w:color w:val="000000"/>
                <w:sz w:val="20"/>
                <w:lang w:val="bg-BG" w:eastAsia="bg-BG"/>
              </w:rPr>
              <w:t>улов</w:t>
            </w:r>
            <w:proofErr w:type="spellEnd"/>
            <w:r w:rsidRPr="002D77F2">
              <w:rPr>
                <w:rFonts w:ascii="Verdana" w:hAnsi="Verdana"/>
                <w:color w:val="000000"/>
                <w:sz w:val="20"/>
                <w:lang w:val="bg-BG" w:eastAsia="bg-BG"/>
              </w:rPr>
              <w:t xml:space="preserve"> на </w:t>
            </w:r>
            <w:proofErr w:type="spellStart"/>
            <w:r w:rsidRPr="002D77F2">
              <w:rPr>
                <w:rFonts w:ascii="Verdana" w:hAnsi="Verdana"/>
                <w:color w:val="000000"/>
                <w:sz w:val="20"/>
                <w:lang w:val="bg-BG" w:eastAsia="bg-BG"/>
              </w:rPr>
              <w:t>квотиран</w:t>
            </w:r>
            <w:proofErr w:type="spellEnd"/>
            <w:r w:rsidRPr="002D77F2">
              <w:rPr>
                <w:rFonts w:ascii="Verdana" w:hAnsi="Verdana"/>
                <w:color w:val="000000"/>
                <w:sz w:val="20"/>
                <w:lang w:val="bg-BG" w:eastAsia="bg-BG"/>
              </w:rPr>
              <w:t xml:space="preserve"> вид риба и прецизно изпълнение на ангажиментите на Република България при извършването на специфичен мониторинг и контрол при </w:t>
            </w:r>
            <w:proofErr w:type="spellStart"/>
            <w:r w:rsidRPr="002D77F2">
              <w:rPr>
                <w:rFonts w:ascii="Verdana" w:hAnsi="Verdana"/>
                <w:color w:val="000000"/>
                <w:sz w:val="20"/>
                <w:lang w:val="bg-BG" w:eastAsia="bg-BG"/>
              </w:rPr>
              <w:t>улова</w:t>
            </w:r>
            <w:proofErr w:type="spellEnd"/>
            <w:r w:rsidRPr="002D77F2">
              <w:rPr>
                <w:rFonts w:ascii="Verdana" w:hAnsi="Verdana"/>
                <w:color w:val="000000"/>
                <w:sz w:val="20"/>
                <w:lang w:val="bg-BG" w:eastAsia="bg-BG"/>
              </w:rPr>
              <w:t xml:space="preserve"> на калкан, включващ редица допълнителни условия, в сравнение с </w:t>
            </w:r>
            <w:proofErr w:type="spellStart"/>
            <w:r w:rsidRPr="002D77F2">
              <w:rPr>
                <w:rFonts w:ascii="Verdana" w:hAnsi="Verdana"/>
                <w:color w:val="000000"/>
                <w:sz w:val="20"/>
                <w:lang w:val="bg-BG" w:eastAsia="bg-BG"/>
              </w:rPr>
              <w:t>улова</w:t>
            </w:r>
            <w:proofErr w:type="spellEnd"/>
            <w:r w:rsidRPr="002D77F2">
              <w:rPr>
                <w:rFonts w:ascii="Verdana" w:hAnsi="Verdana"/>
                <w:color w:val="000000"/>
                <w:sz w:val="20"/>
                <w:lang w:val="bg-BG" w:eastAsia="bg-BG"/>
              </w:rPr>
              <w:t xml:space="preserve"> на останалите видове риба и други </w:t>
            </w:r>
            <w:r w:rsidRPr="002D77F2">
              <w:rPr>
                <w:rFonts w:ascii="Verdana" w:hAnsi="Verdana"/>
                <w:color w:val="000000"/>
                <w:sz w:val="20"/>
                <w:lang w:val="bg-BG" w:eastAsia="bg-BG"/>
              </w:rPr>
              <w:lastRenderedPageBreak/>
              <w:t>водни организми.</w:t>
            </w:r>
            <w:r w:rsidR="00D963DB" w:rsidRPr="002D77F2">
              <w:rPr>
                <w:rFonts w:ascii="Verdana" w:hAnsi="Verdana"/>
                <w:color w:val="000000"/>
                <w:sz w:val="20"/>
                <w:lang w:val="bg-BG" w:eastAsia="bg-BG"/>
              </w:rPr>
              <w:t xml:space="preserve"> Предлаганото въвеждане на такса за издаване на разрешително за </w:t>
            </w:r>
            <w:proofErr w:type="spellStart"/>
            <w:r w:rsidR="00D963DB" w:rsidRPr="002D77F2">
              <w:rPr>
                <w:rFonts w:ascii="Verdana" w:hAnsi="Verdana"/>
                <w:color w:val="000000"/>
                <w:sz w:val="20"/>
                <w:lang w:val="bg-BG" w:eastAsia="bg-BG"/>
              </w:rPr>
              <w:t>улов</w:t>
            </w:r>
            <w:proofErr w:type="spellEnd"/>
            <w:r w:rsidR="00D963DB" w:rsidRPr="002D77F2">
              <w:rPr>
                <w:rFonts w:ascii="Verdana" w:hAnsi="Verdana"/>
                <w:color w:val="000000"/>
                <w:sz w:val="20"/>
                <w:lang w:val="bg-BG" w:eastAsia="bg-BG"/>
              </w:rPr>
              <w:t xml:space="preserve"> на риба и други водни организми с научноизследователски цели се прави с оглед синхронизиране на Тарифата с действащата разпоредба от ЗРА – чл. 40, ал. 18. Със същата цел отпадат някои текстове, като например „крайморски езера и </w:t>
            </w:r>
            <w:r w:rsidR="003211B2">
              <w:rPr>
                <w:rFonts w:ascii="Verdana" w:hAnsi="Verdana"/>
                <w:color w:val="000000"/>
                <w:sz w:val="20"/>
                <w:lang w:val="bg-BG" w:eastAsia="bg-BG"/>
              </w:rPr>
              <w:t>блата” в чл. 2, изречение първо</w:t>
            </w:r>
            <w:r w:rsidR="00D963DB" w:rsidRPr="002D77F2">
              <w:rPr>
                <w:rFonts w:ascii="Verdana" w:hAnsi="Verdana"/>
                <w:color w:val="000000"/>
                <w:sz w:val="20"/>
                <w:lang w:val="bg-BG" w:eastAsia="bg-BG"/>
              </w:rPr>
              <w:t xml:space="preserve">. </w:t>
            </w:r>
          </w:p>
        </w:tc>
      </w:tr>
      <w:tr w:rsidR="009D4EA2" w:rsidRPr="002D77F2" w:rsidTr="002B5681">
        <w:tc>
          <w:tcPr>
            <w:tcW w:w="9184" w:type="dxa"/>
            <w:gridSpan w:val="2"/>
            <w:tcBorders>
              <w:top w:val="single" w:sz="18" w:space="0" w:color="auto"/>
              <w:left w:val="single" w:sz="18" w:space="0" w:color="auto"/>
              <w:bottom w:val="single" w:sz="18" w:space="0" w:color="auto"/>
              <w:right w:val="single" w:sz="18" w:space="0" w:color="auto"/>
            </w:tcBorders>
            <w:hideMark/>
          </w:tcPr>
          <w:p w:rsidR="009D4EA2" w:rsidRPr="002D77F2" w:rsidRDefault="009D4EA2" w:rsidP="00595D1B">
            <w:pPr>
              <w:spacing w:before="120" w:after="120" w:line="360" w:lineRule="auto"/>
              <w:jc w:val="both"/>
              <w:rPr>
                <w:rFonts w:ascii="Verdana" w:hAnsi="Verdana"/>
                <w:b/>
                <w:sz w:val="20"/>
                <w:lang w:val="bg-BG"/>
              </w:rPr>
            </w:pPr>
            <w:r w:rsidRPr="002D77F2">
              <w:rPr>
                <w:rFonts w:ascii="Verdana" w:hAnsi="Verdana"/>
                <w:b/>
                <w:sz w:val="20"/>
                <w:lang w:val="bg-BG"/>
              </w:rPr>
              <w:lastRenderedPageBreak/>
              <w:t xml:space="preserve">3. Идентифициране на заинтересованите страни: </w:t>
            </w:r>
            <w:r w:rsidR="00DD407D" w:rsidRPr="002D77F2">
              <w:rPr>
                <w:rFonts w:ascii="Verdana" w:hAnsi="Verdana"/>
                <w:i/>
                <w:sz w:val="20"/>
                <w:lang w:val="bg-BG"/>
              </w:rPr>
              <w:t>Посочете всички потенциални засегнати и заинтересовани страни, върху които предложението ще окаже пряко или косвено въздействие (бизнес в дадена  област/всички предприемачи, неправителствени организации, граждани/техни представители, държавни органи, др.).</w:t>
            </w:r>
          </w:p>
          <w:p w:rsidR="00153E12" w:rsidRPr="002D77F2" w:rsidRDefault="008D77AF" w:rsidP="00083F5A">
            <w:pPr>
              <w:spacing w:before="120" w:after="120" w:line="360" w:lineRule="auto"/>
              <w:ind w:firstLine="709"/>
              <w:jc w:val="both"/>
              <w:rPr>
                <w:rFonts w:ascii="Verdana" w:hAnsi="Verdana"/>
                <w:sz w:val="20"/>
                <w:lang w:val="bg-BG"/>
              </w:rPr>
            </w:pPr>
            <w:r w:rsidRPr="002D77F2">
              <w:rPr>
                <w:rFonts w:ascii="Verdana" w:hAnsi="Verdana"/>
                <w:sz w:val="20"/>
                <w:lang w:val="bg-BG"/>
              </w:rPr>
              <w:t>ИАРА, г</w:t>
            </w:r>
            <w:r w:rsidR="009D4EA2" w:rsidRPr="002D77F2">
              <w:rPr>
                <w:rFonts w:ascii="Verdana" w:hAnsi="Verdana"/>
                <w:sz w:val="20"/>
                <w:lang w:val="bg-BG"/>
              </w:rPr>
              <w:t xml:space="preserve">ражданите и бизнесът, вкл. техните организации, в качеството им на заинтересовани от изпълнението на държавната политика в областта на рибарството и </w:t>
            </w:r>
            <w:proofErr w:type="spellStart"/>
            <w:r w:rsidR="009D4EA2" w:rsidRPr="002D77F2">
              <w:rPr>
                <w:rFonts w:ascii="Verdana" w:hAnsi="Verdana"/>
                <w:sz w:val="20"/>
                <w:lang w:val="bg-BG"/>
              </w:rPr>
              <w:t>аквакултурите</w:t>
            </w:r>
            <w:proofErr w:type="spellEnd"/>
            <w:r w:rsidR="009D4EA2" w:rsidRPr="002D77F2">
              <w:rPr>
                <w:rFonts w:ascii="Verdana" w:hAnsi="Verdana"/>
                <w:sz w:val="20"/>
                <w:lang w:val="bg-BG"/>
              </w:rPr>
              <w:t xml:space="preserve">, в т.ч. </w:t>
            </w:r>
            <w:proofErr w:type="spellStart"/>
            <w:r w:rsidR="000B435B" w:rsidRPr="002D77F2">
              <w:rPr>
                <w:rFonts w:ascii="Verdana" w:hAnsi="Verdana"/>
                <w:sz w:val="20"/>
                <w:lang w:val="bg-BG"/>
              </w:rPr>
              <w:t>корабособственици</w:t>
            </w:r>
            <w:proofErr w:type="spellEnd"/>
            <w:r w:rsidR="000B435B" w:rsidRPr="002D77F2">
              <w:rPr>
                <w:rFonts w:ascii="Verdana" w:hAnsi="Verdana"/>
                <w:sz w:val="20"/>
                <w:lang w:val="bg-BG"/>
              </w:rPr>
              <w:t xml:space="preserve">, браншови организации, </w:t>
            </w:r>
            <w:r w:rsidR="00CB6B93" w:rsidRPr="002D77F2">
              <w:rPr>
                <w:rFonts w:ascii="Verdana" w:hAnsi="Verdana"/>
                <w:sz w:val="20"/>
                <w:lang w:val="bg-BG"/>
              </w:rPr>
              <w:t>ю</w:t>
            </w:r>
            <w:r w:rsidR="009D4EA2" w:rsidRPr="002D77F2">
              <w:rPr>
                <w:rFonts w:ascii="Verdana" w:hAnsi="Verdana"/>
                <w:sz w:val="20"/>
                <w:lang w:val="bg-BG"/>
              </w:rPr>
              <w:t>ридически лица и еднолични търговци извършващи стопански риболов</w:t>
            </w:r>
            <w:r w:rsidR="000B435B" w:rsidRPr="002D77F2">
              <w:rPr>
                <w:rFonts w:ascii="Verdana" w:hAnsi="Verdana"/>
                <w:sz w:val="20"/>
                <w:lang w:val="en-US"/>
              </w:rPr>
              <w:t xml:space="preserve">, </w:t>
            </w:r>
            <w:r w:rsidR="009D4EA2" w:rsidRPr="002D77F2">
              <w:rPr>
                <w:rFonts w:ascii="Verdana" w:hAnsi="Verdana"/>
                <w:sz w:val="20"/>
                <w:lang w:val="bg-BG"/>
              </w:rPr>
              <w:t>и развъждане и отглеждане на риба и други водни организми, първа продажба, регистрирани купувачи; Физически лиц</w:t>
            </w:r>
            <w:r w:rsidR="000B435B" w:rsidRPr="002D77F2">
              <w:rPr>
                <w:rFonts w:ascii="Verdana" w:hAnsi="Verdana"/>
                <w:sz w:val="20"/>
                <w:lang w:val="bg-BG"/>
              </w:rPr>
              <w:t xml:space="preserve">а извършващи любителски риболов; Лицата, които извършват </w:t>
            </w:r>
            <w:proofErr w:type="spellStart"/>
            <w:r w:rsidR="000B435B" w:rsidRPr="002D77F2">
              <w:rPr>
                <w:rFonts w:ascii="Verdana" w:hAnsi="Verdana"/>
                <w:sz w:val="20"/>
                <w:lang w:val="bg-BG"/>
              </w:rPr>
              <w:t>улов</w:t>
            </w:r>
            <w:proofErr w:type="spellEnd"/>
            <w:r w:rsidR="000B435B" w:rsidRPr="002D77F2">
              <w:rPr>
                <w:rFonts w:ascii="Verdana" w:hAnsi="Verdana"/>
                <w:sz w:val="20"/>
                <w:lang w:val="bg-BG"/>
              </w:rPr>
              <w:t xml:space="preserve"> на риба и други водни организми с научноизследователски цели.</w:t>
            </w:r>
            <w:r w:rsidR="00083F5A" w:rsidRPr="002D77F2">
              <w:rPr>
                <w:rFonts w:ascii="Verdana" w:hAnsi="Verdana"/>
                <w:sz w:val="20"/>
                <w:lang w:val="en-US"/>
              </w:rPr>
              <w:t xml:space="preserve"> </w:t>
            </w:r>
          </w:p>
          <w:p w:rsidR="009D4EA2" w:rsidRPr="002D77F2" w:rsidRDefault="00F17589" w:rsidP="00083F5A">
            <w:pPr>
              <w:spacing w:before="120" w:after="120" w:line="360" w:lineRule="auto"/>
              <w:ind w:firstLine="709"/>
              <w:jc w:val="both"/>
              <w:rPr>
                <w:rFonts w:ascii="Verdana" w:hAnsi="Verdana"/>
                <w:sz w:val="20"/>
                <w:lang w:val="bg-BG"/>
              </w:rPr>
            </w:pPr>
            <w:r w:rsidRPr="002D77F2">
              <w:rPr>
                <w:rFonts w:ascii="Verdana" w:hAnsi="Verdana"/>
                <w:sz w:val="20"/>
                <w:lang w:val="bg-BG"/>
              </w:rPr>
              <w:t>Общият брой на предоставените услуги на заинтересованите страни за разрешителни, удостоверения, билети и вписвания в регистри предоставени за 2015 г. е около 216 000.</w:t>
            </w:r>
          </w:p>
        </w:tc>
      </w:tr>
      <w:tr w:rsidR="009D4EA2" w:rsidRPr="002D77F2" w:rsidTr="002B5681">
        <w:tc>
          <w:tcPr>
            <w:tcW w:w="9184" w:type="dxa"/>
            <w:gridSpan w:val="2"/>
            <w:tcBorders>
              <w:top w:val="single" w:sz="18" w:space="0" w:color="auto"/>
              <w:left w:val="single" w:sz="18" w:space="0" w:color="auto"/>
              <w:bottom w:val="single" w:sz="18" w:space="0" w:color="auto"/>
              <w:right w:val="single" w:sz="18" w:space="0" w:color="auto"/>
            </w:tcBorders>
          </w:tcPr>
          <w:p w:rsidR="00446910" w:rsidRPr="002D77F2" w:rsidRDefault="009D4EA2" w:rsidP="00DD407D">
            <w:pPr>
              <w:spacing w:before="120" w:after="120" w:line="360" w:lineRule="auto"/>
              <w:jc w:val="both"/>
              <w:rPr>
                <w:rFonts w:ascii="Verdana" w:hAnsi="Verdana"/>
                <w:b/>
                <w:sz w:val="20"/>
                <w:lang w:val="bg-BG"/>
              </w:rPr>
            </w:pPr>
            <w:r w:rsidRPr="002D77F2">
              <w:rPr>
                <w:rFonts w:ascii="Verdana" w:hAnsi="Verdana"/>
                <w:b/>
                <w:sz w:val="20"/>
                <w:lang w:val="bg-BG"/>
              </w:rPr>
              <w:t xml:space="preserve">4. Варианти на действие: </w:t>
            </w:r>
            <w:r w:rsidR="00DD407D" w:rsidRPr="002D77F2">
              <w:rPr>
                <w:rFonts w:ascii="Verdana" w:hAnsi="Verdana"/>
                <w:i/>
                <w:sz w:val="20"/>
                <w:lang w:val="bg-BG"/>
              </w:rPr>
              <w:t>Идентифицирайте основните регулаторни и нерегулаторни възможни варианти на действие от страна на държавата, включително варианта „</w:t>
            </w:r>
            <w:r w:rsidR="00DD407D" w:rsidRPr="002D77F2">
              <w:rPr>
                <w:rFonts w:ascii="Verdana" w:hAnsi="Verdana"/>
                <w:i/>
                <w:caps/>
                <w:sz w:val="20"/>
                <w:lang w:val="bg-BG"/>
              </w:rPr>
              <w:t>б</w:t>
            </w:r>
            <w:r w:rsidR="00DD407D" w:rsidRPr="002D77F2">
              <w:rPr>
                <w:rFonts w:ascii="Verdana" w:hAnsi="Verdana"/>
                <w:i/>
                <w:sz w:val="20"/>
                <w:lang w:val="bg-BG"/>
              </w:rPr>
              <w:t>ез действие“.</w:t>
            </w:r>
          </w:p>
          <w:p w:rsidR="00446910" w:rsidRPr="002D77F2" w:rsidRDefault="00446910" w:rsidP="00943126">
            <w:pPr>
              <w:spacing w:before="120" w:after="120" w:line="360" w:lineRule="auto"/>
              <w:ind w:firstLine="709"/>
              <w:rPr>
                <w:rFonts w:ascii="Verdana" w:hAnsi="Verdana"/>
                <w:b/>
                <w:sz w:val="20"/>
                <w:lang w:val="bg-BG"/>
              </w:rPr>
            </w:pPr>
            <w:r w:rsidRPr="002D77F2">
              <w:rPr>
                <w:rFonts w:ascii="Verdana" w:hAnsi="Verdana"/>
                <w:b/>
                <w:sz w:val="20"/>
                <w:lang w:val="bg-BG"/>
              </w:rPr>
              <w:t>Вариант за действие 1 „Без намеса“</w:t>
            </w:r>
          </w:p>
          <w:p w:rsidR="00446910" w:rsidRPr="002D77F2" w:rsidRDefault="00446910" w:rsidP="00595D1B">
            <w:pPr>
              <w:spacing w:before="120" w:after="120" w:line="360" w:lineRule="auto"/>
              <w:rPr>
                <w:rFonts w:ascii="Verdana" w:hAnsi="Verdana"/>
                <w:sz w:val="20"/>
                <w:lang w:val="bg-BG"/>
              </w:rPr>
            </w:pPr>
            <w:r w:rsidRPr="002D77F2">
              <w:rPr>
                <w:rFonts w:ascii="Verdana" w:hAnsi="Verdana"/>
                <w:sz w:val="20"/>
                <w:lang w:val="bg-BG"/>
              </w:rPr>
              <w:t xml:space="preserve">Приемането на този вариант ще доведе до: </w:t>
            </w:r>
          </w:p>
          <w:p w:rsidR="00600F9A" w:rsidRPr="002D77F2" w:rsidRDefault="00600F9A" w:rsidP="00943126">
            <w:pPr>
              <w:pStyle w:val="ListParagraph"/>
              <w:numPr>
                <w:ilvl w:val="0"/>
                <w:numId w:val="4"/>
              </w:numPr>
              <w:spacing w:line="360" w:lineRule="auto"/>
              <w:ind w:left="0" w:firstLine="360"/>
              <w:jc w:val="both"/>
              <w:rPr>
                <w:rFonts w:ascii="Verdana" w:hAnsi="Verdana"/>
                <w:sz w:val="20"/>
                <w:lang w:val="bg-BG"/>
              </w:rPr>
            </w:pPr>
            <w:r w:rsidRPr="002D77F2">
              <w:rPr>
                <w:rFonts w:ascii="Verdana" w:hAnsi="Verdana"/>
                <w:sz w:val="20"/>
                <w:lang w:val="bg-BG"/>
              </w:rPr>
              <w:t xml:space="preserve">Липса на такса за издаване на разрешително за </w:t>
            </w:r>
            <w:proofErr w:type="spellStart"/>
            <w:r w:rsidRPr="002D77F2">
              <w:rPr>
                <w:rFonts w:ascii="Verdana" w:hAnsi="Verdana"/>
                <w:sz w:val="20"/>
                <w:lang w:val="bg-BG"/>
              </w:rPr>
              <w:t>улов</w:t>
            </w:r>
            <w:proofErr w:type="spellEnd"/>
            <w:r w:rsidRPr="002D77F2">
              <w:rPr>
                <w:rFonts w:ascii="Verdana" w:hAnsi="Verdana"/>
                <w:sz w:val="20"/>
                <w:lang w:val="bg-BG"/>
              </w:rPr>
              <w:t xml:space="preserve"> на риба и други водни организми с научноизследователски цели, която е предвидена в чл. 40, ал. 18 от ЗРА. Не е възможно проблемът да бъде разрешен в съществуващото законодателство, тъй като такава уредба предвиждаща заплащане на конкретна такса не е предвидена в тарифата. </w:t>
            </w:r>
          </w:p>
          <w:p w:rsidR="00600F9A" w:rsidRPr="002D77F2" w:rsidRDefault="00600F9A" w:rsidP="00943126">
            <w:pPr>
              <w:pStyle w:val="ListParagraph"/>
              <w:numPr>
                <w:ilvl w:val="0"/>
                <w:numId w:val="4"/>
              </w:numPr>
              <w:spacing w:line="360" w:lineRule="auto"/>
              <w:ind w:left="0" w:firstLine="360"/>
              <w:jc w:val="both"/>
              <w:rPr>
                <w:rFonts w:ascii="Verdana" w:hAnsi="Verdana"/>
                <w:sz w:val="20"/>
                <w:lang w:val="bg-BG"/>
              </w:rPr>
            </w:pPr>
            <w:r w:rsidRPr="002D77F2">
              <w:rPr>
                <w:rFonts w:ascii="Verdana" w:hAnsi="Verdana"/>
                <w:sz w:val="20"/>
                <w:lang w:val="bg-BG"/>
              </w:rPr>
              <w:t xml:space="preserve">Невъзможност за синхронизиране на част от разпоредбите на Тарифата със Закона за рибарството и </w:t>
            </w:r>
            <w:proofErr w:type="spellStart"/>
            <w:r w:rsidRPr="002D77F2">
              <w:rPr>
                <w:rFonts w:ascii="Verdana" w:hAnsi="Verdana"/>
                <w:sz w:val="20"/>
                <w:lang w:val="bg-BG"/>
              </w:rPr>
              <w:t>аквакултурите</w:t>
            </w:r>
            <w:proofErr w:type="spellEnd"/>
            <w:r w:rsidRPr="002D77F2">
              <w:rPr>
                <w:rFonts w:ascii="Verdana" w:hAnsi="Verdana"/>
                <w:sz w:val="20"/>
                <w:lang w:val="bg-BG"/>
              </w:rPr>
              <w:t>.</w:t>
            </w:r>
          </w:p>
          <w:p w:rsidR="00600F9A" w:rsidRPr="002D77F2" w:rsidRDefault="00600F9A" w:rsidP="00943126">
            <w:pPr>
              <w:pStyle w:val="ListParagraph"/>
              <w:numPr>
                <w:ilvl w:val="0"/>
                <w:numId w:val="4"/>
              </w:numPr>
              <w:spacing w:line="360" w:lineRule="auto"/>
              <w:ind w:left="0" w:firstLine="360"/>
              <w:jc w:val="both"/>
              <w:rPr>
                <w:rFonts w:ascii="Verdana" w:hAnsi="Verdana"/>
                <w:sz w:val="20"/>
                <w:lang w:val="bg-BG"/>
              </w:rPr>
            </w:pPr>
            <w:r w:rsidRPr="002D77F2">
              <w:rPr>
                <w:rFonts w:ascii="Verdana" w:hAnsi="Verdana"/>
                <w:color w:val="000000"/>
                <w:sz w:val="20"/>
                <w:lang w:val="bg-BG" w:eastAsia="bg-BG"/>
              </w:rPr>
              <w:lastRenderedPageBreak/>
              <w:t>Таксите, които се заплащат няма да покриват разходите, които се извършват за предоставяне на съответните услуги, разрешителни регистрации и други, което ще доведе до значително увеличаване на разходите по предоставянето им в сравнение с приходите.</w:t>
            </w:r>
          </w:p>
          <w:p w:rsidR="00600F9A" w:rsidRPr="002D77F2" w:rsidRDefault="00600F9A" w:rsidP="00943126">
            <w:pPr>
              <w:pStyle w:val="ListParagraph"/>
              <w:numPr>
                <w:ilvl w:val="0"/>
                <w:numId w:val="4"/>
              </w:numPr>
              <w:spacing w:line="360" w:lineRule="auto"/>
              <w:ind w:left="0" w:firstLine="360"/>
              <w:jc w:val="both"/>
              <w:rPr>
                <w:rFonts w:ascii="Verdana" w:hAnsi="Verdana"/>
                <w:sz w:val="20"/>
                <w:lang w:val="bg-BG"/>
              </w:rPr>
            </w:pPr>
            <w:r w:rsidRPr="002D77F2">
              <w:rPr>
                <w:rFonts w:ascii="Verdana" w:hAnsi="Verdana"/>
                <w:sz w:val="20"/>
                <w:lang w:val="bg-BG"/>
              </w:rPr>
              <w:t xml:space="preserve">Влошаване </w:t>
            </w:r>
            <w:r w:rsidR="002F297A" w:rsidRPr="002D77F2">
              <w:rPr>
                <w:rFonts w:ascii="Verdana" w:hAnsi="Verdana"/>
                <w:sz w:val="20"/>
                <w:lang w:val="bg-BG"/>
              </w:rPr>
              <w:t xml:space="preserve">на </w:t>
            </w:r>
            <w:r w:rsidRPr="002D77F2">
              <w:rPr>
                <w:rFonts w:ascii="Verdana" w:hAnsi="Verdana"/>
                <w:sz w:val="20"/>
                <w:lang w:val="bg-BG"/>
              </w:rPr>
              <w:t xml:space="preserve">процесите, свързани с маркиране на риболовните уреди, регистрация на лицата, които развъждат и отглеждат риба и други водни организми, издаване на разрешителни за стопански риболов и други. </w:t>
            </w:r>
          </w:p>
          <w:p w:rsidR="00446910" w:rsidRPr="002D77F2" w:rsidRDefault="00600F9A" w:rsidP="00935373">
            <w:pPr>
              <w:pStyle w:val="ListParagraph"/>
              <w:numPr>
                <w:ilvl w:val="0"/>
                <w:numId w:val="4"/>
              </w:numPr>
              <w:spacing w:before="120" w:after="120" w:line="360" w:lineRule="auto"/>
              <w:ind w:left="0" w:firstLine="360"/>
              <w:jc w:val="both"/>
              <w:rPr>
                <w:rFonts w:ascii="Verdana" w:hAnsi="Verdana"/>
                <w:sz w:val="20"/>
                <w:lang w:val="bg-BG"/>
              </w:rPr>
            </w:pPr>
            <w:r w:rsidRPr="002D77F2">
              <w:rPr>
                <w:rFonts w:ascii="Verdana" w:hAnsi="Verdana"/>
                <w:sz w:val="20"/>
                <w:lang w:val="bg-BG"/>
              </w:rPr>
              <w:t xml:space="preserve">Затрудняване на извършването на специфичен мониторинг и контрол при </w:t>
            </w:r>
            <w:proofErr w:type="spellStart"/>
            <w:r w:rsidRPr="002D77F2">
              <w:rPr>
                <w:rFonts w:ascii="Verdana" w:hAnsi="Verdana"/>
                <w:sz w:val="20"/>
                <w:lang w:val="bg-BG"/>
              </w:rPr>
              <w:t>улова</w:t>
            </w:r>
            <w:proofErr w:type="spellEnd"/>
            <w:r w:rsidRPr="002D77F2">
              <w:rPr>
                <w:rFonts w:ascii="Verdana" w:hAnsi="Verdana"/>
                <w:sz w:val="20"/>
                <w:lang w:val="bg-BG"/>
              </w:rPr>
              <w:t xml:space="preserve"> на калкан, включващ редица допълнителни условия, в сравнение с </w:t>
            </w:r>
            <w:proofErr w:type="spellStart"/>
            <w:r w:rsidRPr="002D77F2">
              <w:rPr>
                <w:rFonts w:ascii="Verdana" w:hAnsi="Verdana"/>
                <w:sz w:val="20"/>
                <w:lang w:val="bg-BG"/>
              </w:rPr>
              <w:t>улова</w:t>
            </w:r>
            <w:proofErr w:type="spellEnd"/>
            <w:r w:rsidRPr="002D77F2">
              <w:rPr>
                <w:rFonts w:ascii="Verdana" w:hAnsi="Verdana"/>
                <w:sz w:val="20"/>
                <w:lang w:val="bg-BG"/>
              </w:rPr>
              <w:t xml:space="preserve"> на останалите видове риба и други водни организми. В Националния план за контрол в рибарството са заложени целеви показатели за инспекция и контрол, които с всяка изминала година стават все по-високи и тяхното достигане е от съществено значение, с оглед изпълнението на плана за контрол. Сегашния размер на таксите не е достатъчен за достигане на целевите показатели заложени в националния план за контрол в рибарството за 2016 г. В сравнение с 2014 г. и 2015 г. са заложени по-високи критерии при специфичния мониторинг и контрол. Увеличено е както времетраенето така и броя на съвместните инспекции с други национални и чуждестранни институции. Неприемането на предвиденото увеличение на размера на таксата ще доведе до затрудняване на изпълнението на поетите ангажименти.</w:t>
            </w:r>
          </w:p>
          <w:p w:rsidR="00446910" w:rsidRPr="002D77F2" w:rsidRDefault="00446910" w:rsidP="00867180">
            <w:pPr>
              <w:spacing w:before="200" w:line="360" w:lineRule="auto"/>
              <w:ind w:firstLine="709"/>
              <w:rPr>
                <w:rFonts w:ascii="Verdana" w:hAnsi="Verdana"/>
                <w:b/>
                <w:sz w:val="20"/>
                <w:lang w:val="bg-BG"/>
              </w:rPr>
            </w:pPr>
            <w:r w:rsidRPr="002D77F2">
              <w:rPr>
                <w:rFonts w:ascii="Verdana" w:hAnsi="Verdana"/>
                <w:b/>
                <w:sz w:val="20"/>
                <w:lang w:val="bg-BG"/>
              </w:rPr>
              <w:t>Вариант за действие 2 „Приемане на Тарифата“</w:t>
            </w:r>
          </w:p>
          <w:p w:rsidR="00446910" w:rsidRPr="002D77F2" w:rsidRDefault="00446910" w:rsidP="00867180">
            <w:pPr>
              <w:spacing w:line="360" w:lineRule="auto"/>
              <w:rPr>
                <w:rFonts w:ascii="Verdana" w:hAnsi="Verdana"/>
                <w:sz w:val="20"/>
                <w:lang w:val="bg-BG"/>
              </w:rPr>
            </w:pPr>
            <w:r w:rsidRPr="002D77F2">
              <w:rPr>
                <w:rFonts w:ascii="Verdana" w:hAnsi="Verdana"/>
                <w:sz w:val="20"/>
                <w:lang w:val="bg-BG"/>
              </w:rPr>
              <w:t>Приемането на този вариант ще доведе до:</w:t>
            </w:r>
          </w:p>
          <w:p w:rsidR="008804BD" w:rsidRPr="002D77F2" w:rsidRDefault="008804BD" w:rsidP="00867180">
            <w:pPr>
              <w:pStyle w:val="ListParagraph"/>
              <w:numPr>
                <w:ilvl w:val="0"/>
                <w:numId w:val="4"/>
              </w:numPr>
              <w:spacing w:line="360" w:lineRule="auto"/>
              <w:ind w:left="0" w:firstLine="360"/>
              <w:jc w:val="both"/>
              <w:rPr>
                <w:rFonts w:ascii="Verdana" w:hAnsi="Verdana"/>
                <w:sz w:val="20"/>
                <w:lang w:val="bg-BG"/>
              </w:rPr>
            </w:pPr>
            <w:r w:rsidRPr="002D77F2">
              <w:rPr>
                <w:rFonts w:ascii="Verdana" w:hAnsi="Verdana"/>
                <w:sz w:val="20"/>
                <w:lang w:val="bg-BG" w:eastAsia="bg-BG"/>
              </w:rPr>
              <w:t xml:space="preserve">Преодоляване на настъпилите инфлационни процеси през годините, които дават отражение върху себестойността на предоставяните услуги. </w:t>
            </w:r>
          </w:p>
          <w:p w:rsidR="007161A6" w:rsidRPr="002D77F2" w:rsidRDefault="00233C13" w:rsidP="00943126">
            <w:pPr>
              <w:pStyle w:val="ListParagraph"/>
              <w:numPr>
                <w:ilvl w:val="0"/>
                <w:numId w:val="4"/>
              </w:numPr>
              <w:spacing w:before="120" w:after="120" w:line="360" w:lineRule="auto"/>
              <w:ind w:left="0" w:firstLine="360"/>
              <w:jc w:val="both"/>
              <w:rPr>
                <w:rFonts w:ascii="Verdana" w:hAnsi="Verdana"/>
                <w:sz w:val="20"/>
                <w:lang w:val="bg-BG"/>
              </w:rPr>
            </w:pPr>
            <w:r w:rsidRPr="002D77F2">
              <w:rPr>
                <w:rFonts w:ascii="Verdana" w:hAnsi="Verdana"/>
                <w:sz w:val="20"/>
                <w:lang w:val="bg-BG"/>
              </w:rPr>
              <w:t>П</w:t>
            </w:r>
            <w:r w:rsidR="00322686" w:rsidRPr="002D77F2">
              <w:rPr>
                <w:rFonts w:ascii="Verdana" w:hAnsi="Verdana"/>
                <w:sz w:val="20"/>
                <w:lang w:val="bg-BG"/>
              </w:rPr>
              <w:t>редостав</w:t>
            </w:r>
            <w:r w:rsidRPr="002D77F2">
              <w:rPr>
                <w:rFonts w:ascii="Verdana" w:hAnsi="Verdana"/>
                <w:sz w:val="20"/>
                <w:lang w:val="bg-BG"/>
              </w:rPr>
              <w:t>яне на</w:t>
            </w:r>
            <w:r w:rsidR="00322686" w:rsidRPr="002D77F2">
              <w:rPr>
                <w:rFonts w:ascii="Verdana" w:hAnsi="Verdana"/>
                <w:sz w:val="20"/>
                <w:lang w:val="bg-BG"/>
              </w:rPr>
              <w:t xml:space="preserve"> марки, които </w:t>
            </w:r>
            <w:r w:rsidRPr="002D77F2">
              <w:rPr>
                <w:rFonts w:ascii="Verdana" w:hAnsi="Verdana"/>
                <w:sz w:val="20"/>
                <w:lang w:val="bg-BG"/>
              </w:rPr>
              <w:t xml:space="preserve">да </w:t>
            </w:r>
            <w:r w:rsidR="00322686" w:rsidRPr="002D77F2">
              <w:rPr>
                <w:rFonts w:ascii="Verdana" w:hAnsi="Verdana"/>
                <w:sz w:val="20"/>
                <w:lang w:val="bg-BG"/>
              </w:rPr>
              <w:t xml:space="preserve">позволяват устойчивото им закрепване на риболовните уреди и материалът от който са направени да издържа на корозия и неблагоприятни морски условия. Номерът на марката </w:t>
            </w:r>
            <w:r w:rsidRPr="002D77F2">
              <w:rPr>
                <w:rFonts w:ascii="Verdana" w:hAnsi="Verdana"/>
                <w:sz w:val="20"/>
                <w:lang w:val="bg-BG"/>
              </w:rPr>
              <w:t>да бъде</w:t>
            </w:r>
            <w:r w:rsidR="00322686" w:rsidRPr="002D77F2">
              <w:rPr>
                <w:rFonts w:ascii="Verdana" w:hAnsi="Verdana"/>
                <w:sz w:val="20"/>
                <w:lang w:val="bg-BG"/>
              </w:rPr>
              <w:t xml:space="preserve"> по-ясно различим и </w:t>
            </w:r>
            <w:r w:rsidRPr="002D77F2">
              <w:rPr>
                <w:rFonts w:ascii="Verdana" w:hAnsi="Verdana"/>
                <w:sz w:val="20"/>
                <w:lang w:val="bg-BG"/>
              </w:rPr>
              <w:t xml:space="preserve">да </w:t>
            </w:r>
            <w:r w:rsidR="00322686" w:rsidRPr="002D77F2">
              <w:rPr>
                <w:rFonts w:ascii="Verdana" w:hAnsi="Verdana"/>
                <w:sz w:val="20"/>
                <w:lang w:val="bg-BG"/>
              </w:rPr>
              <w:t xml:space="preserve">позволява по-лесно разпознаване при </w:t>
            </w:r>
            <w:proofErr w:type="spellStart"/>
            <w:r w:rsidR="00322686" w:rsidRPr="002D77F2">
              <w:rPr>
                <w:rFonts w:ascii="Verdana" w:hAnsi="Verdana"/>
                <w:sz w:val="20"/>
                <w:lang w:val="bg-BG"/>
              </w:rPr>
              <w:t>последващия</w:t>
            </w:r>
            <w:proofErr w:type="spellEnd"/>
            <w:r w:rsidR="00322686" w:rsidRPr="002D77F2">
              <w:rPr>
                <w:rFonts w:ascii="Verdana" w:hAnsi="Verdana"/>
                <w:sz w:val="20"/>
                <w:lang w:val="bg-BG"/>
              </w:rPr>
              <w:t xml:space="preserve"> контрол от страна на ИАРА. Предложения размер на таксата съответства на себестойността на предоставяната марка.</w:t>
            </w:r>
            <w:r w:rsidR="009A5E11" w:rsidRPr="002D77F2">
              <w:rPr>
                <w:rFonts w:ascii="Verdana" w:hAnsi="Verdana"/>
                <w:sz w:val="20"/>
                <w:lang w:val="bg-BG"/>
              </w:rPr>
              <w:t xml:space="preserve"> </w:t>
            </w:r>
          </w:p>
          <w:p w:rsidR="00AB68FD" w:rsidRPr="002D77F2" w:rsidRDefault="009A5E11" w:rsidP="00943126">
            <w:pPr>
              <w:pStyle w:val="ListParagraph"/>
              <w:numPr>
                <w:ilvl w:val="0"/>
                <w:numId w:val="4"/>
              </w:numPr>
              <w:spacing w:before="120" w:after="120" w:line="360" w:lineRule="auto"/>
              <w:ind w:left="0" w:firstLine="360"/>
              <w:jc w:val="both"/>
              <w:rPr>
                <w:rFonts w:ascii="Verdana" w:hAnsi="Verdana"/>
                <w:sz w:val="20"/>
                <w:lang w:val="bg-BG"/>
              </w:rPr>
            </w:pPr>
            <w:r w:rsidRPr="002D77F2">
              <w:rPr>
                <w:rFonts w:ascii="Verdana" w:eastAsia="Calibri" w:hAnsi="Verdana"/>
                <w:sz w:val="20"/>
                <w:lang w:val="bg-BG" w:eastAsia="bg-BG"/>
              </w:rPr>
              <w:t xml:space="preserve">Отделяне на </w:t>
            </w:r>
            <w:proofErr w:type="spellStart"/>
            <w:r w:rsidRPr="002D77F2">
              <w:rPr>
                <w:rFonts w:ascii="Verdana" w:eastAsia="Calibri" w:hAnsi="Verdana"/>
                <w:sz w:val="20"/>
                <w:lang w:val="bg-BG" w:eastAsia="bg-BG"/>
              </w:rPr>
              <w:t>винтерите</w:t>
            </w:r>
            <w:proofErr w:type="spellEnd"/>
            <w:r w:rsidRPr="002D77F2">
              <w:rPr>
                <w:rFonts w:ascii="Verdana" w:eastAsia="Calibri" w:hAnsi="Verdana"/>
                <w:sz w:val="20"/>
                <w:lang w:val="bg-BG" w:eastAsia="bg-BG"/>
              </w:rPr>
              <w:t xml:space="preserve"> като използван риболовен уред</w:t>
            </w:r>
            <w:r w:rsidR="007161A6" w:rsidRPr="002D77F2">
              <w:rPr>
                <w:rFonts w:ascii="Verdana" w:eastAsia="Calibri" w:hAnsi="Verdana"/>
                <w:sz w:val="20"/>
                <w:lang w:val="bg-BG" w:eastAsia="bg-BG"/>
              </w:rPr>
              <w:t>,</w:t>
            </w:r>
            <w:r w:rsidRPr="002D77F2">
              <w:rPr>
                <w:rFonts w:ascii="Verdana" w:eastAsia="Calibri" w:hAnsi="Verdana"/>
                <w:sz w:val="20"/>
                <w:lang w:val="bg-BG" w:eastAsia="bg-BG"/>
              </w:rPr>
              <w:t xml:space="preserve"> ще даде възможност на риболовците, желаещи да използват само този уред да заплащат съответната такса, без обвързващото задължение да се заплати правото за използване на „риболовни уреди по т. „а” и „б” и с други  разрешени уреди</w:t>
            </w:r>
            <w:r w:rsidR="007161A6" w:rsidRPr="002D77F2">
              <w:rPr>
                <w:rFonts w:ascii="Verdana" w:eastAsia="Calibri" w:hAnsi="Verdana"/>
                <w:sz w:val="20"/>
                <w:lang w:val="bg-BG" w:eastAsia="bg-BG"/>
              </w:rPr>
              <w:t>. П</w:t>
            </w:r>
            <w:r w:rsidR="00AB68FD" w:rsidRPr="002D77F2">
              <w:rPr>
                <w:rFonts w:ascii="Verdana" w:eastAsia="Calibri" w:hAnsi="Verdana"/>
                <w:sz w:val="20"/>
                <w:lang w:val="bg-BG" w:eastAsia="bg-BG"/>
              </w:rPr>
              <w:t xml:space="preserve">редложението за разграничение ще постави сходни условия по отношение на стопанския риболов с </w:t>
            </w:r>
            <w:proofErr w:type="spellStart"/>
            <w:r w:rsidR="00AB68FD" w:rsidRPr="002D77F2">
              <w:rPr>
                <w:rFonts w:ascii="Verdana" w:eastAsia="Calibri" w:hAnsi="Verdana"/>
                <w:sz w:val="20"/>
                <w:lang w:val="bg-BG" w:eastAsia="bg-BG"/>
              </w:rPr>
              <w:t>винтери</w:t>
            </w:r>
            <w:proofErr w:type="spellEnd"/>
            <w:r w:rsidR="00AB68FD" w:rsidRPr="002D77F2">
              <w:rPr>
                <w:rFonts w:ascii="Verdana" w:eastAsia="Calibri" w:hAnsi="Verdana"/>
                <w:sz w:val="20"/>
                <w:lang w:val="bg-BG" w:eastAsia="bg-BG"/>
              </w:rPr>
              <w:t>, който се използва за риболов както в река Дунав така и в Черно море.</w:t>
            </w:r>
          </w:p>
          <w:p w:rsidR="009A5E11" w:rsidRPr="002D77F2" w:rsidRDefault="00423615" w:rsidP="00943126">
            <w:pPr>
              <w:pStyle w:val="ListParagraph"/>
              <w:numPr>
                <w:ilvl w:val="0"/>
                <w:numId w:val="4"/>
              </w:numPr>
              <w:spacing w:before="120" w:after="120" w:line="360" w:lineRule="auto"/>
              <w:ind w:left="0" w:firstLine="360"/>
              <w:jc w:val="both"/>
              <w:rPr>
                <w:rFonts w:ascii="Verdana" w:hAnsi="Verdana"/>
                <w:sz w:val="20"/>
                <w:lang w:val="bg-BG"/>
              </w:rPr>
            </w:pPr>
            <w:r w:rsidRPr="002D77F2">
              <w:rPr>
                <w:rFonts w:ascii="Verdana" w:hAnsi="Verdana"/>
                <w:sz w:val="20"/>
                <w:lang w:val="bg-BG"/>
              </w:rPr>
              <w:t xml:space="preserve">Чрез добавяне на текста „без риболовен уред се събира такса по реда и </w:t>
            </w:r>
            <w:r w:rsidRPr="002D77F2">
              <w:rPr>
                <w:rFonts w:ascii="Verdana" w:hAnsi="Verdana"/>
                <w:sz w:val="20"/>
                <w:lang w:val="bg-BG"/>
              </w:rPr>
              <w:lastRenderedPageBreak/>
              <w:t xml:space="preserve">условията на чл. 7 ще се избегне възможността за усвояване на определен ресурс да се заплаща повече от една такса, както и ще се избегне възможността да се извършва </w:t>
            </w:r>
            <w:proofErr w:type="spellStart"/>
            <w:r w:rsidRPr="002D77F2">
              <w:rPr>
                <w:rFonts w:ascii="Verdana" w:hAnsi="Verdana"/>
                <w:sz w:val="20"/>
                <w:lang w:val="bg-BG"/>
              </w:rPr>
              <w:t>улов</w:t>
            </w:r>
            <w:proofErr w:type="spellEnd"/>
            <w:r w:rsidRPr="002D77F2">
              <w:rPr>
                <w:rFonts w:ascii="Verdana" w:hAnsi="Verdana"/>
                <w:sz w:val="20"/>
                <w:lang w:val="bg-BG"/>
              </w:rPr>
              <w:t xml:space="preserve"> на водни организми чрез заплащане правото за усвояване на ресурса, а реално да се използва риболовен уред, за чието използване таксата е по-голяма.</w:t>
            </w:r>
            <w:r w:rsidR="003A337F" w:rsidRPr="002D77F2">
              <w:rPr>
                <w:rFonts w:ascii="Verdana" w:hAnsi="Verdana"/>
                <w:sz w:val="20"/>
                <w:lang w:val="bg-BG"/>
              </w:rPr>
              <w:t xml:space="preserve"> </w:t>
            </w:r>
          </w:p>
          <w:p w:rsidR="003A337F" w:rsidRPr="002D77F2" w:rsidRDefault="00001B77" w:rsidP="00943126">
            <w:pPr>
              <w:pStyle w:val="ListParagraph"/>
              <w:numPr>
                <w:ilvl w:val="0"/>
                <w:numId w:val="4"/>
              </w:numPr>
              <w:spacing w:before="120" w:after="120" w:line="360" w:lineRule="auto"/>
              <w:ind w:left="0" w:firstLine="360"/>
              <w:jc w:val="both"/>
              <w:rPr>
                <w:rFonts w:ascii="Verdana" w:hAnsi="Verdana"/>
                <w:sz w:val="20"/>
                <w:lang w:val="bg-BG"/>
              </w:rPr>
            </w:pPr>
            <w:r w:rsidRPr="002D77F2">
              <w:rPr>
                <w:rFonts w:ascii="Verdana" w:eastAsia="Calibri" w:hAnsi="Verdana"/>
                <w:sz w:val="20"/>
                <w:lang w:val="bg-BG" w:eastAsia="bg-BG"/>
              </w:rPr>
              <w:t xml:space="preserve">Преодоляване на недостатъците при определяне на таксите за издаване на специално разрешително за </w:t>
            </w:r>
            <w:proofErr w:type="spellStart"/>
            <w:r w:rsidRPr="002D77F2">
              <w:rPr>
                <w:rFonts w:ascii="Verdana" w:eastAsia="Calibri" w:hAnsi="Verdana"/>
                <w:sz w:val="20"/>
                <w:lang w:val="bg-BG" w:eastAsia="bg-BG"/>
              </w:rPr>
              <w:t>улов</w:t>
            </w:r>
            <w:proofErr w:type="spellEnd"/>
            <w:r w:rsidRPr="002D77F2">
              <w:rPr>
                <w:rFonts w:ascii="Verdana" w:eastAsia="Calibri" w:hAnsi="Verdana"/>
                <w:sz w:val="20"/>
                <w:lang w:val="bg-BG" w:eastAsia="bg-BG"/>
              </w:rPr>
              <w:t xml:space="preserve"> на </w:t>
            </w:r>
            <w:proofErr w:type="spellStart"/>
            <w:r w:rsidRPr="002D77F2">
              <w:rPr>
                <w:rFonts w:ascii="Verdana" w:eastAsia="Calibri" w:hAnsi="Verdana"/>
                <w:sz w:val="20"/>
                <w:lang w:val="bg-BG" w:eastAsia="bg-BG"/>
              </w:rPr>
              <w:t>квотиран</w:t>
            </w:r>
            <w:proofErr w:type="spellEnd"/>
            <w:r w:rsidRPr="002D77F2">
              <w:rPr>
                <w:rFonts w:ascii="Verdana" w:eastAsia="Calibri" w:hAnsi="Verdana"/>
                <w:sz w:val="20"/>
                <w:lang w:val="bg-BG" w:eastAsia="bg-BG"/>
              </w:rPr>
              <w:t xml:space="preserve"> вид риба и прецизно изпълнение на ангажиментите на Република България при </w:t>
            </w:r>
            <w:r w:rsidRPr="002D77F2">
              <w:rPr>
                <w:rFonts w:ascii="Verdana" w:hAnsi="Verdana"/>
                <w:sz w:val="20"/>
                <w:lang w:val="bg-BG"/>
              </w:rPr>
              <w:t xml:space="preserve">извършването на специфичен мониторинг и контрол при </w:t>
            </w:r>
            <w:proofErr w:type="spellStart"/>
            <w:r w:rsidRPr="002D77F2">
              <w:rPr>
                <w:rFonts w:ascii="Verdana" w:hAnsi="Verdana"/>
                <w:sz w:val="20"/>
                <w:lang w:val="bg-BG"/>
              </w:rPr>
              <w:t>улова</w:t>
            </w:r>
            <w:proofErr w:type="spellEnd"/>
            <w:r w:rsidRPr="002D77F2">
              <w:rPr>
                <w:rFonts w:ascii="Verdana" w:hAnsi="Verdana"/>
                <w:sz w:val="20"/>
                <w:lang w:val="bg-BG"/>
              </w:rPr>
              <w:t xml:space="preserve"> на калкан, включващ редица допълнителни условия, в сравнение с </w:t>
            </w:r>
            <w:proofErr w:type="spellStart"/>
            <w:r w:rsidRPr="002D77F2">
              <w:rPr>
                <w:rFonts w:ascii="Verdana" w:hAnsi="Verdana"/>
                <w:sz w:val="20"/>
                <w:lang w:val="bg-BG"/>
              </w:rPr>
              <w:t>улова</w:t>
            </w:r>
            <w:proofErr w:type="spellEnd"/>
            <w:r w:rsidRPr="002D77F2">
              <w:rPr>
                <w:rFonts w:ascii="Verdana" w:hAnsi="Verdana"/>
                <w:sz w:val="20"/>
                <w:lang w:val="bg-BG"/>
              </w:rPr>
              <w:t xml:space="preserve"> на останалите видове риба и други водни организми. </w:t>
            </w:r>
          </w:p>
          <w:p w:rsidR="009D4EA2" w:rsidRPr="002D77F2" w:rsidRDefault="00FF2DA3" w:rsidP="00DD407D">
            <w:pPr>
              <w:pStyle w:val="ListParagraph"/>
              <w:numPr>
                <w:ilvl w:val="0"/>
                <w:numId w:val="4"/>
              </w:numPr>
              <w:spacing w:before="120" w:after="120" w:line="360" w:lineRule="auto"/>
              <w:ind w:left="0" w:firstLine="360"/>
              <w:jc w:val="both"/>
              <w:rPr>
                <w:rFonts w:ascii="Verdana" w:hAnsi="Verdana"/>
                <w:sz w:val="20"/>
                <w:lang w:val="bg-BG"/>
              </w:rPr>
            </w:pPr>
            <w:r w:rsidRPr="002D77F2">
              <w:rPr>
                <w:rFonts w:ascii="Verdana" w:eastAsia="Calibri" w:hAnsi="Verdana"/>
                <w:sz w:val="20"/>
                <w:lang w:val="bg-BG" w:eastAsia="bg-BG"/>
              </w:rPr>
              <w:t>П</w:t>
            </w:r>
            <w:r w:rsidR="006D7FED" w:rsidRPr="002D77F2">
              <w:rPr>
                <w:rFonts w:ascii="Verdana" w:eastAsia="Calibri" w:hAnsi="Verdana"/>
                <w:sz w:val="20"/>
                <w:lang w:val="bg-BG" w:eastAsia="bg-BG"/>
              </w:rPr>
              <w:t>окрива</w:t>
            </w:r>
            <w:r w:rsidRPr="002D77F2">
              <w:rPr>
                <w:rFonts w:ascii="Verdana" w:eastAsia="Calibri" w:hAnsi="Verdana"/>
                <w:sz w:val="20"/>
                <w:lang w:val="bg-BG" w:eastAsia="bg-BG"/>
              </w:rPr>
              <w:t>не на</w:t>
            </w:r>
            <w:r w:rsidR="006D7FED" w:rsidRPr="002D77F2">
              <w:rPr>
                <w:rFonts w:ascii="Verdana" w:eastAsia="Calibri" w:hAnsi="Verdana"/>
                <w:sz w:val="20"/>
                <w:lang w:val="bg-BG" w:eastAsia="bg-BG"/>
              </w:rPr>
              <w:t xml:space="preserve"> разходите, които се извършват за осъществяване на контрол, обработване на документи и регистрация на лицата, развъждащи риба и други водни организми</w:t>
            </w:r>
            <w:r w:rsidR="006752DC" w:rsidRPr="002D77F2">
              <w:rPr>
                <w:rFonts w:ascii="Verdana" w:eastAsia="Calibri" w:hAnsi="Verdana"/>
                <w:sz w:val="20"/>
                <w:lang w:val="bg-BG" w:eastAsia="bg-BG"/>
              </w:rPr>
              <w:t xml:space="preserve"> и други</w:t>
            </w:r>
            <w:r w:rsidR="006D7FED" w:rsidRPr="002D77F2">
              <w:rPr>
                <w:rFonts w:ascii="Verdana" w:eastAsia="Calibri" w:hAnsi="Verdana"/>
                <w:sz w:val="20"/>
                <w:lang w:val="bg-BG" w:eastAsia="bg-BG"/>
              </w:rPr>
              <w:t>.</w:t>
            </w:r>
          </w:p>
        </w:tc>
      </w:tr>
      <w:tr w:rsidR="009D4EA2" w:rsidRPr="002D77F2" w:rsidTr="002B5681">
        <w:tc>
          <w:tcPr>
            <w:tcW w:w="9184" w:type="dxa"/>
            <w:gridSpan w:val="2"/>
            <w:tcBorders>
              <w:top w:val="single" w:sz="18" w:space="0" w:color="auto"/>
              <w:left w:val="single" w:sz="18" w:space="0" w:color="auto"/>
              <w:bottom w:val="single" w:sz="18" w:space="0" w:color="auto"/>
              <w:right w:val="single" w:sz="18" w:space="0" w:color="auto"/>
            </w:tcBorders>
          </w:tcPr>
          <w:p w:rsidR="00233C13" w:rsidRPr="002D77F2" w:rsidRDefault="009D4EA2" w:rsidP="00943126">
            <w:pPr>
              <w:spacing w:line="360" w:lineRule="auto"/>
              <w:ind w:firstLine="142"/>
              <w:jc w:val="both"/>
              <w:rPr>
                <w:rFonts w:ascii="Verdana" w:hAnsi="Verdana"/>
                <w:b/>
                <w:sz w:val="20"/>
                <w:lang w:val="bg-BG"/>
              </w:rPr>
            </w:pPr>
            <w:r w:rsidRPr="002D77F2">
              <w:rPr>
                <w:rFonts w:ascii="Verdana" w:hAnsi="Verdana"/>
                <w:b/>
                <w:sz w:val="20"/>
                <w:lang w:val="bg-BG"/>
              </w:rPr>
              <w:lastRenderedPageBreak/>
              <w:t>5</w:t>
            </w:r>
            <w:r w:rsidR="00EF5980" w:rsidRPr="002D77F2">
              <w:rPr>
                <w:rFonts w:ascii="Verdana" w:hAnsi="Verdana"/>
                <w:b/>
                <w:sz w:val="20"/>
                <w:lang w:val="bg-BG"/>
              </w:rPr>
              <w:t>. Негативни въздействия:</w:t>
            </w:r>
            <w:r w:rsidR="00DD407D" w:rsidRPr="002D77F2">
              <w:rPr>
                <w:rFonts w:ascii="Verdana" w:hAnsi="Verdana"/>
                <w:i/>
                <w:sz w:val="20"/>
                <w:lang w:val="bg-BG"/>
              </w:rPr>
              <w:t xml:space="preserve"> Опишете качествено (при възможност – и количествено) всички значителни потенциални икономически, социални, екологични и други негативни въздействия за всеки един от вариантите, в т.ч. разходи (негативни въздействия) за идентифицираните заинтересовани страни в резултат на предприемане на действията. Пояснете кои разходи (негативни въздействия) се очаква да бъдат второстепенни и кои да са значителни.</w:t>
            </w:r>
          </w:p>
          <w:p w:rsidR="00233C13" w:rsidRPr="002D77F2" w:rsidRDefault="00233C13" w:rsidP="00595D1B">
            <w:pPr>
              <w:spacing w:line="360" w:lineRule="auto"/>
              <w:ind w:firstLine="709"/>
              <w:jc w:val="both"/>
              <w:rPr>
                <w:rFonts w:ascii="Verdana" w:hAnsi="Verdana"/>
                <w:b/>
                <w:sz w:val="20"/>
                <w:lang w:val="bg-BG"/>
              </w:rPr>
            </w:pPr>
            <w:r w:rsidRPr="002D77F2">
              <w:rPr>
                <w:rFonts w:ascii="Verdana" w:hAnsi="Verdana"/>
                <w:b/>
                <w:sz w:val="20"/>
                <w:lang w:val="bg-BG"/>
              </w:rPr>
              <w:t xml:space="preserve">Вариант за действие 1 „Без намеса“. </w:t>
            </w:r>
          </w:p>
          <w:p w:rsidR="007A45FA" w:rsidRPr="002D77F2" w:rsidRDefault="007A45FA" w:rsidP="00943126">
            <w:pPr>
              <w:spacing w:line="360" w:lineRule="auto"/>
              <w:ind w:firstLine="142"/>
              <w:jc w:val="both"/>
              <w:rPr>
                <w:rFonts w:ascii="Verdana" w:hAnsi="Verdana"/>
                <w:b/>
                <w:sz w:val="20"/>
                <w:lang w:val="bg-BG"/>
              </w:rPr>
            </w:pPr>
            <w:r w:rsidRPr="002D77F2">
              <w:rPr>
                <w:rFonts w:ascii="Verdana" w:eastAsiaTheme="minorHAnsi" w:hAnsi="Verdana"/>
                <w:b/>
                <w:sz w:val="20"/>
                <w:lang w:val="bg-BG"/>
              </w:rPr>
              <w:t>Икономически негативни въздействия</w:t>
            </w:r>
            <w:r w:rsidRPr="002D77F2">
              <w:rPr>
                <w:rFonts w:ascii="Verdana" w:eastAsiaTheme="minorHAnsi" w:hAnsi="Verdana"/>
                <w:sz w:val="20"/>
                <w:lang w:val="bg-BG"/>
              </w:rPr>
              <w:t>:</w:t>
            </w:r>
          </w:p>
          <w:p w:rsidR="00A576CC" w:rsidRPr="002D77F2" w:rsidRDefault="00C56F69" w:rsidP="00943126">
            <w:pPr>
              <w:pStyle w:val="ListParagraph"/>
              <w:numPr>
                <w:ilvl w:val="0"/>
                <w:numId w:val="4"/>
              </w:numPr>
              <w:spacing w:line="360" w:lineRule="auto"/>
              <w:ind w:left="0" w:firstLine="360"/>
              <w:jc w:val="both"/>
              <w:rPr>
                <w:rFonts w:ascii="Verdana" w:hAnsi="Verdana"/>
                <w:sz w:val="20"/>
                <w:lang w:val="bg-BG"/>
              </w:rPr>
            </w:pPr>
            <w:r w:rsidRPr="002D77F2">
              <w:rPr>
                <w:rFonts w:ascii="Verdana" w:hAnsi="Verdana"/>
                <w:sz w:val="20"/>
                <w:lang w:val="bg-BG"/>
              </w:rPr>
              <w:t>Без приемане на измененията в Тарифата ще се достигне до влошаване процесите, свързани с маркиране на риболовните уреди, регистрация на лицата, които развъждат и отглеждат риба и други водни организми, издаване на разрешителни за стопански риболов и други.</w:t>
            </w:r>
          </w:p>
          <w:p w:rsidR="00EF5980" w:rsidRPr="002D77F2" w:rsidRDefault="00C81EAD" w:rsidP="00943126">
            <w:pPr>
              <w:pStyle w:val="ListParagraph"/>
              <w:numPr>
                <w:ilvl w:val="0"/>
                <w:numId w:val="4"/>
              </w:numPr>
              <w:spacing w:line="360" w:lineRule="auto"/>
              <w:ind w:left="0" w:firstLine="360"/>
              <w:jc w:val="both"/>
              <w:rPr>
                <w:rFonts w:ascii="Verdana" w:hAnsi="Verdana"/>
                <w:sz w:val="20"/>
                <w:lang w:val="bg-BG"/>
              </w:rPr>
            </w:pPr>
            <w:r w:rsidRPr="002D77F2">
              <w:rPr>
                <w:rFonts w:ascii="Verdana" w:hAnsi="Verdana"/>
                <w:sz w:val="20"/>
                <w:lang w:val="bg-BG"/>
              </w:rPr>
              <w:t>З</w:t>
            </w:r>
            <w:r w:rsidR="00EF5980" w:rsidRPr="002D77F2">
              <w:rPr>
                <w:rFonts w:ascii="Verdana" w:hAnsi="Verdana"/>
                <w:sz w:val="20"/>
                <w:lang w:val="bg-BG"/>
              </w:rPr>
              <w:t>начително ще се затрудни извършването на специфичен мониторинг и контрол</w:t>
            </w:r>
            <w:r w:rsidR="00A576CC" w:rsidRPr="002D77F2">
              <w:rPr>
                <w:rFonts w:ascii="Verdana" w:hAnsi="Verdana"/>
                <w:sz w:val="20"/>
                <w:lang w:val="bg-BG"/>
              </w:rPr>
              <w:t xml:space="preserve"> при </w:t>
            </w:r>
            <w:proofErr w:type="spellStart"/>
            <w:r w:rsidR="00A576CC" w:rsidRPr="002D77F2">
              <w:rPr>
                <w:rFonts w:ascii="Verdana" w:hAnsi="Verdana"/>
                <w:sz w:val="20"/>
                <w:lang w:val="bg-BG"/>
              </w:rPr>
              <w:t>улова</w:t>
            </w:r>
            <w:proofErr w:type="spellEnd"/>
            <w:r w:rsidR="00A576CC" w:rsidRPr="002D77F2">
              <w:rPr>
                <w:rFonts w:ascii="Verdana" w:hAnsi="Verdana"/>
                <w:sz w:val="20"/>
                <w:lang w:val="bg-BG"/>
              </w:rPr>
              <w:t xml:space="preserve"> на калкан</w:t>
            </w:r>
            <w:r w:rsidR="00EF5980" w:rsidRPr="002D77F2">
              <w:rPr>
                <w:rFonts w:ascii="Verdana" w:hAnsi="Verdana"/>
                <w:sz w:val="20"/>
                <w:lang w:val="bg-BG"/>
              </w:rPr>
              <w:t xml:space="preserve">, включващ редица допълнителни условия, в сравнение с </w:t>
            </w:r>
            <w:proofErr w:type="spellStart"/>
            <w:r w:rsidR="00EF5980" w:rsidRPr="002D77F2">
              <w:rPr>
                <w:rFonts w:ascii="Verdana" w:hAnsi="Verdana"/>
                <w:sz w:val="20"/>
                <w:lang w:val="bg-BG"/>
              </w:rPr>
              <w:t>улова</w:t>
            </w:r>
            <w:proofErr w:type="spellEnd"/>
            <w:r w:rsidR="00EF5980" w:rsidRPr="002D77F2">
              <w:rPr>
                <w:rFonts w:ascii="Verdana" w:hAnsi="Verdana"/>
                <w:sz w:val="20"/>
                <w:lang w:val="bg-BG"/>
              </w:rPr>
              <w:t xml:space="preserve"> на останалите видове риба и други водни организми. В Националния план за контрол в рибарството са заложени целеви показатели за инспекция и контрол, които с всяка изминала година стават все по-високи и тяхното достигане е от съществено значение, с оглед изпълнението на плана за контрол. Сегашния размер на таксите не е достатъчен за достигане на целевите показатели заложени в националния план за контрол в рибарството за 2016 г. В сравнение с 2014 г. и 2015 г. са заложени по-високи критерии при специфичния мониторинг и контрол. Увеличено е както времетраенето така и броя на съвместните инспекции с други национални и чуждестранни институции. </w:t>
            </w:r>
            <w:r w:rsidR="00EF5980" w:rsidRPr="002D77F2">
              <w:rPr>
                <w:rFonts w:ascii="Verdana" w:hAnsi="Verdana"/>
                <w:sz w:val="20"/>
                <w:lang w:val="bg-BG"/>
              </w:rPr>
              <w:lastRenderedPageBreak/>
              <w:t>Неприемането на предвиденото увеличение на размера на таксата ще доведе до затрудняване на изпълнението на поетите ангажименти</w:t>
            </w:r>
            <w:r w:rsidR="00A576CC" w:rsidRPr="002D77F2">
              <w:rPr>
                <w:rFonts w:ascii="Verdana" w:hAnsi="Verdana"/>
                <w:sz w:val="20"/>
                <w:lang w:val="bg-BG"/>
              </w:rPr>
              <w:t xml:space="preserve">. </w:t>
            </w:r>
          </w:p>
          <w:p w:rsidR="00A576CC" w:rsidRPr="002D77F2" w:rsidRDefault="00A576CC" w:rsidP="00943126">
            <w:pPr>
              <w:pStyle w:val="ListParagraph"/>
              <w:numPr>
                <w:ilvl w:val="0"/>
                <w:numId w:val="4"/>
              </w:numPr>
              <w:spacing w:line="360" w:lineRule="auto"/>
              <w:ind w:left="0" w:firstLine="360"/>
              <w:jc w:val="both"/>
              <w:rPr>
                <w:rFonts w:ascii="Verdana" w:hAnsi="Verdana"/>
                <w:sz w:val="20"/>
                <w:lang w:val="bg-BG"/>
              </w:rPr>
            </w:pPr>
            <w:r w:rsidRPr="002D77F2">
              <w:rPr>
                <w:rFonts w:ascii="Verdana" w:hAnsi="Verdana"/>
                <w:sz w:val="20"/>
                <w:lang w:val="bg-BG"/>
              </w:rPr>
              <w:t xml:space="preserve">Липса на такса за издаване на разрешително за </w:t>
            </w:r>
            <w:proofErr w:type="spellStart"/>
            <w:r w:rsidRPr="002D77F2">
              <w:rPr>
                <w:rFonts w:ascii="Verdana" w:hAnsi="Verdana"/>
                <w:sz w:val="20"/>
                <w:lang w:val="bg-BG"/>
              </w:rPr>
              <w:t>улов</w:t>
            </w:r>
            <w:proofErr w:type="spellEnd"/>
            <w:r w:rsidRPr="002D77F2">
              <w:rPr>
                <w:rFonts w:ascii="Verdana" w:hAnsi="Verdana"/>
                <w:sz w:val="20"/>
                <w:lang w:val="bg-BG"/>
              </w:rPr>
              <w:t xml:space="preserve"> на риба и други водни организми с научноизследователски цели, която е предвидена в чл. 40, ал. 18 от ЗРА. Не е възможно проблемът да бъде разрешен в съществуващото законодателство, тъй като такава уредба предвиждаща заплащане на конкретна такса не е предвидена в тарифата. </w:t>
            </w:r>
          </w:p>
          <w:p w:rsidR="00C81EAD" w:rsidRPr="002D77F2" w:rsidRDefault="00C81EAD" w:rsidP="00943126">
            <w:pPr>
              <w:pStyle w:val="ListParagraph"/>
              <w:numPr>
                <w:ilvl w:val="0"/>
                <w:numId w:val="4"/>
              </w:numPr>
              <w:spacing w:line="360" w:lineRule="auto"/>
              <w:ind w:left="0" w:firstLine="360"/>
              <w:jc w:val="both"/>
              <w:rPr>
                <w:rFonts w:ascii="Verdana" w:hAnsi="Verdana"/>
                <w:sz w:val="20"/>
                <w:lang w:val="bg-BG"/>
              </w:rPr>
            </w:pPr>
            <w:r w:rsidRPr="002D77F2">
              <w:rPr>
                <w:rFonts w:ascii="Verdana" w:hAnsi="Verdana"/>
                <w:sz w:val="20"/>
                <w:lang w:val="bg-BG"/>
              </w:rPr>
              <w:t xml:space="preserve">Невъзможност за синхронизиране на част от разпоредбите на Тарифата със Закона за рибарството и </w:t>
            </w:r>
            <w:proofErr w:type="spellStart"/>
            <w:r w:rsidRPr="002D77F2">
              <w:rPr>
                <w:rFonts w:ascii="Verdana" w:hAnsi="Verdana"/>
                <w:sz w:val="20"/>
                <w:lang w:val="bg-BG"/>
              </w:rPr>
              <w:t>аквакултурите</w:t>
            </w:r>
            <w:proofErr w:type="spellEnd"/>
            <w:r w:rsidRPr="002D77F2">
              <w:rPr>
                <w:rFonts w:ascii="Verdana" w:hAnsi="Verdana"/>
                <w:sz w:val="20"/>
                <w:lang w:val="bg-BG"/>
              </w:rPr>
              <w:t>.</w:t>
            </w:r>
          </w:p>
          <w:p w:rsidR="00814AB9" w:rsidRPr="002D77F2" w:rsidRDefault="00C81EAD" w:rsidP="00943126">
            <w:pPr>
              <w:pStyle w:val="ListParagraph"/>
              <w:numPr>
                <w:ilvl w:val="0"/>
                <w:numId w:val="4"/>
              </w:numPr>
              <w:spacing w:line="360" w:lineRule="auto"/>
              <w:ind w:left="0" w:firstLine="360"/>
              <w:jc w:val="both"/>
              <w:rPr>
                <w:rFonts w:ascii="Verdana" w:hAnsi="Verdana"/>
                <w:sz w:val="20"/>
                <w:lang w:val="bg-BG"/>
              </w:rPr>
            </w:pPr>
            <w:r w:rsidRPr="002D77F2">
              <w:rPr>
                <w:rFonts w:ascii="Verdana" w:hAnsi="Verdana"/>
                <w:color w:val="000000"/>
                <w:sz w:val="20"/>
                <w:lang w:val="bg-BG" w:eastAsia="bg-BG"/>
              </w:rPr>
              <w:t>Таксите, които се заплащат няма да покриват разходите, които се извършват за предоставяне на съответните услуги, разрешителни</w:t>
            </w:r>
            <w:r w:rsidR="002F297A" w:rsidRPr="002D77F2">
              <w:rPr>
                <w:rFonts w:ascii="Verdana" w:hAnsi="Verdana"/>
                <w:color w:val="000000"/>
                <w:sz w:val="20"/>
                <w:lang w:val="bg-BG" w:eastAsia="bg-BG"/>
              </w:rPr>
              <w:t>,</w:t>
            </w:r>
            <w:r w:rsidRPr="002D77F2">
              <w:rPr>
                <w:rFonts w:ascii="Verdana" w:hAnsi="Verdana"/>
                <w:color w:val="000000"/>
                <w:sz w:val="20"/>
                <w:lang w:val="bg-BG" w:eastAsia="bg-BG"/>
              </w:rPr>
              <w:t xml:space="preserve"> регистрации и други</w:t>
            </w:r>
            <w:r w:rsidR="00814AB9" w:rsidRPr="002D77F2">
              <w:rPr>
                <w:rFonts w:ascii="Verdana" w:hAnsi="Verdana"/>
                <w:color w:val="000000"/>
                <w:sz w:val="20"/>
                <w:lang w:val="bg-BG" w:eastAsia="bg-BG"/>
              </w:rPr>
              <w:t xml:space="preserve">. </w:t>
            </w:r>
          </w:p>
          <w:p w:rsidR="003A337F" w:rsidRPr="002D77F2" w:rsidRDefault="003A337F" w:rsidP="00943126">
            <w:pPr>
              <w:pStyle w:val="ListParagraph"/>
              <w:numPr>
                <w:ilvl w:val="0"/>
                <w:numId w:val="4"/>
              </w:numPr>
              <w:spacing w:line="360" w:lineRule="auto"/>
              <w:ind w:left="0" w:firstLine="360"/>
              <w:jc w:val="both"/>
              <w:rPr>
                <w:rFonts w:ascii="Verdana" w:hAnsi="Verdana"/>
                <w:sz w:val="20"/>
                <w:lang w:val="bg-BG"/>
              </w:rPr>
            </w:pPr>
            <w:r w:rsidRPr="002D77F2">
              <w:rPr>
                <w:rFonts w:ascii="Verdana" w:hAnsi="Verdana"/>
                <w:sz w:val="20"/>
                <w:lang w:val="bg-BG" w:eastAsia="bg-BG"/>
              </w:rPr>
              <w:t xml:space="preserve">В чл. 7, т. 2 е заложено да се заплаща такса в размер на 300 лв. за придобиване на право на стопански </w:t>
            </w:r>
            <w:proofErr w:type="spellStart"/>
            <w:r w:rsidRPr="002D77F2">
              <w:rPr>
                <w:rFonts w:ascii="Verdana" w:hAnsi="Verdana"/>
                <w:sz w:val="20"/>
                <w:lang w:val="bg-BG" w:eastAsia="bg-BG"/>
              </w:rPr>
              <w:t>улов</w:t>
            </w:r>
            <w:proofErr w:type="spellEnd"/>
            <w:r w:rsidRPr="002D77F2">
              <w:rPr>
                <w:rFonts w:ascii="Verdana" w:hAnsi="Verdana"/>
                <w:sz w:val="20"/>
                <w:lang w:val="bg-BG" w:eastAsia="bg-BG"/>
              </w:rPr>
              <w:t xml:space="preserve"> на миди и скариди. Така поставената такса на услугата унифицира </w:t>
            </w:r>
            <w:proofErr w:type="spellStart"/>
            <w:r w:rsidRPr="002D77F2">
              <w:rPr>
                <w:rFonts w:ascii="Verdana" w:hAnsi="Verdana"/>
                <w:sz w:val="20"/>
                <w:lang w:val="bg-BG" w:eastAsia="bg-BG"/>
              </w:rPr>
              <w:t>улова</w:t>
            </w:r>
            <w:proofErr w:type="spellEnd"/>
            <w:r w:rsidRPr="002D77F2">
              <w:rPr>
                <w:rFonts w:ascii="Verdana" w:hAnsi="Verdana"/>
                <w:sz w:val="20"/>
                <w:lang w:val="bg-BG" w:eastAsia="bg-BG"/>
              </w:rPr>
              <w:t xml:space="preserve"> на миди и скариди, което води до необосновано високи такси за риболовците на скариди. </w:t>
            </w:r>
            <w:proofErr w:type="spellStart"/>
            <w:r w:rsidRPr="002D77F2">
              <w:rPr>
                <w:rFonts w:ascii="Verdana" w:hAnsi="Verdana"/>
                <w:sz w:val="20"/>
                <w:lang w:val="bg-BG" w:eastAsia="bg-BG"/>
              </w:rPr>
              <w:t>Уловът</w:t>
            </w:r>
            <w:proofErr w:type="spellEnd"/>
            <w:r w:rsidRPr="002D77F2">
              <w:rPr>
                <w:rFonts w:ascii="Verdana" w:hAnsi="Verdana"/>
                <w:sz w:val="20"/>
                <w:lang w:val="bg-BG" w:eastAsia="bg-BG"/>
              </w:rPr>
              <w:t xml:space="preserve"> на миди се характеризира с прилагането на ръчен способ и водолазно оборудване, а </w:t>
            </w:r>
            <w:proofErr w:type="spellStart"/>
            <w:r w:rsidRPr="002D77F2">
              <w:rPr>
                <w:rFonts w:ascii="Verdana" w:hAnsi="Verdana"/>
                <w:sz w:val="20"/>
                <w:lang w:val="bg-BG" w:eastAsia="bg-BG"/>
              </w:rPr>
              <w:t>уловът</w:t>
            </w:r>
            <w:proofErr w:type="spellEnd"/>
            <w:r w:rsidRPr="002D77F2">
              <w:rPr>
                <w:rFonts w:ascii="Verdana" w:hAnsi="Verdana"/>
                <w:sz w:val="20"/>
                <w:lang w:val="bg-BG" w:eastAsia="bg-BG"/>
              </w:rPr>
              <w:t xml:space="preserve"> на скариди се извършва, освен ръчно и с използването на капани (</w:t>
            </w:r>
            <w:proofErr w:type="spellStart"/>
            <w:r w:rsidRPr="002D77F2">
              <w:rPr>
                <w:rFonts w:ascii="Verdana" w:hAnsi="Verdana"/>
                <w:sz w:val="20"/>
                <w:lang w:val="bg-BG" w:eastAsia="bg-BG"/>
              </w:rPr>
              <w:t>винтери</w:t>
            </w:r>
            <w:proofErr w:type="spellEnd"/>
            <w:r w:rsidRPr="002D77F2">
              <w:rPr>
                <w:rFonts w:ascii="Verdana" w:hAnsi="Verdana"/>
                <w:sz w:val="20"/>
                <w:lang w:val="bg-BG" w:eastAsia="bg-BG"/>
              </w:rPr>
              <w:t>).</w:t>
            </w:r>
            <w:r w:rsidRPr="002D77F2">
              <w:rPr>
                <w:rFonts w:ascii="Verdana" w:hAnsi="Verdana"/>
                <w:color w:val="FF0000"/>
                <w:sz w:val="20"/>
                <w:lang w:val="bg-BG" w:eastAsia="bg-BG"/>
              </w:rPr>
              <w:t xml:space="preserve"> </w:t>
            </w:r>
            <w:r w:rsidRPr="002D77F2">
              <w:rPr>
                <w:rFonts w:ascii="Verdana" w:hAnsi="Verdana"/>
                <w:sz w:val="20"/>
                <w:lang w:val="bg-BG" w:eastAsia="bg-BG"/>
              </w:rPr>
              <w:t xml:space="preserve">Статистиката сочи, че през последните години при </w:t>
            </w:r>
            <w:proofErr w:type="spellStart"/>
            <w:r w:rsidRPr="002D77F2">
              <w:rPr>
                <w:rFonts w:ascii="Verdana" w:hAnsi="Verdana"/>
                <w:sz w:val="20"/>
                <w:lang w:val="bg-BG" w:eastAsia="bg-BG"/>
              </w:rPr>
              <w:t>улова</w:t>
            </w:r>
            <w:proofErr w:type="spellEnd"/>
            <w:r w:rsidRPr="002D77F2">
              <w:rPr>
                <w:rFonts w:ascii="Verdana" w:hAnsi="Verdana"/>
                <w:sz w:val="20"/>
                <w:lang w:val="bg-BG" w:eastAsia="bg-BG"/>
              </w:rPr>
              <w:t xml:space="preserve"> на миди се наблюдават значително по-големи добиви в сравнение с </w:t>
            </w:r>
            <w:proofErr w:type="spellStart"/>
            <w:r w:rsidRPr="002D77F2">
              <w:rPr>
                <w:rFonts w:ascii="Verdana" w:hAnsi="Verdana"/>
                <w:sz w:val="20"/>
                <w:lang w:val="bg-BG" w:eastAsia="bg-BG"/>
              </w:rPr>
              <w:t>улова</w:t>
            </w:r>
            <w:proofErr w:type="spellEnd"/>
            <w:r w:rsidRPr="002D77F2">
              <w:rPr>
                <w:rFonts w:ascii="Verdana" w:hAnsi="Verdana"/>
                <w:sz w:val="20"/>
                <w:lang w:val="bg-BG" w:eastAsia="bg-BG"/>
              </w:rPr>
              <w:t xml:space="preserve"> на скариди, като стойността на  килограм миди е по-ниска отколкото стойността на килограм скариди. По този начин риболовците на скариди заплащат по-голяма такса, за усвояване на ресурс от водни организми с по-ниски добиви.</w:t>
            </w:r>
            <w:r w:rsidR="00CF3031" w:rsidRPr="002D77F2">
              <w:rPr>
                <w:rFonts w:ascii="Verdana" w:hAnsi="Verdana"/>
                <w:sz w:val="20"/>
                <w:lang w:val="bg-BG" w:eastAsia="bg-BG"/>
              </w:rPr>
              <w:t xml:space="preserve"> </w:t>
            </w:r>
          </w:p>
          <w:p w:rsidR="00595D1B" w:rsidRPr="002D77F2" w:rsidRDefault="007A45FA" w:rsidP="00595D1B">
            <w:pPr>
              <w:spacing w:line="360" w:lineRule="auto"/>
              <w:ind w:firstLine="426"/>
              <w:jc w:val="both"/>
              <w:rPr>
                <w:rFonts w:ascii="Verdana" w:eastAsiaTheme="minorHAnsi" w:hAnsi="Verdana"/>
                <w:b/>
                <w:sz w:val="20"/>
                <w:lang w:val="bg-BG"/>
              </w:rPr>
            </w:pPr>
            <w:r w:rsidRPr="002D77F2">
              <w:rPr>
                <w:rFonts w:ascii="Verdana" w:eastAsiaTheme="minorHAnsi" w:hAnsi="Verdana"/>
                <w:b/>
                <w:sz w:val="20"/>
                <w:lang w:val="bg-BG"/>
              </w:rPr>
              <w:t xml:space="preserve">Социални негативни въздействия: </w:t>
            </w:r>
            <w:r w:rsidRPr="002D77F2">
              <w:rPr>
                <w:rFonts w:ascii="Verdana" w:eastAsiaTheme="minorHAnsi" w:hAnsi="Verdana"/>
                <w:sz w:val="20"/>
                <w:lang w:val="bg-BG"/>
              </w:rPr>
              <w:t>няма да доведе.</w:t>
            </w:r>
            <w:r w:rsidRPr="002D77F2">
              <w:rPr>
                <w:rFonts w:ascii="Verdana" w:eastAsiaTheme="minorHAnsi" w:hAnsi="Verdana"/>
                <w:b/>
                <w:sz w:val="20"/>
                <w:lang w:val="bg-BG"/>
              </w:rPr>
              <w:t xml:space="preserve"> </w:t>
            </w:r>
          </w:p>
          <w:p w:rsidR="007A45FA" w:rsidRPr="002D77F2" w:rsidRDefault="007A45FA" w:rsidP="00595D1B">
            <w:pPr>
              <w:spacing w:line="360" w:lineRule="auto"/>
              <w:ind w:firstLine="426"/>
              <w:jc w:val="both"/>
              <w:rPr>
                <w:rFonts w:ascii="Verdana" w:eastAsiaTheme="minorHAnsi" w:hAnsi="Verdana"/>
                <w:b/>
                <w:sz w:val="20"/>
                <w:lang w:val="bg-BG"/>
              </w:rPr>
            </w:pPr>
            <w:r w:rsidRPr="002D77F2">
              <w:rPr>
                <w:rFonts w:ascii="Verdana" w:eastAsiaTheme="minorHAnsi" w:hAnsi="Verdana"/>
                <w:b/>
                <w:sz w:val="20"/>
                <w:lang w:val="bg-BG"/>
              </w:rPr>
              <w:t xml:space="preserve">Екологични негативни въздействия: </w:t>
            </w:r>
            <w:r w:rsidRPr="002D77F2">
              <w:rPr>
                <w:rFonts w:ascii="Verdana" w:eastAsiaTheme="minorHAnsi" w:hAnsi="Verdana"/>
                <w:sz w:val="20"/>
                <w:lang w:val="bg-BG"/>
              </w:rPr>
              <w:t>няма да доведе.</w:t>
            </w:r>
            <w:r w:rsidRPr="002D77F2">
              <w:rPr>
                <w:rFonts w:ascii="Verdana" w:eastAsiaTheme="minorHAnsi" w:hAnsi="Verdana"/>
                <w:b/>
                <w:sz w:val="20"/>
                <w:lang w:val="bg-BG"/>
              </w:rPr>
              <w:t xml:space="preserve"> </w:t>
            </w:r>
          </w:p>
          <w:p w:rsidR="00CF3031" w:rsidRPr="002D77F2" w:rsidRDefault="00CF3031" w:rsidP="00595D1B">
            <w:pPr>
              <w:spacing w:before="200" w:line="360" w:lineRule="auto"/>
              <w:ind w:left="360"/>
              <w:jc w:val="both"/>
              <w:rPr>
                <w:rFonts w:ascii="Verdana" w:hAnsi="Verdana"/>
                <w:b/>
                <w:sz w:val="20"/>
                <w:lang w:val="bg-BG"/>
              </w:rPr>
            </w:pPr>
            <w:r w:rsidRPr="002D77F2">
              <w:rPr>
                <w:rFonts w:ascii="Verdana" w:hAnsi="Verdana"/>
                <w:b/>
                <w:sz w:val="20"/>
                <w:lang w:val="bg-BG"/>
              </w:rPr>
              <w:t xml:space="preserve">Вариант за действие 2 „Приемане на Тарифата“. </w:t>
            </w:r>
          </w:p>
          <w:p w:rsidR="004863A1" w:rsidRPr="002D77F2" w:rsidRDefault="004863A1" w:rsidP="0043379B">
            <w:pPr>
              <w:spacing w:line="360" w:lineRule="auto"/>
              <w:jc w:val="both"/>
              <w:rPr>
                <w:rFonts w:ascii="Verdana" w:eastAsiaTheme="minorHAnsi" w:hAnsi="Verdana"/>
                <w:sz w:val="20"/>
                <w:lang w:val="bg-BG"/>
              </w:rPr>
            </w:pPr>
            <w:r w:rsidRPr="002D77F2">
              <w:rPr>
                <w:rFonts w:ascii="Verdana" w:eastAsiaTheme="minorHAnsi" w:hAnsi="Verdana"/>
                <w:b/>
                <w:sz w:val="20"/>
                <w:lang w:val="bg-BG"/>
              </w:rPr>
              <w:t>Икономически негативни въздействия</w:t>
            </w:r>
            <w:r w:rsidRPr="002D77F2">
              <w:rPr>
                <w:rFonts w:ascii="Verdana" w:eastAsiaTheme="minorHAnsi" w:hAnsi="Verdana"/>
                <w:sz w:val="20"/>
                <w:lang w:val="bg-BG"/>
              </w:rPr>
              <w:t xml:space="preserve">: </w:t>
            </w:r>
            <w:r w:rsidR="007B7C8D" w:rsidRPr="002D77F2">
              <w:rPr>
                <w:rFonts w:ascii="Verdana" w:eastAsiaTheme="minorHAnsi" w:hAnsi="Verdana"/>
                <w:sz w:val="20"/>
                <w:lang w:val="bg-BG"/>
              </w:rPr>
              <w:t xml:space="preserve">Увеличение на разходите </w:t>
            </w:r>
            <w:r w:rsidR="006752DC" w:rsidRPr="002D77F2">
              <w:rPr>
                <w:rFonts w:ascii="Verdana" w:eastAsiaTheme="minorHAnsi" w:hAnsi="Verdana"/>
                <w:sz w:val="20"/>
                <w:lang w:val="bg-BG"/>
              </w:rPr>
              <w:t>на</w:t>
            </w:r>
            <w:r w:rsidR="00D33B56" w:rsidRPr="002D77F2">
              <w:rPr>
                <w:rFonts w:ascii="Verdana" w:eastAsiaTheme="minorHAnsi" w:hAnsi="Verdana"/>
                <w:sz w:val="20"/>
                <w:lang w:val="bg-BG"/>
              </w:rPr>
              <w:t xml:space="preserve"> заинтересованите физически и юридически лица, което се прогнозира да бъде минимално. Размерите на таксите са съобразени с темпа на ръст на инфлационния индекс за страната през последните девет години.</w:t>
            </w:r>
          </w:p>
          <w:p w:rsidR="004863A1" w:rsidRPr="002D77F2" w:rsidRDefault="004863A1" w:rsidP="0043379B">
            <w:pPr>
              <w:spacing w:line="360" w:lineRule="auto"/>
              <w:jc w:val="both"/>
              <w:rPr>
                <w:rFonts w:ascii="Verdana" w:eastAsiaTheme="minorHAnsi" w:hAnsi="Verdana"/>
                <w:sz w:val="20"/>
                <w:lang w:val="bg-BG"/>
              </w:rPr>
            </w:pPr>
            <w:r w:rsidRPr="002D77F2">
              <w:rPr>
                <w:rFonts w:ascii="Verdana" w:eastAsiaTheme="minorHAnsi" w:hAnsi="Verdana"/>
                <w:b/>
                <w:sz w:val="20"/>
                <w:lang w:val="bg-BG"/>
              </w:rPr>
              <w:t xml:space="preserve">Социални негативни въздействия: </w:t>
            </w:r>
            <w:r w:rsidRPr="002D77F2">
              <w:rPr>
                <w:rFonts w:ascii="Verdana" w:eastAsiaTheme="minorHAnsi" w:hAnsi="Verdana"/>
                <w:sz w:val="20"/>
                <w:lang w:val="bg-BG"/>
              </w:rPr>
              <w:t xml:space="preserve">Приемането на Тарифата не може да </w:t>
            </w:r>
            <w:r w:rsidR="006752DC" w:rsidRPr="002D77F2">
              <w:rPr>
                <w:rFonts w:ascii="Verdana" w:eastAsiaTheme="minorHAnsi" w:hAnsi="Verdana"/>
                <w:sz w:val="20"/>
                <w:lang w:val="bg-BG"/>
              </w:rPr>
              <w:t>доведе до</w:t>
            </w:r>
            <w:r w:rsidRPr="002D77F2">
              <w:rPr>
                <w:rFonts w:ascii="Verdana" w:eastAsiaTheme="minorHAnsi" w:hAnsi="Verdana"/>
                <w:sz w:val="20"/>
                <w:lang w:val="bg-BG"/>
              </w:rPr>
              <w:t xml:space="preserve"> негативно социално въздействие.</w:t>
            </w:r>
          </w:p>
          <w:p w:rsidR="009D4EA2" w:rsidRPr="002D77F2" w:rsidRDefault="004863A1" w:rsidP="0043379B">
            <w:pPr>
              <w:spacing w:line="360" w:lineRule="auto"/>
              <w:jc w:val="both"/>
              <w:rPr>
                <w:rFonts w:ascii="Verdana" w:eastAsiaTheme="minorHAnsi" w:hAnsi="Verdana"/>
                <w:sz w:val="20"/>
                <w:lang w:val="bg-BG"/>
              </w:rPr>
            </w:pPr>
            <w:r w:rsidRPr="002D77F2">
              <w:rPr>
                <w:rFonts w:ascii="Verdana" w:eastAsiaTheme="minorHAnsi" w:hAnsi="Verdana"/>
                <w:b/>
                <w:sz w:val="20"/>
                <w:lang w:val="bg-BG"/>
              </w:rPr>
              <w:t>Екологични негативни въздействия:</w:t>
            </w:r>
            <w:r w:rsidRPr="002D77F2">
              <w:rPr>
                <w:rFonts w:ascii="Verdana" w:eastAsiaTheme="minorHAnsi" w:hAnsi="Verdana"/>
                <w:sz w:val="20"/>
                <w:lang w:val="bg-BG"/>
              </w:rPr>
              <w:t xml:space="preserve"> </w:t>
            </w:r>
            <w:r w:rsidR="006D57C8" w:rsidRPr="002D77F2">
              <w:rPr>
                <w:rFonts w:ascii="Verdana" w:eastAsiaTheme="minorHAnsi" w:hAnsi="Verdana"/>
                <w:sz w:val="20"/>
                <w:lang w:val="bg-BG"/>
              </w:rPr>
              <w:t xml:space="preserve">Приемането на Тарифата не може да </w:t>
            </w:r>
            <w:r w:rsidR="006752DC" w:rsidRPr="002D77F2">
              <w:rPr>
                <w:rFonts w:ascii="Verdana" w:eastAsiaTheme="minorHAnsi" w:hAnsi="Verdana"/>
                <w:sz w:val="20"/>
                <w:lang w:val="bg-BG"/>
              </w:rPr>
              <w:t xml:space="preserve">доведе до </w:t>
            </w:r>
            <w:r w:rsidR="006D57C8" w:rsidRPr="002D77F2">
              <w:rPr>
                <w:rFonts w:ascii="Verdana" w:eastAsiaTheme="minorHAnsi" w:hAnsi="Verdana"/>
                <w:sz w:val="20"/>
                <w:lang w:val="bg-BG"/>
              </w:rPr>
              <w:t>негативно екологично въздействие.</w:t>
            </w:r>
          </w:p>
        </w:tc>
      </w:tr>
      <w:tr w:rsidR="009D4EA2" w:rsidRPr="002D77F2" w:rsidTr="002B5681">
        <w:tc>
          <w:tcPr>
            <w:tcW w:w="9184" w:type="dxa"/>
            <w:gridSpan w:val="2"/>
            <w:tcBorders>
              <w:top w:val="single" w:sz="18" w:space="0" w:color="auto"/>
              <w:left w:val="single" w:sz="18" w:space="0" w:color="auto"/>
              <w:bottom w:val="single" w:sz="18" w:space="0" w:color="auto"/>
              <w:right w:val="single" w:sz="18" w:space="0" w:color="auto"/>
            </w:tcBorders>
            <w:hideMark/>
          </w:tcPr>
          <w:p w:rsidR="009D4EA2" w:rsidRPr="002D77F2" w:rsidRDefault="009D4EA2" w:rsidP="00943126">
            <w:pPr>
              <w:spacing w:line="360" w:lineRule="auto"/>
              <w:ind w:firstLine="142"/>
              <w:jc w:val="both"/>
              <w:rPr>
                <w:rFonts w:ascii="Verdana" w:hAnsi="Verdana"/>
                <w:b/>
                <w:sz w:val="20"/>
                <w:lang w:val="bg-BG"/>
              </w:rPr>
            </w:pPr>
            <w:r w:rsidRPr="002D77F2">
              <w:rPr>
                <w:rFonts w:ascii="Verdana" w:hAnsi="Verdana"/>
                <w:b/>
                <w:sz w:val="20"/>
                <w:lang w:val="bg-BG"/>
              </w:rPr>
              <w:lastRenderedPageBreak/>
              <w:t xml:space="preserve">6. Положителни въздействия: </w:t>
            </w:r>
            <w:r w:rsidR="00DD407D" w:rsidRPr="002D77F2">
              <w:rPr>
                <w:rFonts w:ascii="Verdana" w:hAnsi="Verdana"/>
                <w:i/>
                <w:sz w:val="20"/>
                <w:lang w:val="bg-BG"/>
              </w:rPr>
              <w:t xml:space="preserve">Опишете качествено (при възможност – и количествено) всички значителни потенциални икономически, социални, екологични и други ползи за идентифицираните заинтересовани страни за всеки </w:t>
            </w:r>
            <w:r w:rsidR="00DD407D" w:rsidRPr="002D77F2">
              <w:rPr>
                <w:rFonts w:ascii="Verdana" w:hAnsi="Verdana"/>
                <w:i/>
                <w:sz w:val="20"/>
                <w:lang w:val="bg-BG"/>
              </w:rPr>
              <w:lastRenderedPageBreak/>
              <w:t>един от вариантите в резултат на предприемане на действията. Посочете как очакваните ползи кореспондират с формулираните цели.</w:t>
            </w:r>
          </w:p>
          <w:p w:rsidR="009D4EA2" w:rsidRPr="002D77F2" w:rsidRDefault="009D4EA2" w:rsidP="00595D1B">
            <w:pPr>
              <w:spacing w:line="360" w:lineRule="auto"/>
              <w:ind w:firstLine="709"/>
              <w:jc w:val="both"/>
              <w:rPr>
                <w:rFonts w:ascii="Verdana" w:hAnsi="Verdana"/>
                <w:b/>
                <w:sz w:val="20"/>
                <w:lang w:val="bg-BG"/>
              </w:rPr>
            </w:pPr>
            <w:r w:rsidRPr="002D77F2">
              <w:rPr>
                <w:rFonts w:ascii="Verdana" w:hAnsi="Verdana"/>
                <w:b/>
                <w:sz w:val="20"/>
                <w:lang w:val="bg-BG"/>
              </w:rPr>
              <w:t>Вариант за действие 1 „Без намеса“</w:t>
            </w:r>
          </w:p>
          <w:p w:rsidR="002D0F69" w:rsidRPr="002D77F2" w:rsidRDefault="002D0F69" w:rsidP="00943126">
            <w:pPr>
              <w:numPr>
                <w:ilvl w:val="0"/>
                <w:numId w:val="1"/>
              </w:numPr>
              <w:spacing w:before="200" w:line="360" w:lineRule="auto"/>
              <w:ind w:left="709" w:hanging="425"/>
              <w:contextualSpacing/>
              <w:jc w:val="both"/>
              <w:rPr>
                <w:rFonts w:ascii="Verdana" w:hAnsi="Verdana"/>
                <w:sz w:val="20"/>
                <w:lang w:val="bg-BG"/>
              </w:rPr>
            </w:pPr>
            <w:r w:rsidRPr="002D77F2">
              <w:rPr>
                <w:rFonts w:ascii="Verdana" w:hAnsi="Verdana"/>
                <w:sz w:val="20"/>
                <w:lang w:val="bg-BG"/>
              </w:rPr>
              <w:t>Запазване на сегашните размери на таксите.</w:t>
            </w:r>
          </w:p>
          <w:p w:rsidR="00826FA1" w:rsidRPr="002D77F2" w:rsidRDefault="00826FA1" w:rsidP="00943126">
            <w:pPr>
              <w:spacing w:before="200" w:line="360" w:lineRule="auto"/>
              <w:ind w:left="709" w:hanging="425"/>
              <w:jc w:val="both"/>
              <w:rPr>
                <w:rFonts w:ascii="Verdana" w:hAnsi="Verdana"/>
                <w:b/>
                <w:sz w:val="20"/>
                <w:lang w:val="bg-BG"/>
              </w:rPr>
            </w:pPr>
            <w:r w:rsidRPr="002D77F2">
              <w:rPr>
                <w:rFonts w:ascii="Verdana" w:hAnsi="Verdana"/>
                <w:b/>
                <w:sz w:val="20"/>
                <w:lang w:val="bg-BG"/>
              </w:rPr>
              <w:t>Вариант за действие 2 „Приемане на Тарифата“</w:t>
            </w:r>
          </w:p>
          <w:p w:rsidR="00F17589" w:rsidRPr="002D77F2" w:rsidRDefault="00F17589" w:rsidP="00F17589">
            <w:pPr>
              <w:pStyle w:val="ListParagraph"/>
              <w:numPr>
                <w:ilvl w:val="0"/>
                <w:numId w:val="1"/>
              </w:numPr>
              <w:spacing w:line="360" w:lineRule="auto"/>
              <w:ind w:left="0" w:firstLine="284"/>
              <w:jc w:val="both"/>
              <w:rPr>
                <w:rFonts w:ascii="Verdana" w:hAnsi="Verdana"/>
                <w:sz w:val="20"/>
                <w:lang w:val="bg-BG"/>
              </w:rPr>
            </w:pPr>
            <w:r w:rsidRPr="002D77F2">
              <w:rPr>
                <w:rFonts w:ascii="Verdana" w:hAnsi="Verdana" w:hint="eastAsia"/>
                <w:sz w:val="20"/>
                <w:lang w:val="bg-BG"/>
              </w:rPr>
              <w:t>Общия</w:t>
            </w:r>
            <w:r w:rsidRPr="002D77F2">
              <w:rPr>
                <w:rFonts w:ascii="Verdana" w:hAnsi="Verdana"/>
                <w:sz w:val="20"/>
                <w:lang w:val="bg-BG"/>
              </w:rPr>
              <w:t xml:space="preserve"> </w:t>
            </w:r>
            <w:r w:rsidRPr="002D77F2">
              <w:rPr>
                <w:rFonts w:ascii="Verdana" w:hAnsi="Verdana" w:hint="eastAsia"/>
                <w:sz w:val="20"/>
                <w:lang w:val="bg-BG"/>
              </w:rPr>
              <w:t>брой</w:t>
            </w:r>
            <w:r w:rsidRPr="002D77F2">
              <w:rPr>
                <w:rFonts w:ascii="Verdana" w:hAnsi="Verdana"/>
                <w:sz w:val="20"/>
                <w:lang w:val="bg-BG"/>
              </w:rPr>
              <w:t xml:space="preserve"> </w:t>
            </w:r>
            <w:r w:rsidRPr="002D77F2">
              <w:rPr>
                <w:rFonts w:ascii="Verdana" w:hAnsi="Verdana" w:hint="eastAsia"/>
                <w:sz w:val="20"/>
                <w:lang w:val="bg-BG"/>
              </w:rPr>
              <w:t>на</w:t>
            </w:r>
            <w:r w:rsidRPr="002D77F2">
              <w:rPr>
                <w:rFonts w:ascii="Verdana" w:hAnsi="Verdana"/>
                <w:sz w:val="20"/>
                <w:lang w:val="bg-BG"/>
              </w:rPr>
              <w:t xml:space="preserve"> </w:t>
            </w:r>
            <w:r w:rsidRPr="002D77F2">
              <w:rPr>
                <w:rFonts w:ascii="Verdana" w:hAnsi="Verdana" w:hint="eastAsia"/>
                <w:sz w:val="20"/>
                <w:lang w:val="bg-BG"/>
              </w:rPr>
              <w:t>услуги</w:t>
            </w:r>
            <w:r w:rsidRPr="002D77F2">
              <w:rPr>
                <w:rFonts w:ascii="Verdana" w:hAnsi="Verdana"/>
                <w:sz w:val="20"/>
                <w:lang w:val="bg-BG"/>
              </w:rPr>
              <w:t xml:space="preserve">, </w:t>
            </w:r>
            <w:r w:rsidRPr="002D77F2">
              <w:rPr>
                <w:rFonts w:ascii="Verdana" w:hAnsi="Verdana" w:hint="eastAsia"/>
                <w:sz w:val="20"/>
                <w:lang w:val="bg-BG"/>
              </w:rPr>
              <w:t>разрешителни</w:t>
            </w:r>
            <w:r w:rsidRPr="002D77F2">
              <w:rPr>
                <w:rFonts w:ascii="Verdana" w:hAnsi="Verdana"/>
                <w:sz w:val="20"/>
                <w:lang w:val="bg-BG"/>
              </w:rPr>
              <w:t xml:space="preserve">, </w:t>
            </w:r>
            <w:r w:rsidRPr="002D77F2">
              <w:rPr>
                <w:rFonts w:ascii="Verdana" w:hAnsi="Verdana" w:hint="eastAsia"/>
                <w:sz w:val="20"/>
                <w:lang w:val="bg-BG"/>
              </w:rPr>
              <w:t>удостоверения</w:t>
            </w:r>
            <w:r w:rsidRPr="002D77F2">
              <w:rPr>
                <w:rFonts w:ascii="Verdana" w:hAnsi="Verdana"/>
                <w:sz w:val="20"/>
                <w:lang w:val="bg-BG"/>
              </w:rPr>
              <w:t xml:space="preserve">, </w:t>
            </w:r>
            <w:r w:rsidRPr="002D77F2">
              <w:rPr>
                <w:rFonts w:ascii="Verdana" w:hAnsi="Verdana" w:hint="eastAsia"/>
                <w:sz w:val="20"/>
                <w:lang w:val="bg-BG"/>
              </w:rPr>
              <w:t>билети</w:t>
            </w:r>
            <w:r w:rsidRPr="002D77F2">
              <w:rPr>
                <w:rFonts w:ascii="Verdana" w:hAnsi="Verdana"/>
                <w:sz w:val="20"/>
                <w:lang w:val="bg-BG"/>
              </w:rPr>
              <w:t xml:space="preserve"> </w:t>
            </w:r>
            <w:r w:rsidRPr="002D77F2">
              <w:rPr>
                <w:rFonts w:ascii="Verdana" w:hAnsi="Verdana" w:hint="eastAsia"/>
                <w:sz w:val="20"/>
                <w:lang w:val="bg-BG"/>
              </w:rPr>
              <w:t>и</w:t>
            </w:r>
            <w:r w:rsidRPr="002D77F2">
              <w:rPr>
                <w:rFonts w:ascii="Verdana" w:hAnsi="Verdana"/>
                <w:sz w:val="20"/>
                <w:lang w:val="bg-BG"/>
              </w:rPr>
              <w:t xml:space="preserve"> </w:t>
            </w:r>
            <w:r w:rsidRPr="002D77F2">
              <w:rPr>
                <w:rFonts w:ascii="Verdana" w:hAnsi="Verdana" w:hint="eastAsia"/>
                <w:sz w:val="20"/>
                <w:lang w:val="bg-BG"/>
              </w:rPr>
              <w:t>вписвания</w:t>
            </w:r>
            <w:r w:rsidRPr="002D77F2">
              <w:rPr>
                <w:rFonts w:ascii="Verdana" w:hAnsi="Verdana"/>
                <w:sz w:val="20"/>
                <w:lang w:val="bg-BG"/>
              </w:rPr>
              <w:t xml:space="preserve"> </w:t>
            </w:r>
            <w:r w:rsidRPr="002D77F2">
              <w:rPr>
                <w:rFonts w:ascii="Verdana" w:hAnsi="Verdana" w:hint="eastAsia"/>
                <w:sz w:val="20"/>
                <w:lang w:val="bg-BG"/>
              </w:rPr>
              <w:t>в</w:t>
            </w:r>
            <w:r w:rsidRPr="002D77F2">
              <w:rPr>
                <w:rFonts w:ascii="Verdana" w:hAnsi="Verdana"/>
                <w:sz w:val="20"/>
                <w:lang w:val="bg-BG"/>
              </w:rPr>
              <w:t xml:space="preserve"> </w:t>
            </w:r>
            <w:r w:rsidRPr="002D77F2">
              <w:rPr>
                <w:rFonts w:ascii="Verdana" w:hAnsi="Verdana" w:hint="eastAsia"/>
                <w:sz w:val="20"/>
                <w:lang w:val="bg-BG"/>
              </w:rPr>
              <w:t>регистри</w:t>
            </w:r>
            <w:r w:rsidRPr="002D77F2">
              <w:rPr>
                <w:rFonts w:ascii="Verdana" w:hAnsi="Verdana"/>
                <w:sz w:val="20"/>
                <w:lang w:val="bg-BG"/>
              </w:rPr>
              <w:t xml:space="preserve"> </w:t>
            </w:r>
            <w:r w:rsidRPr="002D77F2">
              <w:rPr>
                <w:rFonts w:ascii="Verdana" w:hAnsi="Verdana" w:hint="eastAsia"/>
                <w:sz w:val="20"/>
                <w:lang w:val="bg-BG"/>
              </w:rPr>
              <w:t>предоставени</w:t>
            </w:r>
            <w:r w:rsidRPr="002D77F2">
              <w:rPr>
                <w:rFonts w:ascii="Verdana" w:hAnsi="Verdana"/>
                <w:sz w:val="20"/>
                <w:lang w:val="bg-BG"/>
              </w:rPr>
              <w:t xml:space="preserve"> </w:t>
            </w:r>
            <w:r w:rsidRPr="002D77F2">
              <w:rPr>
                <w:rFonts w:ascii="Verdana" w:hAnsi="Verdana" w:hint="eastAsia"/>
                <w:sz w:val="20"/>
                <w:lang w:val="bg-BG"/>
              </w:rPr>
              <w:t>за</w:t>
            </w:r>
            <w:r w:rsidRPr="002D77F2">
              <w:rPr>
                <w:rFonts w:ascii="Verdana" w:hAnsi="Verdana"/>
                <w:sz w:val="20"/>
                <w:lang w:val="bg-BG"/>
              </w:rPr>
              <w:t xml:space="preserve"> 2015 </w:t>
            </w:r>
            <w:r w:rsidRPr="002D77F2">
              <w:rPr>
                <w:rFonts w:ascii="Verdana" w:hAnsi="Verdana" w:hint="eastAsia"/>
                <w:sz w:val="20"/>
                <w:lang w:val="bg-BG"/>
              </w:rPr>
              <w:t>г</w:t>
            </w:r>
            <w:r w:rsidRPr="002D77F2">
              <w:rPr>
                <w:rFonts w:ascii="Verdana" w:hAnsi="Verdana"/>
                <w:sz w:val="20"/>
                <w:lang w:val="bg-BG"/>
              </w:rPr>
              <w:t xml:space="preserve">. </w:t>
            </w:r>
            <w:r w:rsidRPr="002D77F2">
              <w:rPr>
                <w:rFonts w:ascii="Verdana" w:hAnsi="Verdana" w:hint="eastAsia"/>
                <w:sz w:val="20"/>
                <w:lang w:val="bg-BG"/>
              </w:rPr>
              <w:t>е</w:t>
            </w:r>
            <w:r w:rsidRPr="002D77F2">
              <w:rPr>
                <w:rFonts w:ascii="Verdana" w:hAnsi="Verdana"/>
                <w:sz w:val="20"/>
                <w:lang w:val="bg-BG"/>
              </w:rPr>
              <w:t xml:space="preserve"> </w:t>
            </w:r>
            <w:r w:rsidRPr="002D77F2">
              <w:rPr>
                <w:rFonts w:ascii="Verdana" w:hAnsi="Verdana" w:hint="eastAsia"/>
                <w:sz w:val="20"/>
                <w:lang w:val="bg-BG"/>
              </w:rPr>
              <w:t>около</w:t>
            </w:r>
            <w:r w:rsidRPr="002D77F2">
              <w:rPr>
                <w:rFonts w:ascii="Verdana" w:hAnsi="Verdana"/>
                <w:sz w:val="20"/>
                <w:lang w:val="bg-BG"/>
              </w:rPr>
              <w:t xml:space="preserve"> 216 000, </w:t>
            </w:r>
            <w:r w:rsidRPr="002D77F2">
              <w:rPr>
                <w:rFonts w:ascii="Verdana" w:hAnsi="Verdana" w:hint="eastAsia"/>
                <w:sz w:val="20"/>
                <w:lang w:val="bg-BG"/>
              </w:rPr>
              <w:t>като</w:t>
            </w:r>
            <w:r w:rsidRPr="002D77F2">
              <w:rPr>
                <w:rFonts w:ascii="Verdana" w:hAnsi="Verdana"/>
                <w:sz w:val="20"/>
                <w:lang w:val="bg-BG"/>
              </w:rPr>
              <w:t xml:space="preserve"> </w:t>
            </w:r>
            <w:r w:rsidRPr="002D77F2">
              <w:rPr>
                <w:rFonts w:ascii="Verdana" w:hAnsi="Verdana" w:hint="eastAsia"/>
                <w:sz w:val="20"/>
                <w:lang w:val="bg-BG"/>
              </w:rPr>
              <w:t>се</w:t>
            </w:r>
            <w:r w:rsidRPr="002D77F2">
              <w:rPr>
                <w:rFonts w:ascii="Verdana" w:hAnsi="Verdana"/>
                <w:sz w:val="20"/>
                <w:lang w:val="bg-BG"/>
              </w:rPr>
              <w:t xml:space="preserve"> </w:t>
            </w:r>
            <w:r w:rsidRPr="002D77F2">
              <w:rPr>
                <w:rFonts w:ascii="Verdana" w:hAnsi="Verdana" w:hint="eastAsia"/>
                <w:sz w:val="20"/>
                <w:lang w:val="bg-BG"/>
              </w:rPr>
              <w:t>предвижда</w:t>
            </w:r>
            <w:r w:rsidRPr="002D77F2">
              <w:rPr>
                <w:rFonts w:ascii="Verdana" w:hAnsi="Verdana"/>
                <w:sz w:val="20"/>
                <w:lang w:val="bg-BG"/>
              </w:rPr>
              <w:t xml:space="preserve"> около 20% </w:t>
            </w:r>
            <w:r w:rsidRPr="002D77F2">
              <w:rPr>
                <w:rFonts w:ascii="Verdana" w:hAnsi="Verdana" w:hint="eastAsia"/>
                <w:sz w:val="20"/>
                <w:lang w:val="bg-BG"/>
              </w:rPr>
              <w:t>увеличение</w:t>
            </w:r>
            <w:r w:rsidRPr="002D77F2">
              <w:rPr>
                <w:rFonts w:ascii="Verdana" w:hAnsi="Verdana"/>
                <w:sz w:val="20"/>
                <w:lang w:val="bg-BG"/>
              </w:rPr>
              <w:t xml:space="preserve"> </w:t>
            </w:r>
            <w:r w:rsidRPr="002D77F2">
              <w:rPr>
                <w:rFonts w:ascii="Verdana" w:hAnsi="Verdana" w:hint="eastAsia"/>
                <w:sz w:val="20"/>
                <w:lang w:val="bg-BG"/>
              </w:rPr>
              <w:t>на</w:t>
            </w:r>
            <w:r w:rsidRPr="002D77F2">
              <w:rPr>
                <w:rFonts w:ascii="Verdana" w:hAnsi="Verdana"/>
                <w:sz w:val="20"/>
                <w:lang w:val="bg-BG"/>
              </w:rPr>
              <w:t xml:space="preserve"> </w:t>
            </w:r>
            <w:r w:rsidRPr="002D77F2">
              <w:rPr>
                <w:rFonts w:ascii="Verdana" w:hAnsi="Verdana" w:hint="eastAsia"/>
                <w:sz w:val="20"/>
                <w:lang w:val="bg-BG"/>
              </w:rPr>
              <w:t>приходите</w:t>
            </w:r>
            <w:r w:rsidRPr="002D77F2">
              <w:rPr>
                <w:rFonts w:ascii="Verdana" w:hAnsi="Verdana"/>
                <w:sz w:val="20"/>
                <w:lang w:val="bg-BG"/>
              </w:rPr>
              <w:t xml:space="preserve"> </w:t>
            </w:r>
            <w:r w:rsidRPr="002D77F2">
              <w:rPr>
                <w:rFonts w:ascii="Verdana" w:hAnsi="Verdana" w:hint="eastAsia"/>
                <w:sz w:val="20"/>
                <w:lang w:val="bg-BG"/>
              </w:rPr>
              <w:t>по</w:t>
            </w:r>
            <w:r w:rsidRPr="002D77F2">
              <w:rPr>
                <w:rFonts w:ascii="Verdana" w:hAnsi="Verdana"/>
                <w:sz w:val="20"/>
                <w:lang w:val="bg-BG"/>
              </w:rPr>
              <w:t xml:space="preserve"> </w:t>
            </w:r>
            <w:r w:rsidRPr="002D77F2">
              <w:rPr>
                <w:rFonts w:ascii="Verdana" w:hAnsi="Verdana" w:hint="eastAsia"/>
                <w:sz w:val="20"/>
                <w:lang w:val="bg-BG"/>
              </w:rPr>
              <w:t>тях</w:t>
            </w:r>
            <w:r w:rsidRPr="002D77F2">
              <w:rPr>
                <w:rFonts w:ascii="Verdana" w:hAnsi="Verdana"/>
                <w:sz w:val="20"/>
                <w:lang w:val="bg-BG"/>
              </w:rPr>
              <w:t xml:space="preserve"> </w:t>
            </w:r>
            <w:r w:rsidRPr="002D77F2">
              <w:rPr>
                <w:rFonts w:ascii="Verdana" w:hAnsi="Verdana" w:hint="eastAsia"/>
                <w:sz w:val="20"/>
                <w:lang w:val="bg-BG"/>
              </w:rPr>
              <w:t>на</w:t>
            </w:r>
            <w:r w:rsidRPr="002D77F2">
              <w:rPr>
                <w:rFonts w:ascii="Verdana" w:hAnsi="Verdana"/>
                <w:sz w:val="20"/>
                <w:lang w:val="bg-BG"/>
              </w:rPr>
              <w:t xml:space="preserve"> </w:t>
            </w:r>
            <w:r w:rsidRPr="002D77F2">
              <w:rPr>
                <w:rFonts w:ascii="Verdana" w:hAnsi="Verdana" w:hint="eastAsia"/>
                <w:sz w:val="20"/>
                <w:lang w:val="bg-BG"/>
              </w:rPr>
              <w:t>годишна</w:t>
            </w:r>
            <w:r w:rsidRPr="002D77F2">
              <w:rPr>
                <w:rFonts w:ascii="Verdana" w:hAnsi="Verdana"/>
                <w:sz w:val="20"/>
                <w:lang w:val="bg-BG"/>
              </w:rPr>
              <w:t xml:space="preserve"> </w:t>
            </w:r>
            <w:r w:rsidRPr="002D77F2">
              <w:rPr>
                <w:rFonts w:ascii="Verdana" w:hAnsi="Verdana" w:hint="eastAsia"/>
                <w:sz w:val="20"/>
                <w:lang w:val="bg-BG"/>
              </w:rPr>
              <w:t>база</w:t>
            </w:r>
            <w:r w:rsidRPr="002D77F2">
              <w:rPr>
                <w:rFonts w:ascii="Verdana" w:hAnsi="Verdana"/>
                <w:sz w:val="20"/>
                <w:lang w:val="bg-BG"/>
              </w:rPr>
              <w:t xml:space="preserve">. </w:t>
            </w:r>
            <w:r w:rsidRPr="002D77F2">
              <w:rPr>
                <w:rFonts w:ascii="Verdana" w:hAnsi="Verdana" w:hint="eastAsia"/>
                <w:sz w:val="20"/>
                <w:lang w:val="bg-BG"/>
              </w:rPr>
              <w:t>Предвиденото</w:t>
            </w:r>
            <w:r w:rsidRPr="002D77F2">
              <w:rPr>
                <w:rFonts w:ascii="Verdana" w:hAnsi="Verdana"/>
                <w:sz w:val="20"/>
                <w:lang w:val="bg-BG"/>
              </w:rPr>
              <w:t xml:space="preserve"> </w:t>
            </w:r>
            <w:r w:rsidRPr="002D77F2">
              <w:rPr>
                <w:rFonts w:ascii="Verdana" w:hAnsi="Verdana" w:hint="eastAsia"/>
                <w:sz w:val="20"/>
                <w:lang w:val="bg-BG"/>
              </w:rPr>
              <w:t>изменение</w:t>
            </w:r>
            <w:r w:rsidRPr="002D77F2">
              <w:rPr>
                <w:rFonts w:ascii="Verdana" w:hAnsi="Verdana"/>
                <w:sz w:val="20"/>
                <w:lang w:val="bg-BG"/>
              </w:rPr>
              <w:t xml:space="preserve"> </w:t>
            </w:r>
            <w:r w:rsidRPr="002D77F2">
              <w:rPr>
                <w:rFonts w:ascii="Verdana" w:hAnsi="Verdana" w:hint="eastAsia"/>
                <w:sz w:val="20"/>
                <w:lang w:val="bg-BG"/>
              </w:rPr>
              <w:t>в</w:t>
            </w:r>
            <w:r w:rsidRPr="002D77F2">
              <w:rPr>
                <w:rFonts w:ascii="Verdana" w:hAnsi="Verdana"/>
                <w:sz w:val="20"/>
                <w:lang w:val="bg-BG"/>
              </w:rPr>
              <w:t xml:space="preserve"> </w:t>
            </w:r>
            <w:r w:rsidRPr="002D77F2">
              <w:rPr>
                <w:rFonts w:ascii="Verdana" w:hAnsi="Verdana" w:hint="eastAsia"/>
                <w:sz w:val="20"/>
                <w:lang w:val="bg-BG"/>
              </w:rPr>
              <w:t>размерите</w:t>
            </w:r>
            <w:r w:rsidRPr="002D77F2">
              <w:rPr>
                <w:rFonts w:ascii="Verdana" w:hAnsi="Verdana"/>
                <w:sz w:val="20"/>
                <w:lang w:val="bg-BG"/>
              </w:rPr>
              <w:t xml:space="preserve"> </w:t>
            </w:r>
            <w:r w:rsidRPr="002D77F2">
              <w:rPr>
                <w:rFonts w:ascii="Verdana" w:hAnsi="Verdana" w:hint="eastAsia"/>
                <w:sz w:val="20"/>
                <w:lang w:val="bg-BG"/>
              </w:rPr>
              <w:t>на</w:t>
            </w:r>
            <w:r w:rsidRPr="002D77F2">
              <w:rPr>
                <w:rFonts w:ascii="Verdana" w:hAnsi="Verdana"/>
                <w:sz w:val="20"/>
                <w:lang w:val="bg-BG"/>
              </w:rPr>
              <w:t xml:space="preserve"> </w:t>
            </w:r>
            <w:r w:rsidRPr="002D77F2">
              <w:rPr>
                <w:rFonts w:ascii="Verdana" w:hAnsi="Verdana" w:hint="eastAsia"/>
                <w:sz w:val="20"/>
                <w:lang w:val="bg-BG"/>
              </w:rPr>
              <w:t>таксите</w:t>
            </w:r>
            <w:r w:rsidRPr="002D77F2">
              <w:rPr>
                <w:rFonts w:ascii="Verdana" w:hAnsi="Verdana"/>
                <w:sz w:val="20"/>
                <w:lang w:val="bg-BG"/>
              </w:rPr>
              <w:t xml:space="preserve"> </w:t>
            </w:r>
            <w:r w:rsidRPr="002D77F2">
              <w:rPr>
                <w:rFonts w:ascii="Verdana" w:hAnsi="Verdana" w:hint="eastAsia"/>
                <w:sz w:val="20"/>
                <w:lang w:val="bg-BG"/>
              </w:rPr>
              <w:t>ще</w:t>
            </w:r>
            <w:r w:rsidRPr="002D77F2">
              <w:rPr>
                <w:rFonts w:ascii="Verdana" w:hAnsi="Verdana"/>
                <w:sz w:val="20"/>
                <w:lang w:val="bg-BG"/>
              </w:rPr>
              <w:t xml:space="preserve"> </w:t>
            </w:r>
            <w:r w:rsidRPr="002D77F2">
              <w:rPr>
                <w:rFonts w:ascii="Verdana" w:hAnsi="Verdana" w:hint="eastAsia"/>
                <w:sz w:val="20"/>
                <w:lang w:val="bg-BG"/>
              </w:rPr>
              <w:t>позволи</w:t>
            </w:r>
            <w:r w:rsidRPr="002D77F2">
              <w:rPr>
                <w:rFonts w:ascii="Verdana" w:hAnsi="Verdana"/>
                <w:sz w:val="20"/>
                <w:lang w:val="bg-BG"/>
              </w:rPr>
              <w:t xml:space="preserve"> </w:t>
            </w:r>
            <w:r w:rsidRPr="002D77F2">
              <w:rPr>
                <w:rFonts w:ascii="Verdana" w:hAnsi="Verdana" w:hint="eastAsia"/>
                <w:sz w:val="20"/>
                <w:lang w:val="bg-BG"/>
              </w:rPr>
              <w:t>да</w:t>
            </w:r>
            <w:r w:rsidRPr="002D77F2">
              <w:rPr>
                <w:rFonts w:ascii="Verdana" w:hAnsi="Verdana"/>
                <w:sz w:val="20"/>
                <w:lang w:val="bg-BG"/>
              </w:rPr>
              <w:t xml:space="preserve"> </w:t>
            </w:r>
            <w:r w:rsidRPr="002D77F2">
              <w:rPr>
                <w:rFonts w:ascii="Verdana" w:hAnsi="Verdana" w:hint="eastAsia"/>
                <w:sz w:val="20"/>
                <w:lang w:val="bg-BG"/>
              </w:rPr>
              <w:t>се</w:t>
            </w:r>
            <w:r w:rsidRPr="002D77F2">
              <w:rPr>
                <w:rFonts w:ascii="Verdana" w:hAnsi="Verdana"/>
                <w:sz w:val="20"/>
                <w:lang w:val="bg-BG"/>
              </w:rPr>
              <w:t xml:space="preserve"> </w:t>
            </w:r>
            <w:r w:rsidRPr="002D77F2">
              <w:rPr>
                <w:rFonts w:ascii="Verdana" w:hAnsi="Verdana" w:hint="eastAsia"/>
                <w:sz w:val="20"/>
                <w:lang w:val="bg-BG"/>
              </w:rPr>
              <w:t>преодолеят</w:t>
            </w:r>
            <w:r w:rsidRPr="002D77F2">
              <w:rPr>
                <w:rFonts w:ascii="Verdana" w:hAnsi="Verdana"/>
                <w:sz w:val="20"/>
                <w:lang w:val="bg-BG"/>
              </w:rPr>
              <w:t xml:space="preserve"> </w:t>
            </w:r>
            <w:r w:rsidRPr="002D77F2">
              <w:rPr>
                <w:rFonts w:ascii="Verdana" w:hAnsi="Verdana" w:hint="eastAsia"/>
                <w:sz w:val="20"/>
                <w:lang w:val="bg-BG"/>
              </w:rPr>
              <w:t>настъпилите</w:t>
            </w:r>
            <w:r w:rsidRPr="002D77F2">
              <w:rPr>
                <w:rFonts w:ascii="Verdana" w:hAnsi="Verdana"/>
                <w:sz w:val="20"/>
                <w:lang w:val="bg-BG"/>
              </w:rPr>
              <w:t xml:space="preserve"> </w:t>
            </w:r>
            <w:r w:rsidRPr="002D77F2">
              <w:rPr>
                <w:rFonts w:ascii="Verdana" w:hAnsi="Verdana" w:hint="eastAsia"/>
                <w:sz w:val="20"/>
                <w:lang w:val="bg-BG"/>
              </w:rPr>
              <w:t>инфлационни</w:t>
            </w:r>
            <w:r w:rsidRPr="002D77F2">
              <w:rPr>
                <w:rFonts w:ascii="Verdana" w:hAnsi="Verdana"/>
                <w:sz w:val="20"/>
                <w:lang w:val="bg-BG"/>
              </w:rPr>
              <w:t xml:space="preserve"> </w:t>
            </w:r>
            <w:r w:rsidRPr="002D77F2">
              <w:rPr>
                <w:rFonts w:ascii="Verdana" w:hAnsi="Verdana" w:hint="eastAsia"/>
                <w:sz w:val="20"/>
                <w:lang w:val="bg-BG"/>
              </w:rPr>
              <w:t>процеси</w:t>
            </w:r>
            <w:r w:rsidRPr="002D77F2">
              <w:rPr>
                <w:rFonts w:ascii="Verdana" w:hAnsi="Verdana"/>
                <w:sz w:val="20"/>
                <w:lang w:val="bg-BG"/>
              </w:rPr>
              <w:t xml:space="preserve"> </w:t>
            </w:r>
            <w:r w:rsidRPr="002D77F2">
              <w:rPr>
                <w:rFonts w:ascii="Verdana" w:hAnsi="Verdana" w:hint="eastAsia"/>
                <w:sz w:val="20"/>
                <w:lang w:val="bg-BG"/>
              </w:rPr>
              <w:t>през</w:t>
            </w:r>
            <w:r w:rsidRPr="002D77F2">
              <w:rPr>
                <w:rFonts w:ascii="Verdana" w:hAnsi="Verdana"/>
                <w:sz w:val="20"/>
                <w:lang w:val="bg-BG"/>
              </w:rPr>
              <w:t xml:space="preserve"> </w:t>
            </w:r>
            <w:r w:rsidRPr="002D77F2">
              <w:rPr>
                <w:rFonts w:ascii="Verdana" w:hAnsi="Verdana" w:hint="eastAsia"/>
                <w:sz w:val="20"/>
                <w:lang w:val="bg-BG"/>
              </w:rPr>
              <w:t>годините</w:t>
            </w:r>
            <w:r w:rsidRPr="002D77F2">
              <w:rPr>
                <w:rFonts w:ascii="Verdana" w:hAnsi="Verdana"/>
                <w:sz w:val="20"/>
                <w:lang w:val="bg-BG"/>
              </w:rPr>
              <w:t xml:space="preserve">, </w:t>
            </w:r>
            <w:r w:rsidRPr="002D77F2">
              <w:rPr>
                <w:rFonts w:ascii="Verdana" w:hAnsi="Verdana" w:hint="eastAsia"/>
                <w:sz w:val="20"/>
                <w:lang w:val="bg-BG"/>
              </w:rPr>
              <w:t>които</w:t>
            </w:r>
            <w:r w:rsidRPr="002D77F2">
              <w:rPr>
                <w:rFonts w:ascii="Verdana" w:hAnsi="Verdana"/>
                <w:sz w:val="20"/>
                <w:lang w:val="bg-BG"/>
              </w:rPr>
              <w:t xml:space="preserve"> </w:t>
            </w:r>
            <w:r w:rsidRPr="002D77F2">
              <w:rPr>
                <w:rFonts w:ascii="Verdana" w:hAnsi="Verdana" w:hint="eastAsia"/>
                <w:sz w:val="20"/>
                <w:lang w:val="bg-BG"/>
              </w:rPr>
              <w:t>дават</w:t>
            </w:r>
            <w:r w:rsidRPr="002D77F2">
              <w:rPr>
                <w:rFonts w:ascii="Verdana" w:hAnsi="Verdana"/>
                <w:sz w:val="20"/>
                <w:lang w:val="bg-BG"/>
              </w:rPr>
              <w:t xml:space="preserve"> </w:t>
            </w:r>
            <w:r w:rsidRPr="002D77F2">
              <w:rPr>
                <w:rFonts w:ascii="Verdana" w:hAnsi="Verdana" w:hint="eastAsia"/>
                <w:sz w:val="20"/>
                <w:lang w:val="bg-BG"/>
              </w:rPr>
              <w:t>отражение</w:t>
            </w:r>
            <w:r w:rsidRPr="002D77F2">
              <w:rPr>
                <w:rFonts w:ascii="Verdana" w:hAnsi="Verdana"/>
                <w:sz w:val="20"/>
                <w:lang w:val="bg-BG"/>
              </w:rPr>
              <w:t xml:space="preserve"> </w:t>
            </w:r>
            <w:r w:rsidRPr="002D77F2">
              <w:rPr>
                <w:rFonts w:ascii="Verdana" w:hAnsi="Verdana" w:hint="eastAsia"/>
                <w:sz w:val="20"/>
                <w:lang w:val="bg-BG"/>
              </w:rPr>
              <w:t>върху</w:t>
            </w:r>
            <w:r w:rsidRPr="002D77F2">
              <w:rPr>
                <w:rFonts w:ascii="Verdana" w:hAnsi="Verdana"/>
                <w:sz w:val="20"/>
                <w:lang w:val="bg-BG"/>
              </w:rPr>
              <w:t xml:space="preserve"> </w:t>
            </w:r>
            <w:r w:rsidRPr="002D77F2">
              <w:rPr>
                <w:rFonts w:ascii="Verdana" w:hAnsi="Verdana" w:hint="eastAsia"/>
                <w:sz w:val="20"/>
                <w:lang w:val="bg-BG"/>
              </w:rPr>
              <w:t>себестойността</w:t>
            </w:r>
            <w:r w:rsidRPr="002D77F2">
              <w:rPr>
                <w:rFonts w:ascii="Verdana" w:hAnsi="Verdana"/>
                <w:sz w:val="20"/>
                <w:lang w:val="bg-BG"/>
              </w:rPr>
              <w:t xml:space="preserve"> </w:t>
            </w:r>
            <w:r w:rsidRPr="002D77F2">
              <w:rPr>
                <w:rFonts w:ascii="Verdana" w:hAnsi="Verdana" w:hint="eastAsia"/>
                <w:sz w:val="20"/>
                <w:lang w:val="bg-BG"/>
              </w:rPr>
              <w:t>на</w:t>
            </w:r>
            <w:r w:rsidRPr="002D77F2">
              <w:rPr>
                <w:rFonts w:ascii="Verdana" w:hAnsi="Verdana"/>
                <w:sz w:val="20"/>
                <w:lang w:val="bg-BG"/>
              </w:rPr>
              <w:t xml:space="preserve"> </w:t>
            </w:r>
            <w:r w:rsidRPr="002D77F2">
              <w:rPr>
                <w:rFonts w:ascii="Verdana" w:hAnsi="Verdana" w:hint="eastAsia"/>
                <w:sz w:val="20"/>
                <w:lang w:val="bg-BG"/>
              </w:rPr>
              <w:t>предоставяните</w:t>
            </w:r>
            <w:r w:rsidRPr="002D77F2">
              <w:rPr>
                <w:rFonts w:ascii="Verdana" w:hAnsi="Verdana"/>
                <w:sz w:val="20"/>
                <w:lang w:val="bg-BG"/>
              </w:rPr>
              <w:t xml:space="preserve"> </w:t>
            </w:r>
            <w:r w:rsidRPr="002D77F2">
              <w:rPr>
                <w:rFonts w:ascii="Verdana" w:hAnsi="Verdana" w:hint="eastAsia"/>
                <w:sz w:val="20"/>
                <w:lang w:val="bg-BG"/>
              </w:rPr>
              <w:t>услуги</w:t>
            </w:r>
            <w:r w:rsidRPr="002D77F2">
              <w:rPr>
                <w:rFonts w:ascii="Verdana" w:hAnsi="Verdana"/>
                <w:sz w:val="20"/>
                <w:lang w:val="bg-BG"/>
              </w:rPr>
              <w:t xml:space="preserve">. </w:t>
            </w:r>
          </w:p>
          <w:p w:rsidR="003A337F" w:rsidRPr="002D77F2" w:rsidRDefault="003A337F" w:rsidP="00F17589">
            <w:pPr>
              <w:pStyle w:val="ListParagraph"/>
              <w:numPr>
                <w:ilvl w:val="0"/>
                <w:numId w:val="1"/>
              </w:numPr>
              <w:spacing w:line="360" w:lineRule="auto"/>
              <w:ind w:left="709" w:hanging="425"/>
              <w:jc w:val="both"/>
              <w:rPr>
                <w:rFonts w:ascii="Verdana" w:hAnsi="Verdana"/>
                <w:sz w:val="20"/>
                <w:lang w:val="bg-BG"/>
              </w:rPr>
            </w:pPr>
            <w:r w:rsidRPr="002D77F2">
              <w:rPr>
                <w:rFonts w:ascii="Verdana" w:hAnsi="Verdana"/>
                <w:sz w:val="20"/>
                <w:lang w:val="bg-BG"/>
              </w:rPr>
              <w:t xml:space="preserve">Разграничение на </w:t>
            </w:r>
            <w:proofErr w:type="spellStart"/>
            <w:r w:rsidRPr="002D77F2">
              <w:rPr>
                <w:rFonts w:ascii="Verdana" w:hAnsi="Verdana"/>
                <w:sz w:val="20"/>
                <w:lang w:val="bg-BG"/>
              </w:rPr>
              <w:t>улова</w:t>
            </w:r>
            <w:proofErr w:type="spellEnd"/>
            <w:r w:rsidRPr="002D77F2">
              <w:rPr>
                <w:rFonts w:ascii="Verdana" w:hAnsi="Verdana"/>
                <w:sz w:val="20"/>
                <w:lang w:val="bg-BG"/>
              </w:rPr>
              <w:t xml:space="preserve"> на миди от този на скариди. </w:t>
            </w:r>
          </w:p>
          <w:p w:rsidR="003A337F" w:rsidRPr="002D77F2" w:rsidRDefault="003A337F" w:rsidP="005101FB">
            <w:pPr>
              <w:pStyle w:val="ListParagraph"/>
              <w:numPr>
                <w:ilvl w:val="0"/>
                <w:numId w:val="1"/>
              </w:numPr>
              <w:spacing w:line="360" w:lineRule="auto"/>
              <w:ind w:left="0" w:firstLine="284"/>
              <w:jc w:val="both"/>
              <w:rPr>
                <w:rFonts w:ascii="Verdana" w:hAnsi="Verdana"/>
                <w:sz w:val="20"/>
                <w:lang w:val="bg-BG"/>
              </w:rPr>
            </w:pPr>
            <w:r w:rsidRPr="002D77F2">
              <w:rPr>
                <w:rFonts w:ascii="Verdana" w:hAnsi="Verdana"/>
                <w:sz w:val="20"/>
                <w:lang w:val="bg-BG"/>
              </w:rPr>
              <w:t xml:space="preserve">Обособяване на отделна такса за риболов с </w:t>
            </w:r>
            <w:proofErr w:type="spellStart"/>
            <w:r w:rsidRPr="002D77F2">
              <w:rPr>
                <w:rFonts w:ascii="Verdana" w:hAnsi="Verdana"/>
                <w:sz w:val="20"/>
                <w:lang w:val="bg-BG"/>
              </w:rPr>
              <w:t>винтери</w:t>
            </w:r>
            <w:proofErr w:type="spellEnd"/>
            <w:r w:rsidRPr="002D77F2">
              <w:rPr>
                <w:rFonts w:ascii="Verdana" w:hAnsi="Verdana"/>
                <w:sz w:val="20"/>
                <w:lang w:val="bg-BG"/>
              </w:rPr>
              <w:t xml:space="preserve"> в Черно море. </w:t>
            </w:r>
          </w:p>
          <w:p w:rsidR="003A337F" w:rsidRPr="002D77F2" w:rsidRDefault="003A337F" w:rsidP="005101FB">
            <w:pPr>
              <w:pStyle w:val="ListParagraph"/>
              <w:numPr>
                <w:ilvl w:val="0"/>
                <w:numId w:val="1"/>
              </w:numPr>
              <w:spacing w:line="360" w:lineRule="auto"/>
              <w:ind w:left="0" w:firstLine="284"/>
              <w:jc w:val="both"/>
              <w:rPr>
                <w:rFonts w:ascii="Verdana" w:hAnsi="Verdana"/>
                <w:sz w:val="20"/>
                <w:lang w:val="bg-BG"/>
              </w:rPr>
            </w:pPr>
            <w:r w:rsidRPr="002D77F2">
              <w:rPr>
                <w:rFonts w:ascii="Verdana" w:hAnsi="Verdana"/>
                <w:sz w:val="20"/>
                <w:lang w:val="bg-BG"/>
              </w:rPr>
              <w:t xml:space="preserve">Предоставяне на марки, които да позволяват устойчивото им закрепване на риболовните уреди и материалът от който са направени да издържа на корозия и неблагоприятни морски условия. Номерът на марката да бъде по-ясно различим и да позволява по-лесно разпознаване при </w:t>
            </w:r>
            <w:proofErr w:type="spellStart"/>
            <w:r w:rsidRPr="002D77F2">
              <w:rPr>
                <w:rFonts w:ascii="Verdana" w:hAnsi="Verdana"/>
                <w:sz w:val="20"/>
                <w:lang w:val="bg-BG"/>
              </w:rPr>
              <w:t>последващия</w:t>
            </w:r>
            <w:proofErr w:type="spellEnd"/>
            <w:r w:rsidRPr="002D77F2">
              <w:rPr>
                <w:rFonts w:ascii="Verdana" w:hAnsi="Verdana"/>
                <w:sz w:val="20"/>
                <w:lang w:val="bg-BG"/>
              </w:rPr>
              <w:t xml:space="preserve"> контрол от страна на ИАРА. </w:t>
            </w:r>
          </w:p>
          <w:p w:rsidR="006752DC" w:rsidRPr="002D77F2" w:rsidRDefault="006752DC" w:rsidP="005101FB">
            <w:pPr>
              <w:pStyle w:val="ListParagraph"/>
              <w:numPr>
                <w:ilvl w:val="0"/>
                <w:numId w:val="1"/>
              </w:numPr>
              <w:spacing w:line="360" w:lineRule="auto"/>
              <w:ind w:left="0" w:firstLine="284"/>
              <w:jc w:val="both"/>
              <w:rPr>
                <w:rFonts w:ascii="Verdana" w:hAnsi="Verdana"/>
                <w:sz w:val="20"/>
                <w:lang w:val="bg-BG"/>
              </w:rPr>
            </w:pPr>
            <w:r w:rsidRPr="002D77F2">
              <w:rPr>
                <w:rFonts w:ascii="Verdana" w:hAnsi="Verdana"/>
                <w:sz w:val="20"/>
                <w:lang w:val="bg-BG"/>
              </w:rPr>
              <w:t xml:space="preserve">Чрез добавяне на текста „без риболовен уред се събира такса по реда и условията на чл. 7 ще се избегне възможността за усвояване на определен ресурс да се заплаща повече от една такса, както и ще се избегне възможността да се извършва </w:t>
            </w:r>
            <w:proofErr w:type="spellStart"/>
            <w:r w:rsidRPr="002D77F2">
              <w:rPr>
                <w:rFonts w:ascii="Verdana" w:hAnsi="Verdana"/>
                <w:sz w:val="20"/>
                <w:lang w:val="bg-BG"/>
              </w:rPr>
              <w:t>улов</w:t>
            </w:r>
            <w:proofErr w:type="spellEnd"/>
            <w:r w:rsidRPr="002D77F2">
              <w:rPr>
                <w:rFonts w:ascii="Verdana" w:hAnsi="Verdana"/>
                <w:sz w:val="20"/>
                <w:lang w:val="bg-BG"/>
              </w:rPr>
              <w:t xml:space="preserve"> на водни организми чрез заплащане правото за усвояване на ресурса, а реално да се използва риболовен уред, за чието използване таксата е по-голяма. </w:t>
            </w:r>
          </w:p>
          <w:p w:rsidR="00826FA1" w:rsidRPr="002D77F2" w:rsidRDefault="00826FA1" w:rsidP="005101FB">
            <w:pPr>
              <w:pStyle w:val="ListParagraph"/>
              <w:numPr>
                <w:ilvl w:val="0"/>
                <w:numId w:val="1"/>
              </w:numPr>
              <w:spacing w:line="360" w:lineRule="auto"/>
              <w:ind w:left="0" w:firstLine="284"/>
              <w:jc w:val="both"/>
              <w:rPr>
                <w:rFonts w:ascii="Verdana" w:hAnsi="Verdana"/>
                <w:sz w:val="20"/>
                <w:lang w:val="bg-BG"/>
              </w:rPr>
            </w:pPr>
            <w:r w:rsidRPr="002D77F2">
              <w:rPr>
                <w:rFonts w:ascii="Verdana" w:hAnsi="Verdana"/>
                <w:sz w:val="20"/>
                <w:lang w:val="bg-BG"/>
              </w:rPr>
              <w:t>Привеждане на</w:t>
            </w:r>
            <w:r w:rsidR="003D16C9" w:rsidRPr="002D77F2">
              <w:rPr>
                <w:rFonts w:ascii="Verdana" w:hAnsi="Verdana"/>
                <w:sz w:val="20"/>
                <w:lang w:val="bg-BG"/>
              </w:rPr>
              <w:t xml:space="preserve"> някои от разпоредбите от</w:t>
            </w:r>
            <w:r w:rsidRPr="002D77F2">
              <w:rPr>
                <w:rFonts w:ascii="Verdana" w:hAnsi="Verdana"/>
                <w:sz w:val="20"/>
                <w:lang w:val="bg-BG"/>
              </w:rPr>
              <w:t xml:space="preserve"> тарифата в съответствие със Закона за рибарството и </w:t>
            </w:r>
            <w:proofErr w:type="spellStart"/>
            <w:r w:rsidRPr="002D77F2">
              <w:rPr>
                <w:rFonts w:ascii="Verdana" w:hAnsi="Verdana"/>
                <w:sz w:val="20"/>
                <w:lang w:val="bg-BG"/>
              </w:rPr>
              <w:t>аквакултурите</w:t>
            </w:r>
            <w:proofErr w:type="spellEnd"/>
            <w:r w:rsidRPr="002D77F2">
              <w:rPr>
                <w:rFonts w:ascii="Verdana" w:hAnsi="Verdana"/>
                <w:sz w:val="20"/>
                <w:lang w:val="bg-BG"/>
              </w:rPr>
              <w:t xml:space="preserve">. </w:t>
            </w:r>
          </w:p>
          <w:p w:rsidR="00381A42" w:rsidRPr="002D77F2" w:rsidRDefault="00381A42" w:rsidP="005101FB">
            <w:pPr>
              <w:pStyle w:val="ListParagraph"/>
              <w:numPr>
                <w:ilvl w:val="0"/>
                <w:numId w:val="1"/>
              </w:numPr>
              <w:spacing w:line="360" w:lineRule="auto"/>
              <w:ind w:left="0" w:firstLine="284"/>
              <w:jc w:val="both"/>
              <w:rPr>
                <w:rFonts w:ascii="Verdana" w:hAnsi="Verdana"/>
                <w:sz w:val="20"/>
                <w:lang w:val="bg-BG"/>
              </w:rPr>
            </w:pPr>
            <w:r w:rsidRPr="002D77F2">
              <w:rPr>
                <w:rFonts w:ascii="Verdana" w:hAnsi="Verdana"/>
                <w:sz w:val="20"/>
                <w:lang w:val="bg-BG"/>
              </w:rPr>
              <w:t xml:space="preserve">Преодоляване на недостатъците при определяне на таксите за издаване на специално разрешително за </w:t>
            </w:r>
            <w:proofErr w:type="spellStart"/>
            <w:r w:rsidRPr="002D77F2">
              <w:rPr>
                <w:rFonts w:ascii="Verdana" w:hAnsi="Verdana"/>
                <w:sz w:val="20"/>
                <w:lang w:val="bg-BG"/>
              </w:rPr>
              <w:t>улов</w:t>
            </w:r>
            <w:proofErr w:type="spellEnd"/>
            <w:r w:rsidRPr="002D77F2">
              <w:rPr>
                <w:rFonts w:ascii="Verdana" w:hAnsi="Verdana"/>
                <w:sz w:val="20"/>
                <w:lang w:val="bg-BG"/>
              </w:rPr>
              <w:t xml:space="preserve"> на </w:t>
            </w:r>
            <w:proofErr w:type="spellStart"/>
            <w:r w:rsidRPr="002D77F2">
              <w:rPr>
                <w:rFonts w:ascii="Verdana" w:hAnsi="Verdana"/>
                <w:sz w:val="20"/>
                <w:lang w:val="bg-BG"/>
              </w:rPr>
              <w:t>квотиран</w:t>
            </w:r>
            <w:proofErr w:type="spellEnd"/>
            <w:r w:rsidRPr="002D77F2">
              <w:rPr>
                <w:rFonts w:ascii="Verdana" w:hAnsi="Verdana"/>
                <w:sz w:val="20"/>
                <w:lang w:val="bg-BG"/>
              </w:rPr>
              <w:t xml:space="preserve"> вид риба и прецизно изпълнение на ангажиментите на Република България при извършването на специфичен мониторинг и контрол при </w:t>
            </w:r>
            <w:proofErr w:type="spellStart"/>
            <w:r w:rsidRPr="002D77F2">
              <w:rPr>
                <w:rFonts w:ascii="Verdana" w:hAnsi="Verdana"/>
                <w:sz w:val="20"/>
                <w:lang w:val="bg-BG"/>
              </w:rPr>
              <w:t>улова</w:t>
            </w:r>
            <w:proofErr w:type="spellEnd"/>
            <w:r w:rsidRPr="002D77F2">
              <w:rPr>
                <w:rFonts w:ascii="Verdana" w:hAnsi="Verdana"/>
                <w:sz w:val="20"/>
                <w:lang w:val="bg-BG"/>
              </w:rPr>
              <w:t xml:space="preserve"> на калкан, включващ редица допълнителни условия, в сравнение с </w:t>
            </w:r>
            <w:proofErr w:type="spellStart"/>
            <w:r w:rsidRPr="002D77F2">
              <w:rPr>
                <w:rFonts w:ascii="Verdana" w:hAnsi="Verdana"/>
                <w:sz w:val="20"/>
                <w:lang w:val="bg-BG"/>
              </w:rPr>
              <w:t>улова</w:t>
            </w:r>
            <w:proofErr w:type="spellEnd"/>
            <w:r w:rsidRPr="002D77F2">
              <w:rPr>
                <w:rFonts w:ascii="Verdana" w:hAnsi="Verdana"/>
                <w:sz w:val="20"/>
                <w:lang w:val="bg-BG"/>
              </w:rPr>
              <w:t xml:space="preserve"> на останалите видове риба и други водни организми. </w:t>
            </w:r>
          </w:p>
          <w:p w:rsidR="009D4EA2" w:rsidRPr="002D77F2" w:rsidRDefault="00381A42" w:rsidP="005101FB">
            <w:pPr>
              <w:pStyle w:val="ListParagraph"/>
              <w:numPr>
                <w:ilvl w:val="0"/>
                <w:numId w:val="1"/>
              </w:numPr>
              <w:spacing w:line="360" w:lineRule="auto"/>
              <w:ind w:left="0" w:firstLine="284"/>
              <w:jc w:val="both"/>
              <w:rPr>
                <w:rFonts w:ascii="Verdana" w:hAnsi="Verdana"/>
                <w:sz w:val="20"/>
                <w:lang w:val="bg-BG"/>
              </w:rPr>
            </w:pPr>
            <w:r w:rsidRPr="002D77F2">
              <w:rPr>
                <w:rFonts w:ascii="Verdana" w:hAnsi="Verdana"/>
                <w:sz w:val="20"/>
                <w:lang w:val="bg-BG"/>
              </w:rPr>
              <w:t>Покриване на разходите, които се извършват за осъществяване на контрол, обработване на документи и регистрация на лицата, развъждащи риба и други водни организми и други.</w:t>
            </w:r>
          </w:p>
        </w:tc>
      </w:tr>
      <w:tr w:rsidR="009D4EA2" w:rsidRPr="002D77F2" w:rsidTr="002B5681">
        <w:tc>
          <w:tcPr>
            <w:tcW w:w="9184" w:type="dxa"/>
            <w:gridSpan w:val="2"/>
            <w:tcBorders>
              <w:top w:val="single" w:sz="18" w:space="0" w:color="auto"/>
              <w:left w:val="single" w:sz="18" w:space="0" w:color="auto"/>
              <w:bottom w:val="single" w:sz="18" w:space="0" w:color="auto"/>
              <w:right w:val="single" w:sz="18" w:space="0" w:color="auto"/>
            </w:tcBorders>
            <w:hideMark/>
          </w:tcPr>
          <w:p w:rsidR="009D4EA2" w:rsidRPr="002D77F2" w:rsidRDefault="009D4EA2" w:rsidP="005520D3">
            <w:pPr>
              <w:spacing w:line="360" w:lineRule="auto"/>
              <w:jc w:val="both"/>
              <w:rPr>
                <w:rFonts w:ascii="Verdana" w:hAnsi="Verdana"/>
                <w:i/>
                <w:sz w:val="20"/>
                <w:lang w:val="bg-BG"/>
              </w:rPr>
            </w:pPr>
            <w:r w:rsidRPr="002D77F2">
              <w:rPr>
                <w:rFonts w:ascii="Verdana" w:hAnsi="Verdana"/>
                <w:b/>
                <w:sz w:val="20"/>
                <w:lang w:val="bg-BG"/>
              </w:rPr>
              <w:lastRenderedPageBreak/>
              <w:t>7. Потенциални рискове:</w:t>
            </w:r>
            <w:r w:rsidRPr="002D77F2">
              <w:rPr>
                <w:rFonts w:ascii="Verdana" w:hAnsi="Verdana"/>
                <w:sz w:val="20"/>
                <w:lang w:val="bg-BG"/>
              </w:rPr>
              <w:t xml:space="preserve"> (</w:t>
            </w:r>
            <w:r w:rsidRPr="002D77F2">
              <w:rPr>
                <w:rFonts w:ascii="Verdana" w:hAnsi="Verdana"/>
                <w:i/>
                <w:sz w:val="20"/>
                <w:lang w:val="bg-BG"/>
              </w:rPr>
              <w:t>Посочете възможните рискове от приемането на нормативната промяна, включително възникване на съдебни спорове.)</w:t>
            </w:r>
          </w:p>
          <w:p w:rsidR="009D4EA2" w:rsidRPr="002D77F2" w:rsidRDefault="009D4EA2" w:rsidP="005520D3">
            <w:pPr>
              <w:spacing w:line="360" w:lineRule="auto"/>
              <w:ind w:firstLine="709"/>
              <w:jc w:val="both"/>
              <w:rPr>
                <w:rFonts w:ascii="Verdana" w:hAnsi="Verdana"/>
                <w:sz w:val="20"/>
                <w:lang w:val="bg-BG"/>
              </w:rPr>
            </w:pPr>
            <w:r w:rsidRPr="002D77F2">
              <w:rPr>
                <w:rFonts w:ascii="Verdana" w:hAnsi="Verdana"/>
                <w:sz w:val="20"/>
                <w:lang w:val="bg-BG"/>
              </w:rPr>
              <w:t xml:space="preserve">Не са идентифицирани възможни конкретни рискове от приемането на </w:t>
            </w:r>
            <w:r w:rsidRPr="002D77F2">
              <w:rPr>
                <w:rFonts w:ascii="Verdana" w:hAnsi="Verdana"/>
                <w:sz w:val="20"/>
                <w:lang w:val="bg-BG"/>
              </w:rPr>
              <w:lastRenderedPageBreak/>
              <w:t xml:space="preserve">тарифата, включително възникване на съдебни спорове. </w:t>
            </w:r>
          </w:p>
        </w:tc>
      </w:tr>
      <w:tr w:rsidR="009D4EA2" w:rsidRPr="002D77F2" w:rsidTr="002B5681">
        <w:tc>
          <w:tcPr>
            <w:tcW w:w="9184" w:type="dxa"/>
            <w:gridSpan w:val="2"/>
            <w:tcBorders>
              <w:top w:val="single" w:sz="18" w:space="0" w:color="auto"/>
              <w:left w:val="single" w:sz="18" w:space="0" w:color="auto"/>
              <w:bottom w:val="single" w:sz="18" w:space="0" w:color="auto"/>
              <w:right w:val="single" w:sz="18" w:space="0" w:color="auto"/>
            </w:tcBorders>
          </w:tcPr>
          <w:p w:rsidR="009D4EA2" w:rsidRPr="002D77F2" w:rsidRDefault="009D4EA2" w:rsidP="00595D1B">
            <w:pPr>
              <w:spacing w:line="360" w:lineRule="auto"/>
              <w:rPr>
                <w:rFonts w:ascii="Verdana" w:hAnsi="Verdana"/>
                <w:b/>
                <w:sz w:val="20"/>
                <w:lang w:val="bg-BG"/>
              </w:rPr>
            </w:pPr>
            <w:r w:rsidRPr="002D77F2">
              <w:rPr>
                <w:rFonts w:ascii="Verdana" w:hAnsi="Verdana"/>
                <w:b/>
                <w:sz w:val="20"/>
                <w:lang w:val="bg-BG"/>
              </w:rPr>
              <w:lastRenderedPageBreak/>
              <w:t>8.1. Административната тежест за физическите и юридическите лица:</w:t>
            </w:r>
          </w:p>
          <w:p w:rsidR="009D4EA2" w:rsidRPr="002D77F2" w:rsidRDefault="00B20F85" w:rsidP="00595D1B">
            <w:pPr>
              <w:spacing w:line="360" w:lineRule="auto"/>
              <w:rPr>
                <w:rFonts w:ascii="Verdana" w:hAnsi="Verdana"/>
                <w:sz w:val="20"/>
                <w:lang w:val="bg-BG"/>
              </w:rPr>
            </w:pPr>
            <w:r w:rsidRPr="002D77F2">
              <w:rPr>
                <w:rFonts w:ascii="MS Gothic" w:eastAsia="MS Gothic" w:hAnsi="MS Gothic" w:cs="MS Gothic" w:hint="eastAsia"/>
                <w:sz w:val="20"/>
                <w:lang w:val="bg-BG"/>
              </w:rPr>
              <w:t>☒</w:t>
            </w:r>
            <w:r w:rsidRPr="002D77F2">
              <w:rPr>
                <w:rFonts w:ascii="Verdana" w:hAnsi="Verdana"/>
                <w:sz w:val="20"/>
                <w:lang w:val="bg-BG"/>
              </w:rPr>
              <w:t xml:space="preserve"> </w:t>
            </w:r>
            <w:r w:rsidR="009D4EA2" w:rsidRPr="002D77F2">
              <w:rPr>
                <w:rFonts w:ascii="Verdana" w:hAnsi="Verdana"/>
                <w:sz w:val="20"/>
                <w:lang w:val="bg-BG"/>
              </w:rPr>
              <w:t>Ще се повиши</w:t>
            </w:r>
          </w:p>
          <w:p w:rsidR="009D4EA2" w:rsidRPr="002D77F2" w:rsidRDefault="009D4EA2" w:rsidP="00595D1B">
            <w:pPr>
              <w:spacing w:line="360" w:lineRule="auto"/>
              <w:rPr>
                <w:rFonts w:ascii="Verdana" w:hAnsi="Verdana"/>
                <w:sz w:val="20"/>
                <w:lang w:val="bg-BG"/>
              </w:rPr>
            </w:pPr>
            <w:r w:rsidRPr="002D77F2">
              <w:rPr>
                <w:rFonts w:ascii="MS Gothic" w:eastAsia="MS Gothic" w:hAnsi="MS Gothic" w:cs="MS Gothic" w:hint="eastAsia"/>
                <w:sz w:val="20"/>
                <w:lang w:val="bg-BG"/>
              </w:rPr>
              <w:t>☐</w:t>
            </w:r>
            <w:r w:rsidRPr="002D77F2">
              <w:rPr>
                <w:rFonts w:ascii="Verdana" w:hAnsi="Verdana"/>
                <w:sz w:val="20"/>
                <w:lang w:val="bg-BG"/>
              </w:rPr>
              <w:t xml:space="preserve"> Ще се намали</w:t>
            </w:r>
          </w:p>
          <w:p w:rsidR="009D4EA2" w:rsidRPr="002D77F2" w:rsidRDefault="00B20F85" w:rsidP="00595D1B">
            <w:pPr>
              <w:spacing w:line="360" w:lineRule="auto"/>
              <w:rPr>
                <w:rFonts w:ascii="Verdana" w:hAnsi="Verdana"/>
                <w:sz w:val="20"/>
                <w:lang w:val="bg-BG"/>
              </w:rPr>
            </w:pPr>
            <w:r w:rsidRPr="002D77F2">
              <w:rPr>
                <w:rFonts w:ascii="MS Gothic" w:eastAsia="MS Gothic" w:hAnsi="MS Gothic" w:cs="MS Gothic" w:hint="eastAsia"/>
                <w:sz w:val="20"/>
                <w:lang w:val="bg-BG"/>
              </w:rPr>
              <w:t>☐</w:t>
            </w:r>
            <w:r w:rsidRPr="002D77F2">
              <w:rPr>
                <w:rFonts w:ascii="MS Gothic" w:eastAsia="MS Gothic" w:hAnsi="MS Gothic" w:cs="MS Gothic"/>
                <w:sz w:val="20"/>
                <w:lang w:val="bg-BG"/>
              </w:rPr>
              <w:t xml:space="preserve"> </w:t>
            </w:r>
            <w:r w:rsidR="009D4EA2" w:rsidRPr="002D77F2">
              <w:rPr>
                <w:rFonts w:ascii="Verdana" w:hAnsi="Verdana"/>
                <w:sz w:val="20"/>
                <w:lang w:val="bg-BG"/>
              </w:rPr>
              <w:t>Няма ефект</w:t>
            </w:r>
          </w:p>
          <w:p w:rsidR="009D4EA2" w:rsidRPr="002D77F2" w:rsidRDefault="009D4EA2" w:rsidP="00595D1B">
            <w:pPr>
              <w:spacing w:line="360" w:lineRule="auto"/>
              <w:rPr>
                <w:rFonts w:ascii="Verdana" w:hAnsi="Verdana"/>
                <w:b/>
                <w:sz w:val="20"/>
                <w:lang w:val="bg-BG"/>
              </w:rPr>
            </w:pPr>
            <w:r w:rsidRPr="002D77F2">
              <w:rPr>
                <w:rFonts w:ascii="Verdana" w:hAnsi="Verdana"/>
                <w:b/>
                <w:sz w:val="20"/>
                <w:lang w:val="bg-BG"/>
              </w:rPr>
              <w:t xml:space="preserve">8.2. Създават ли се нови регулаторни режими? Засягат ли се съществуващи режими и услуги? </w:t>
            </w:r>
          </w:p>
          <w:p w:rsidR="009D4EA2" w:rsidRPr="002D77F2" w:rsidRDefault="009D4EA2" w:rsidP="00595D1B">
            <w:pPr>
              <w:spacing w:line="360" w:lineRule="auto"/>
              <w:rPr>
                <w:rFonts w:ascii="Verdana" w:hAnsi="Verdana"/>
                <w:sz w:val="20"/>
                <w:lang w:val="bg-BG"/>
              </w:rPr>
            </w:pPr>
            <w:r w:rsidRPr="002D77F2">
              <w:rPr>
                <w:rFonts w:ascii="Verdana" w:hAnsi="Verdana"/>
                <w:sz w:val="20"/>
                <w:lang w:val="bg-BG"/>
              </w:rPr>
              <w:t>Няма да се създадат нови регулаторни режими.</w:t>
            </w:r>
          </w:p>
        </w:tc>
      </w:tr>
      <w:tr w:rsidR="009D4EA2" w:rsidRPr="002D77F2" w:rsidTr="002B5681">
        <w:tc>
          <w:tcPr>
            <w:tcW w:w="9184" w:type="dxa"/>
            <w:gridSpan w:val="2"/>
            <w:tcBorders>
              <w:top w:val="single" w:sz="18" w:space="0" w:color="auto"/>
              <w:left w:val="single" w:sz="18" w:space="0" w:color="auto"/>
              <w:bottom w:val="single" w:sz="18" w:space="0" w:color="auto"/>
              <w:right w:val="single" w:sz="18" w:space="0" w:color="auto"/>
            </w:tcBorders>
            <w:hideMark/>
          </w:tcPr>
          <w:p w:rsidR="009D4EA2" w:rsidRPr="002D77F2" w:rsidRDefault="009D4EA2" w:rsidP="0043379B">
            <w:pPr>
              <w:spacing w:line="360" w:lineRule="auto"/>
              <w:rPr>
                <w:rFonts w:ascii="Verdana" w:hAnsi="Verdana"/>
                <w:i/>
                <w:sz w:val="20"/>
                <w:lang w:val="bg-BG"/>
              </w:rPr>
            </w:pPr>
            <w:r w:rsidRPr="002D77F2">
              <w:rPr>
                <w:rFonts w:ascii="Verdana" w:hAnsi="Verdana"/>
                <w:b/>
                <w:sz w:val="20"/>
                <w:lang w:val="bg-BG"/>
              </w:rPr>
              <w:t>9. Създават ли се нови регистри?</w:t>
            </w:r>
            <w:r w:rsidR="00867180" w:rsidRPr="002D77F2">
              <w:rPr>
                <w:rFonts w:ascii="Verdana" w:hAnsi="Verdana"/>
                <w:b/>
                <w:sz w:val="20"/>
                <w:lang w:val="bg-BG"/>
              </w:rPr>
              <w:t xml:space="preserve"> </w:t>
            </w:r>
            <w:r w:rsidRPr="002D77F2">
              <w:rPr>
                <w:rFonts w:ascii="Verdana" w:hAnsi="Verdana"/>
                <w:i/>
                <w:sz w:val="20"/>
                <w:lang w:val="bg-BG"/>
              </w:rPr>
              <w:t>Когато отговорът е „да“, посочете колко и кои са те……………………………………….</w:t>
            </w:r>
          </w:p>
          <w:p w:rsidR="0043379B" w:rsidRPr="002D77F2" w:rsidRDefault="0043379B" w:rsidP="0043379B">
            <w:pPr>
              <w:spacing w:line="360" w:lineRule="auto"/>
              <w:rPr>
                <w:rFonts w:ascii="Verdana" w:hAnsi="Verdana"/>
                <w:b/>
                <w:sz w:val="20"/>
                <w:lang w:val="bg-BG"/>
              </w:rPr>
            </w:pPr>
            <w:r w:rsidRPr="002D77F2">
              <w:rPr>
                <w:rFonts w:ascii="Verdana" w:hAnsi="Verdana"/>
                <w:sz w:val="20"/>
                <w:lang w:val="bg-BG"/>
              </w:rPr>
              <w:t>Не. Не се създават нови регистри.</w:t>
            </w:r>
          </w:p>
        </w:tc>
      </w:tr>
      <w:tr w:rsidR="009D4EA2" w:rsidRPr="002D77F2" w:rsidTr="002B5681">
        <w:tc>
          <w:tcPr>
            <w:tcW w:w="9184" w:type="dxa"/>
            <w:gridSpan w:val="2"/>
            <w:tcBorders>
              <w:top w:val="single" w:sz="18" w:space="0" w:color="auto"/>
              <w:left w:val="single" w:sz="18" w:space="0" w:color="auto"/>
              <w:bottom w:val="single" w:sz="18" w:space="0" w:color="auto"/>
              <w:right w:val="single" w:sz="18" w:space="0" w:color="auto"/>
            </w:tcBorders>
            <w:hideMark/>
          </w:tcPr>
          <w:p w:rsidR="009D4EA2" w:rsidRPr="002D77F2" w:rsidRDefault="009D4EA2" w:rsidP="00595D1B">
            <w:pPr>
              <w:spacing w:line="360" w:lineRule="auto"/>
              <w:rPr>
                <w:rFonts w:ascii="Verdana" w:hAnsi="Verdana"/>
                <w:b/>
                <w:sz w:val="20"/>
                <w:lang w:val="bg-BG"/>
              </w:rPr>
            </w:pPr>
            <w:r w:rsidRPr="002D77F2">
              <w:rPr>
                <w:rFonts w:ascii="Verdana" w:hAnsi="Verdana"/>
                <w:b/>
                <w:sz w:val="20"/>
                <w:lang w:val="bg-BG"/>
              </w:rPr>
              <w:t xml:space="preserve">10. Как въздейства актът върху </w:t>
            </w:r>
            <w:proofErr w:type="spellStart"/>
            <w:r w:rsidRPr="002D77F2">
              <w:rPr>
                <w:rFonts w:ascii="Verdana" w:hAnsi="Verdana"/>
                <w:b/>
                <w:sz w:val="20"/>
                <w:lang w:val="bg-BG"/>
              </w:rPr>
              <w:t>микро-</w:t>
            </w:r>
            <w:proofErr w:type="spellEnd"/>
            <w:r w:rsidRPr="002D77F2">
              <w:rPr>
                <w:rFonts w:ascii="Verdana" w:hAnsi="Verdana"/>
                <w:b/>
                <w:sz w:val="20"/>
                <w:lang w:val="bg-BG"/>
              </w:rPr>
              <w:t>, малките и средните предприятия (МСП)?</w:t>
            </w:r>
          </w:p>
          <w:p w:rsidR="009D4EA2" w:rsidRPr="002D77F2" w:rsidRDefault="00DD2EAD" w:rsidP="00595D1B">
            <w:pPr>
              <w:spacing w:line="360" w:lineRule="auto"/>
              <w:rPr>
                <w:rFonts w:ascii="Verdana" w:hAnsi="Verdana"/>
                <w:sz w:val="20"/>
                <w:lang w:val="bg-BG"/>
              </w:rPr>
            </w:pPr>
            <w:r w:rsidRPr="002D77F2">
              <w:rPr>
                <w:rFonts w:ascii="MS Gothic" w:eastAsia="MS Gothic" w:hAnsi="MS Gothic" w:cs="MS Gothic" w:hint="eastAsia"/>
                <w:sz w:val="20"/>
                <w:lang w:val="bg-BG"/>
              </w:rPr>
              <w:t>☒</w:t>
            </w:r>
            <w:r w:rsidRPr="002D77F2">
              <w:rPr>
                <w:rFonts w:ascii="Verdana" w:hAnsi="Verdana"/>
                <w:sz w:val="20"/>
                <w:lang w:val="bg-BG"/>
              </w:rPr>
              <w:t xml:space="preserve">  </w:t>
            </w:r>
            <w:r w:rsidR="009D4EA2" w:rsidRPr="002D77F2">
              <w:rPr>
                <w:rFonts w:ascii="Verdana" w:hAnsi="Verdana"/>
                <w:sz w:val="20"/>
                <w:lang w:val="bg-BG"/>
              </w:rPr>
              <w:t>Актът засяга пряко МСП</w:t>
            </w:r>
          </w:p>
          <w:p w:rsidR="009D4EA2" w:rsidRPr="002D77F2" w:rsidRDefault="009D4EA2" w:rsidP="00595D1B">
            <w:pPr>
              <w:spacing w:line="360" w:lineRule="auto"/>
              <w:rPr>
                <w:rFonts w:ascii="Verdana" w:hAnsi="Verdana"/>
                <w:sz w:val="20"/>
                <w:lang w:val="bg-BG"/>
              </w:rPr>
            </w:pPr>
            <w:r w:rsidRPr="002D77F2">
              <w:rPr>
                <w:rFonts w:ascii="MS Gothic" w:eastAsia="MS Gothic" w:hAnsi="MS Gothic" w:cs="MS Gothic" w:hint="eastAsia"/>
                <w:sz w:val="20"/>
                <w:lang w:val="bg-BG"/>
              </w:rPr>
              <w:t>☐</w:t>
            </w:r>
            <w:r w:rsidRPr="002D77F2">
              <w:rPr>
                <w:rFonts w:ascii="Verdana" w:hAnsi="Verdana"/>
                <w:sz w:val="20"/>
                <w:lang w:val="bg-BG"/>
              </w:rPr>
              <w:t xml:space="preserve">  Актът не засяга МСП</w:t>
            </w:r>
          </w:p>
          <w:p w:rsidR="009D4EA2" w:rsidRPr="002D77F2" w:rsidRDefault="00DD2EAD" w:rsidP="00595D1B">
            <w:pPr>
              <w:spacing w:line="360" w:lineRule="auto"/>
              <w:rPr>
                <w:rFonts w:ascii="Verdana" w:hAnsi="Verdana"/>
                <w:sz w:val="20"/>
                <w:lang w:val="bg-BG"/>
              </w:rPr>
            </w:pPr>
            <w:r w:rsidRPr="002D77F2">
              <w:rPr>
                <w:rFonts w:ascii="MS Gothic" w:eastAsia="MS Gothic" w:hAnsi="MS Gothic" w:cs="MS Gothic" w:hint="eastAsia"/>
                <w:sz w:val="20"/>
                <w:lang w:val="bg-BG"/>
              </w:rPr>
              <w:t>☐</w:t>
            </w:r>
            <w:r w:rsidRPr="002D77F2">
              <w:rPr>
                <w:rFonts w:ascii="Verdana" w:hAnsi="Verdana"/>
                <w:sz w:val="20"/>
                <w:lang w:val="bg-BG"/>
              </w:rPr>
              <w:t xml:space="preserve"> </w:t>
            </w:r>
            <w:r w:rsidRPr="002D77F2">
              <w:rPr>
                <w:rFonts w:ascii="Verdana" w:hAnsi="Verdana"/>
                <w:sz w:val="20"/>
                <w:lang w:val="en-US"/>
              </w:rPr>
              <w:t xml:space="preserve"> </w:t>
            </w:r>
            <w:r w:rsidR="009D4EA2" w:rsidRPr="002D77F2">
              <w:rPr>
                <w:rFonts w:ascii="Verdana" w:hAnsi="Verdana"/>
                <w:sz w:val="20"/>
                <w:lang w:val="bg-BG"/>
              </w:rPr>
              <w:t>Няма ефект</w:t>
            </w:r>
          </w:p>
        </w:tc>
      </w:tr>
      <w:tr w:rsidR="009D4EA2" w:rsidRPr="002D77F2" w:rsidTr="002B5681">
        <w:tc>
          <w:tcPr>
            <w:tcW w:w="9184" w:type="dxa"/>
            <w:gridSpan w:val="2"/>
            <w:tcBorders>
              <w:top w:val="single" w:sz="18" w:space="0" w:color="auto"/>
              <w:left w:val="single" w:sz="18" w:space="0" w:color="auto"/>
              <w:bottom w:val="single" w:sz="18" w:space="0" w:color="auto"/>
              <w:right w:val="single" w:sz="18" w:space="0" w:color="auto"/>
            </w:tcBorders>
            <w:hideMark/>
          </w:tcPr>
          <w:p w:rsidR="009D4EA2" w:rsidRPr="002D77F2" w:rsidRDefault="009D4EA2" w:rsidP="00595D1B">
            <w:pPr>
              <w:spacing w:line="360" w:lineRule="auto"/>
              <w:rPr>
                <w:rFonts w:ascii="Verdana" w:hAnsi="Verdana"/>
                <w:b/>
                <w:sz w:val="20"/>
                <w:lang w:val="bg-BG"/>
              </w:rPr>
            </w:pPr>
            <w:r w:rsidRPr="002D77F2">
              <w:rPr>
                <w:rFonts w:ascii="Verdana" w:hAnsi="Verdana"/>
                <w:b/>
                <w:sz w:val="20"/>
                <w:lang w:val="bg-BG"/>
              </w:rPr>
              <w:t>11.  Проектът на нормативен акт изисква ли цялостна оценка на въздействието?</w:t>
            </w:r>
          </w:p>
          <w:p w:rsidR="009D4EA2" w:rsidRPr="002D77F2" w:rsidRDefault="009D4EA2" w:rsidP="00595D1B">
            <w:pPr>
              <w:spacing w:line="360" w:lineRule="auto"/>
              <w:rPr>
                <w:rFonts w:ascii="Verdana" w:hAnsi="Verdana"/>
                <w:sz w:val="20"/>
                <w:lang w:val="bg-BG"/>
              </w:rPr>
            </w:pPr>
            <w:r w:rsidRPr="002D77F2">
              <w:rPr>
                <w:rFonts w:ascii="MS Gothic" w:eastAsia="MS Gothic" w:hAnsi="MS Gothic" w:cs="MS Gothic" w:hint="eastAsia"/>
                <w:sz w:val="20"/>
                <w:lang w:val="bg-BG"/>
              </w:rPr>
              <w:t>☐</w:t>
            </w:r>
            <w:r w:rsidRPr="002D77F2">
              <w:rPr>
                <w:rFonts w:ascii="Verdana" w:hAnsi="Verdana"/>
                <w:sz w:val="20"/>
                <w:lang w:val="bg-BG"/>
              </w:rPr>
              <w:t xml:space="preserve"> Да</w:t>
            </w:r>
          </w:p>
          <w:p w:rsidR="009D4EA2" w:rsidRPr="002D77F2" w:rsidRDefault="00CB6B93" w:rsidP="00595D1B">
            <w:pPr>
              <w:spacing w:line="360" w:lineRule="auto"/>
              <w:rPr>
                <w:rFonts w:ascii="Verdana" w:hAnsi="Verdana"/>
                <w:sz w:val="20"/>
                <w:lang w:val="bg-BG"/>
              </w:rPr>
            </w:pPr>
            <w:r w:rsidRPr="002D77F2">
              <w:rPr>
                <w:rFonts w:ascii="MS Gothic" w:eastAsia="MS Gothic" w:hAnsi="MS Gothic" w:cs="MS Gothic" w:hint="eastAsia"/>
                <w:sz w:val="20"/>
                <w:lang w:val="bg-BG"/>
              </w:rPr>
              <w:t>☒</w:t>
            </w:r>
            <w:r w:rsidR="009D4EA2" w:rsidRPr="002D77F2">
              <w:rPr>
                <w:rFonts w:ascii="Verdana" w:hAnsi="Verdana"/>
                <w:sz w:val="20"/>
                <w:lang w:val="bg-BG"/>
              </w:rPr>
              <w:t xml:space="preserve"> Не</w:t>
            </w:r>
          </w:p>
        </w:tc>
      </w:tr>
      <w:tr w:rsidR="009D4EA2" w:rsidRPr="009D4EA2" w:rsidTr="002B5681">
        <w:tc>
          <w:tcPr>
            <w:tcW w:w="9184" w:type="dxa"/>
            <w:gridSpan w:val="2"/>
            <w:tcBorders>
              <w:top w:val="single" w:sz="18" w:space="0" w:color="auto"/>
              <w:left w:val="single" w:sz="18" w:space="0" w:color="auto"/>
              <w:bottom w:val="single" w:sz="18" w:space="0" w:color="auto"/>
              <w:right w:val="single" w:sz="18" w:space="0" w:color="auto"/>
            </w:tcBorders>
          </w:tcPr>
          <w:p w:rsidR="009A2C0B" w:rsidRPr="002D77F2" w:rsidRDefault="009D4EA2" w:rsidP="00595D1B">
            <w:pPr>
              <w:spacing w:line="360" w:lineRule="auto"/>
              <w:jc w:val="both"/>
              <w:rPr>
                <w:rFonts w:ascii="Verdana" w:hAnsi="Verdana"/>
                <w:sz w:val="20"/>
                <w:lang w:val="bg-BG"/>
              </w:rPr>
            </w:pPr>
            <w:r w:rsidRPr="002D77F2">
              <w:rPr>
                <w:rFonts w:ascii="Verdana" w:hAnsi="Verdana"/>
                <w:b/>
                <w:sz w:val="20"/>
                <w:lang w:val="bg-BG"/>
              </w:rPr>
              <w:t>12. Обществени консултации:</w:t>
            </w:r>
            <w:r w:rsidRPr="002D77F2">
              <w:rPr>
                <w:rFonts w:ascii="Verdana" w:hAnsi="Verdana"/>
                <w:sz w:val="20"/>
                <w:lang w:val="bg-BG"/>
              </w:rPr>
              <w:t xml:space="preserve"> </w:t>
            </w:r>
            <w:r w:rsidR="00DD407D" w:rsidRPr="002D77F2">
              <w:rPr>
                <w:rFonts w:ascii="Verdana" w:hAnsi="Verdana"/>
                <w:i/>
                <w:sz w:val="20"/>
                <w:lang w:val="bg-BG"/>
              </w:rPr>
              <w:t>Обобщете най-важните въпроси за  консултации в случай на извършване на цялостна оценка на въздействието или за обществените консултации по чл. 26 от Закона за нормативните актове. Посочете индикативен график за тяхното провеждане и видовете консултационни процедури.</w:t>
            </w:r>
          </w:p>
          <w:p w:rsidR="00660A2D" w:rsidRPr="002D77F2" w:rsidRDefault="00660A2D" w:rsidP="009A2C0B">
            <w:pPr>
              <w:spacing w:line="360" w:lineRule="auto"/>
              <w:ind w:firstLine="709"/>
              <w:jc w:val="both"/>
              <w:rPr>
                <w:rFonts w:ascii="Verdana" w:hAnsi="Verdana"/>
                <w:sz w:val="20"/>
                <w:lang w:val="bg-BG"/>
              </w:rPr>
            </w:pPr>
            <w:r w:rsidRPr="002D77F2">
              <w:rPr>
                <w:rFonts w:ascii="Verdana" w:hAnsi="Verdana"/>
                <w:sz w:val="20"/>
                <w:lang w:val="bg-BG"/>
              </w:rPr>
              <w:t>Проекта на Тарифата ще бъде публикуван на портала за обществени консултации и на интернет страницата на МЗХ, като на осн</w:t>
            </w:r>
            <w:r w:rsidR="00C6357C" w:rsidRPr="002D77F2">
              <w:rPr>
                <w:rFonts w:ascii="Verdana" w:hAnsi="Verdana"/>
                <w:sz w:val="20"/>
                <w:lang w:val="bg-BG"/>
              </w:rPr>
              <w:t>ование чл. 26, ал. 4, изр. първо</w:t>
            </w:r>
            <w:r w:rsidRPr="002D77F2">
              <w:rPr>
                <w:rFonts w:ascii="Verdana" w:hAnsi="Verdana"/>
                <w:sz w:val="20"/>
                <w:lang w:val="bg-BG"/>
              </w:rPr>
              <w:t xml:space="preserve"> от Закона за нормативните актове, срокът за получаване на предложения и становища е </w:t>
            </w:r>
            <w:r w:rsidR="002C1797" w:rsidRPr="002D77F2">
              <w:rPr>
                <w:rFonts w:ascii="Verdana" w:hAnsi="Verdana"/>
                <w:sz w:val="20"/>
                <w:lang w:val="bg-BG"/>
              </w:rPr>
              <w:t>30</w:t>
            </w:r>
            <w:r w:rsidRPr="002D77F2">
              <w:rPr>
                <w:rFonts w:ascii="Verdana" w:hAnsi="Verdana"/>
                <w:sz w:val="20"/>
                <w:lang w:val="bg-BG"/>
              </w:rPr>
              <w:t xml:space="preserve"> дни. Справката за отразените становища ще бъде публикувана на портала за обществени консултации и на интернет страницата на МЗХ.</w:t>
            </w:r>
          </w:p>
          <w:p w:rsidR="00F17589" w:rsidRPr="002D77F2" w:rsidRDefault="00F17589" w:rsidP="00F17589">
            <w:pPr>
              <w:spacing w:line="360" w:lineRule="auto"/>
              <w:ind w:firstLine="709"/>
              <w:jc w:val="both"/>
              <w:rPr>
                <w:rFonts w:ascii="Verdana" w:hAnsi="Verdana"/>
                <w:sz w:val="20"/>
                <w:lang w:val="bg-BG"/>
              </w:rPr>
            </w:pPr>
            <w:r w:rsidRPr="002D77F2">
              <w:rPr>
                <w:rFonts w:ascii="Verdana" w:hAnsi="Verdana"/>
                <w:sz w:val="20"/>
                <w:lang w:val="bg-BG"/>
              </w:rPr>
              <w:t xml:space="preserve">Очакваният старт на обществените консултации се предвижда да бъде през </w:t>
            </w:r>
            <w:r w:rsidR="00405B1F">
              <w:rPr>
                <w:rFonts w:ascii="Verdana" w:hAnsi="Verdana"/>
                <w:sz w:val="20"/>
                <w:lang w:val="bg-BG"/>
              </w:rPr>
              <w:t>периода 01.</w:t>
            </w:r>
            <w:proofErr w:type="spellStart"/>
            <w:r w:rsidR="00405B1F">
              <w:rPr>
                <w:rFonts w:ascii="Verdana" w:hAnsi="Verdana"/>
                <w:sz w:val="20"/>
                <w:lang w:val="bg-BG"/>
              </w:rPr>
              <w:t>01</w:t>
            </w:r>
            <w:proofErr w:type="spellEnd"/>
            <w:r w:rsidR="00405B1F">
              <w:rPr>
                <w:rFonts w:ascii="Verdana" w:hAnsi="Verdana"/>
                <w:sz w:val="20"/>
                <w:lang w:val="bg-BG"/>
              </w:rPr>
              <w:t>.2018 г. до 30.06.2018 г.</w:t>
            </w:r>
            <w:r w:rsidRPr="002D77F2">
              <w:rPr>
                <w:rFonts w:ascii="Verdana" w:hAnsi="Verdana"/>
                <w:sz w:val="20"/>
                <w:lang w:val="bg-BG"/>
              </w:rPr>
              <w:t xml:space="preserve"> </w:t>
            </w:r>
          </w:p>
          <w:p w:rsidR="009D4EA2" w:rsidRPr="00595D1B" w:rsidRDefault="00660A2D" w:rsidP="00867180">
            <w:pPr>
              <w:spacing w:line="360" w:lineRule="auto"/>
              <w:ind w:firstLine="709"/>
              <w:jc w:val="both"/>
              <w:rPr>
                <w:rFonts w:ascii="Verdana" w:hAnsi="Verdana"/>
                <w:sz w:val="20"/>
                <w:lang w:val="bg-BG"/>
              </w:rPr>
            </w:pPr>
            <w:r w:rsidRPr="002D77F2">
              <w:rPr>
                <w:rFonts w:ascii="Verdana" w:hAnsi="Verdana"/>
                <w:sz w:val="20"/>
                <w:lang w:val="bg-BG"/>
              </w:rPr>
              <w:t xml:space="preserve">Проектът ще се съгласува </w:t>
            </w:r>
            <w:r w:rsidR="00C6357C" w:rsidRPr="002D77F2">
              <w:rPr>
                <w:rFonts w:ascii="Verdana" w:hAnsi="Verdana"/>
                <w:sz w:val="20"/>
                <w:lang w:val="bg-BG"/>
              </w:rPr>
              <w:t>в съответствие с чл. 32</w:t>
            </w:r>
            <w:r w:rsidRPr="002D77F2">
              <w:rPr>
                <w:rFonts w:ascii="Verdana" w:hAnsi="Verdana"/>
                <w:sz w:val="20"/>
                <w:lang w:val="bg-BG"/>
              </w:rPr>
              <w:t xml:space="preserve"> от </w:t>
            </w:r>
            <w:proofErr w:type="spellStart"/>
            <w:r w:rsidRPr="002D77F2">
              <w:rPr>
                <w:rFonts w:ascii="Verdana" w:hAnsi="Verdana"/>
                <w:sz w:val="20"/>
                <w:lang w:val="bg-BG"/>
              </w:rPr>
              <w:t>Устройствения</w:t>
            </w:r>
            <w:proofErr w:type="spellEnd"/>
            <w:r w:rsidRPr="002D77F2">
              <w:rPr>
                <w:rFonts w:ascii="Verdana" w:hAnsi="Verdana"/>
                <w:sz w:val="20"/>
                <w:lang w:val="bg-BG"/>
              </w:rPr>
              <w:t xml:space="preserve"> правилник на Министерския съвет и на неговата администрация с всички министер</w:t>
            </w:r>
            <w:r w:rsidR="00640FFE" w:rsidRPr="002D77F2">
              <w:rPr>
                <w:rFonts w:ascii="Verdana" w:hAnsi="Verdana"/>
                <w:sz w:val="20"/>
                <w:lang w:val="bg-BG"/>
              </w:rPr>
              <w:t>ст</w:t>
            </w:r>
            <w:r w:rsidRPr="002D77F2">
              <w:rPr>
                <w:rFonts w:ascii="Verdana" w:hAnsi="Verdana"/>
                <w:sz w:val="20"/>
                <w:lang w:val="bg-BG"/>
              </w:rPr>
              <w:t>ва.</w:t>
            </w:r>
          </w:p>
        </w:tc>
      </w:tr>
      <w:tr w:rsidR="009D4EA2" w:rsidRPr="009D4EA2" w:rsidTr="002B5681">
        <w:tc>
          <w:tcPr>
            <w:tcW w:w="9184" w:type="dxa"/>
            <w:gridSpan w:val="2"/>
            <w:tcBorders>
              <w:top w:val="single" w:sz="18" w:space="0" w:color="auto"/>
              <w:left w:val="single" w:sz="18" w:space="0" w:color="auto"/>
              <w:bottom w:val="single" w:sz="18" w:space="0" w:color="auto"/>
              <w:right w:val="single" w:sz="18" w:space="0" w:color="auto"/>
            </w:tcBorders>
          </w:tcPr>
          <w:p w:rsidR="009D4EA2" w:rsidRPr="00595D1B" w:rsidRDefault="009D4EA2" w:rsidP="00595D1B">
            <w:pPr>
              <w:spacing w:line="360" w:lineRule="auto"/>
              <w:jc w:val="both"/>
              <w:rPr>
                <w:rFonts w:ascii="Verdana" w:hAnsi="Verdana"/>
                <w:b/>
                <w:sz w:val="20"/>
                <w:lang w:val="bg-BG"/>
              </w:rPr>
            </w:pPr>
            <w:r w:rsidRPr="00595D1B">
              <w:rPr>
                <w:rFonts w:ascii="Verdana" w:hAnsi="Verdana"/>
                <w:b/>
                <w:sz w:val="20"/>
                <w:lang w:val="bg-BG"/>
              </w:rPr>
              <w:t xml:space="preserve">13. Приемането на нормативния акт произтича ли от правото на </w:t>
            </w:r>
            <w:r w:rsidRPr="00595D1B">
              <w:rPr>
                <w:rFonts w:ascii="Verdana" w:hAnsi="Verdana"/>
                <w:b/>
                <w:sz w:val="20"/>
                <w:lang w:val="bg-BG"/>
              </w:rPr>
              <w:lastRenderedPageBreak/>
              <w:t>Европейския съюз?</w:t>
            </w:r>
            <w:r w:rsidR="005101FB" w:rsidRPr="00595D1B">
              <w:rPr>
                <w:rFonts w:ascii="Verdana" w:hAnsi="Verdana"/>
                <w:i/>
                <w:sz w:val="20"/>
                <w:lang w:val="bg-BG"/>
              </w:rPr>
              <w:t xml:space="preserve"> Моля посочете изискванията на правото на Европейския съюз, включително информацията по т. 8.1 и 8.2, дали е извършена оценка на въздействието на ниво Европейски съюз, и я приложете (или посочете връзка към източник).</w:t>
            </w:r>
          </w:p>
          <w:p w:rsidR="009D4EA2" w:rsidRPr="00595D1B" w:rsidRDefault="009D4EA2" w:rsidP="00595D1B">
            <w:pPr>
              <w:spacing w:line="360" w:lineRule="auto"/>
              <w:rPr>
                <w:rFonts w:ascii="Verdana" w:hAnsi="Verdana"/>
                <w:sz w:val="20"/>
                <w:lang w:val="bg-BG"/>
              </w:rPr>
            </w:pPr>
            <w:r w:rsidRPr="00595D1B">
              <w:rPr>
                <w:rFonts w:ascii="MS Gothic" w:eastAsia="MS Gothic" w:hAnsi="MS Gothic" w:cs="MS Gothic" w:hint="eastAsia"/>
                <w:sz w:val="20"/>
                <w:lang w:val="bg-BG"/>
              </w:rPr>
              <w:t>☐</w:t>
            </w:r>
            <w:r w:rsidRPr="00595D1B">
              <w:rPr>
                <w:rFonts w:ascii="Verdana" w:hAnsi="Verdana"/>
                <w:sz w:val="20"/>
                <w:lang w:val="bg-BG"/>
              </w:rPr>
              <w:t xml:space="preserve"> Да</w:t>
            </w:r>
          </w:p>
          <w:p w:rsidR="009D4EA2" w:rsidRPr="0043379B" w:rsidRDefault="00CB6B93" w:rsidP="0043379B">
            <w:pPr>
              <w:spacing w:line="360" w:lineRule="auto"/>
              <w:jc w:val="both"/>
              <w:rPr>
                <w:rFonts w:ascii="Verdana" w:hAnsi="Verdana"/>
                <w:sz w:val="20"/>
                <w:lang w:val="bg-BG"/>
              </w:rPr>
            </w:pPr>
            <w:r w:rsidRPr="00595D1B">
              <w:rPr>
                <w:rFonts w:ascii="MS Gothic" w:eastAsia="MS Gothic" w:hAnsi="MS Gothic" w:cs="MS Gothic" w:hint="eastAsia"/>
                <w:sz w:val="20"/>
                <w:lang w:val="bg-BG"/>
              </w:rPr>
              <w:t>☒</w:t>
            </w:r>
            <w:r w:rsidR="009D4EA2" w:rsidRPr="00595D1B">
              <w:rPr>
                <w:rFonts w:ascii="Verdana" w:hAnsi="Verdana"/>
                <w:sz w:val="20"/>
                <w:lang w:val="bg-BG"/>
              </w:rPr>
              <w:t xml:space="preserve"> Не</w:t>
            </w:r>
          </w:p>
        </w:tc>
      </w:tr>
      <w:tr w:rsidR="009D4EA2" w:rsidRPr="009D4EA2" w:rsidTr="004D581C">
        <w:trPr>
          <w:trHeight w:val="1864"/>
        </w:trPr>
        <w:tc>
          <w:tcPr>
            <w:tcW w:w="9184" w:type="dxa"/>
            <w:gridSpan w:val="2"/>
            <w:tcBorders>
              <w:top w:val="single" w:sz="18" w:space="0" w:color="auto"/>
              <w:left w:val="single" w:sz="18" w:space="0" w:color="auto"/>
              <w:bottom w:val="single" w:sz="18" w:space="0" w:color="auto"/>
              <w:right w:val="single" w:sz="18" w:space="0" w:color="auto"/>
            </w:tcBorders>
            <w:hideMark/>
          </w:tcPr>
          <w:p w:rsidR="009D4EA2" w:rsidRPr="00595D1B" w:rsidRDefault="009D4EA2" w:rsidP="00595D1B">
            <w:pPr>
              <w:spacing w:line="360" w:lineRule="auto"/>
              <w:rPr>
                <w:rFonts w:ascii="Verdana" w:hAnsi="Verdana"/>
                <w:b/>
                <w:sz w:val="20"/>
                <w:lang w:val="bg-BG"/>
              </w:rPr>
            </w:pPr>
            <w:r w:rsidRPr="00595D1B">
              <w:rPr>
                <w:rFonts w:ascii="Verdana" w:hAnsi="Verdana"/>
                <w:b/>
                <w:sz w:val="20"/>
                <w:lang w:val="bg-BG"/>
              </w:rPr>
              <w:lastRenderedPageBreak/>
              <w:t>14. Име, длъжност, дата и подпис на директора на дирекцията, отговорна за изработването на нормативния акт:</w:t>
            </w:r>
          </w:p>
          <w:p w:rsidR="009D4EA2" w:rsidRPr="00696543" w:rsidRDefault="009D4EA2" w:rsidP="00595D1B">
            <w:pPr>
              <w:spacing w:line="360" w:lineRule="auto"/>
              <w:rPr>
                <w:rFonts w:ascii="Verdana" w:hAnsi="Verdana"/>
                <w:sz w:val="20"/>
                <w:lang w:val="bg-BG"/>
              </w:rPr>
            </w:pPr>
            <w:r w:rsidRPr="00595D1B">
              <w:rPr>
                <w:rFonts w:ascii="Verdana" w:hAnsi="Verdana"/>
                <w:b/>
                <w:sz w:val="20"/>
                <w:lang w:val="bg-BG"/>
              </w:rPr>
              <w:t xml:space="preserve">Име и длъжност: </w:t>
            </w:r>
            <w:r w:rsidR="002C322A">
              <w:rPr>
                <w:rFonts w:ascii="Verdana" w:hAnsi="Verdana"/>
                <w:sz w:val="20"/>
                <w:lang w:val="bg-BG"/>
              </w:rPr>
              <w:t>Димитър Вълков</w:t>
            </w:r>
            <w:r w:rsidR="00E413DD" w:rsidRPr="00696543">
              <w:rPr>
                <w:rFonts w:ascii="Verdana" w:hAnsi="Verdana"/>
                <w:sz w:val="20"/>
                <w:lang w:val="bg-BG"/>
              </w:rPr>
              <w:t xml:space="preserve"> </w:t>
            </w:r>
            <w:r w:rsidR="002C322A">
              <w:rPr>
                <w:rFonts w:ascii="Verdana" w:hAnsi="Verdana"/>
                <w:sz w:val="20"/>
                <w:lang w:val="bg-BG"/>
              </w:rPr>
              <w:t>–</w:t>
            </w:r>
            <w:r w:rsidR="00E413DD" w:rsidRPr="00696543">
              <w:rPr>
                <w:rFonts w:ascii="Verdana" w:hAnsi="Verdana"/>
                <w:sz w:val="20"/>
                <w:lang w:val="bg-BG"/>
              </w:rPr>
              <w:t xml:space="preserve"> </w:t>
            </w:r>
            <w:r w:rsidR="002C322A">
              <w:rPr>
                <w:rFonts w:ascii="Verdana" w:hAnsi="Verdana"/>
                <w:sz w:val="20"/>
                <w:lang w:val="bg-BG"/>
              </w:rPr>
              <w:t>директор на дирекция „Управление на рибарството и опазване на рибните ресурси“, ИАРА</w:t>
            </w:r>
          </w:p>
          <w:p w:rsidR="009D4EA2" w:rsidRPr="00696543" w:rsidRDefault="009D4EA2" w:rsidP="00595D1B">
            <w:pPr>
              <w:spacing w:line="360" w:lineRule="auto"/>
              <w:rPr>
                <w:rFonts w:ascii="Verdana" w:hAnsi="Verdana"/>
                <w:sz w:val="20"/>
                <w:lang w:val="bg-BG"/>
              </w:rPr>
            </w:pPr>
            <w:r w:rsidRPr="00595D1B">
              <w:rPr>
                <w:rFonts w:ascii="Verdana" w:hAnsi="Verdana"/>
                <w:b/>
                <w:sz w:val="20"/>
                <w:lang w:val="bg-BG"/>
              </w:rPr>
              <w:t xml:space="preserve">Дата: </w:t>
            </w:r>
            <w:r w:rsidR="00D95463">
              <w:rPr>
                <w:rFonts w:ascii="Verdana" w:hAnsi="Verdana"/>
                <w:sz w:val="20"/>
                <w:lang w:val="bg-BG"/>
              </w:rPr>
              <w:t>05</w:t>
            </w:r>
            <w:r w:rsidR="00917A50">
              <w:rPr>
                <w:rFonts w:ascii="Verdana" w:hAnsi="Verdana"/>
                <w:sz w:val="20"/>
                <w:lang w:val="bg-BG"/>
              </w:rPr>
              <w:t>.0</w:t>
            </w:r>
            <w:r w:rsidR="00D95463">
              <w:rPr>
                <w:rFonts w:ascii="Verdana" w:hAnsi="Verdana"/>
                <w:sz w:val="20"/>
                <w:lang w:val="bg-BG"/>
              </w:rPr>
              <w:t>1</w:t>
            </w:r>
            <w:r w:rsidR="00917A50">
              <w:rPr>
                <w:rFonts w:ascii="Verdana" w:hAnsi="Verdana"/>
                <w:sz w:val="20"/>
                <w:lang w:val="bg-BG"/>
              </w:rPr>
              <w:t>.201</w:t>
            </w:r>
            <w:r w:rsidR="00D95463">
              <w:rPr>
                <w:rFonts w:ascii="Verdana" w:hAnsi="Verdana"/>
                <w:sz w:val="20"/>
                <w:lang w:val="bg-BG"/>
              </w:rPr>
              <w:t>8</w:t>
            </w:r>
            <w:r w:rsidR="00E413DD" w:rsidRPr="00696543">
              <w:rPr>
                <w:rFonts w:ascii="Verdana" w:hAnsi="Verdana"/>
                <w:sz w:val="20"/>
                <w:lang w:val="bg-BG"/>
              </w:rPr>
              <w:t xml:space="preserve"> г.</w:t>
            </w:r>
          </w:p>
          <w:p w:rsidR="009D4EA2" w:rsidRPr="00595D1B" w:rsidRDefault="009D4EA2" w:rsidP="00595D1B">
            <w:pPr>
              <w:spacing w:line="360" w:lineRule="auto"/>
              <w:rPr>
                <w:rFonts w:ascii="Verdana" w:hAnsi="Verdana"/>
                <w:b/>
                <w:sz w:val="20"/>
                <w:lang w:val="bg-BG"/>
              </w:rPr>
            </w:pPr>
            <w:r w:rsidRPr="00595D1B">
              <w:rPr>
                <w:rFonts w:ascii="Verdana" w:hAnsi="Verdana"/>
                <w:b/>
                <w:sz w:val="20"/>
                <w:lang w:val="bg-BG"/>
              </w:rPr>
              <w:t>Подпис:</w:t>
            </w:r>
          </w:p>
        </w:tc>
      </w:tr>
    </w:tbl>
    <w:p w:rsidR="009D4EA2" w:rsidRPr="009D4EA2" w:rsidRDefault="009D4EA2">
      <w:pPr>
        <w:rPr>
          <w:rFonts w:asciiTheme="minorHAnsi" w:hAnsiTheme="minorHAnsi"/>
          <w:lang w:val="bg-BG"/>
        </w:rPr>
      </w:pPr>
    </w:p>
    <w:sectPr w:rsidR="009D4EA2" w:rsidRPr="009D4EA2" w:rsidSect="00943566">
      <w:footerReference w:type="default" r:id="rId9"/>
      <w:pgSz w:w="12240" w:h="15840"/>
      <w:pgMar w:top="1276" w:right="1134" w:bottom="142" w:left="1701" w:header="709" w:footer="81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057" w:rsidRDefault="006C3057" w:rsidP="00FC408D">
      <w:r>
        <w:separator/>
      </w:r>
    </w:p>
  </w:endnote>
  <w:endnote w:type="continuationSeparator" w:id="0">
    <w:p w:rsidR="006C3057" w:rsidRDefault="006C3057" w:rsidP="00FC4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bar">
    <w:altName w:val="Arial"/>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9164106"/>
      <w:docPartObj>
        <w:docPartGallery w:val="Page Numbers (Bottom of Page)"/>
        <w:docPartUnique/>
      </w:docPartObj>
    </w:sdtPr>
    <w:sdtEndPr>
      <w:rPr>
        <w:noProof/>
      </w:rPr>
    </w:sdtEndPr>
    <w:sdtContent>
      <w:p w:rsidR="00FC408D" w:rsidRDefault="00FC408D">
        <w:pPr>
          <w:pStyle w:val="Footer"/>
          <w:jc w:val="right"/>
        </w:pPr>
        <w:r>
          <w:fldChar w:fldCharType="begin"/>
        </w:r>
        <w:r>
          <w:instrText xml:space="preserve"> PAGE   \* MERGEFORMAT </w:instrText>
        </w:r>
        <w:r>
          <w:fldChar w:fldCharType="separate"/>
        </w:r>
        <w:r w:rsidR="00BA5D00">
          <w:rPr>
            <w:noProof/>
          </w:rPr>
          <w:t>10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057" w:rsidRDefault="006C3057" w:rsidP="00FC408D">
      <w:r>
        <w:separator/>
      </w:r>
    </w:p>
  </w:footnote>
  <w:footnote w:type="continuationSeparator" w:id="0">
    <w:p w:rsidR="006C3057" w:rsidRDefault="006C3057" w:rsidP="00FC40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81B09"/>
    <w:multiLevelType w:val="hybridMultilevel"/>
    <w:tmpl w:val="9540388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nsid w:val="2C0D2D86"/>
    <w:multiLevelType w:val="hybridMultilevel"/>
    <w:tmpl w:val="45D4627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3FD75847"/>
    <w:multiLevelType w:val="hybridMultilevel"/>
    <w:tmpl w:val="A312903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79CA7FE0"/>
    <w:multiLevelType w:val="hybridMultilevel"/>
    <w:tmpl w:val="79540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B5259C"/>
    <w:multiLevelType w:val="multilevel"/>
    <w:tmpl w:val="1518A246"/>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EA2"/>
    <w:rsid w:val="00001B77"/>
    <w:rsid w:val="000261E3"/>
    <w:rsid w:val="00083F5A"/>
    <w:rsid w:val="000B13DD"/>
    <w:rsid w:val="000B435B"/>
    <w:rsid w:val="000E6144"/>
    <w:rsid w:val="00107FFE"/>
    <w:rsid w:val="00153E12"/>
    <w:rsid w:val="00164B0A"/>
    <w:rsid w:val="00165EEA"/>
    <w:rsid w:val="001A0A6A"/>
    <w:rsid w:val="001B0B32"/>
    <w:rsid w:val="00233C13"/>
    <w:rsid w:val="00274988"/>
    <w:rsid w:val="00275AE9"/>
    <w:rsid w:val="0028683F"/>
    <w:rsid w:val="002C1797"/>
    <w:rsid w:val="002C322A"/>
    <w:rsid w:val="002D0F69"/>
    <w:rsid w:val="002D77F2"/>
    <w:rsid w:val="002E2450"/>
    <w:rsid w:val="002F297A"/>
    <w:rsid w:val="003211B2"/>
    <w:rsid w:val="00322686"/>
    <w:rsid w:val="0036047D"/>
    <w:rsid w:val="00377430"/>
    <w:rsid w:val="00381A42"/>
    <w:rsid w:val="00396572"/>
    <w:rsid w:val="003A337F"/>
    <w:rsid w:val="003D16C9"/>
    <w:rsid w:val="00405B1F"/>
    <w:rsid w:val="00415D08"/>
    <w:rsid w:val="00423615"/>
    <w:rsid w:val="0043379B"/>
    <w:rsid w:val="00446910"/>
    <w:rsid w:val="004863A1"/>
    <w:rsid w:val="00494729"/>
    <w:rsid w:val="004C2886"/>
    <w:rsid w:val="004D581C"/>
    <w:rsid w:val="004E3989"/>
    <w:rsid w:val="004F543F"/>
    <w:rsid w:val="00500591"/>
    <w:rsid w:val="00504BC9"/>
    <w:rsid w:val="005075C0"/>
    <w:rsid w:val="005101FB"/>
    <w:rsid w:val="005520D3"/>
    <w:rsid w:val="00595D1B"/>
    <w:rsid w:val="005B6EFE"/>
    <w:rsid w:val="005F1FFE"/>
    <w:rsid w:val="00600F9A"/>
    <w:rsid w:val="006057AB"/>
    <w:rsid w:val="006219B5"/>
    <w:rsid w:val="00622812"/>
    <w:rsid w:val="00622BC7"/>
    <w:rsid w:val="006242BE"/>
    <w:rsid w:val="00630C49"/>
    <w:rsid w:val="00630E5E"/>
    <w:rsid w:val="00637816"/>
    <w:rsid w:val="00640FFE"/>
    <w:rsid w:val="00660A2D"/>
    <w:rsid w:val="00661042"/>
    <w:rsid w:val="00663792"/>
    <w:rsid w:val="00665A6C"/>
    <w:rsid w:val="006752DC"/>
    <w:rsid w:val="00690044"/>
    <w:rsid w:val="00696543"/>
    <w:rsid w:val="006C2B88"/>
    <w:rsid w:val="006C3057"/>
    <w:rsid w:val="006D57C8"/>
    <w:rsid w:val="006D7FED"/>
    <w:rsid w:val="006E3CAB"/>
    <w:rsid w:val="007046A5"/>
    <w:rsid w:val="007161A6"/>
    <w:rsid w:val="00783BE1"/>
    <w:rsid w:val="007A45FA"/>
    <w:rsid w:val="007A6C44"/>
    <w:rsid w:val="007B7C8D"/>
    <w:rsid w:val="00814AB9"/>
    <w:rsid w:val="00826FA1"/>
    <w:rsid w:val="00857B15"/>
    <w:rsid w:val="00867180"/>
    <w:rsid w:val="008804BD"/>
    <w:rsid w:val="00882C68"/>
    <w:rsid w:val="008A46D7"/>
    <w:rsid w:val="008C4EFA"/>
    <w:rsid w:val="008D77AF"/>
    <w:rsid w:val="00917A50"/>
    <w:rsid w:val="009206F5"/>
    <w:rsid w:val="009310FC"/>
    <w:rsid w:val="00935373"/>
    <w:rsid w:val="00943126"/>
    <w:rsid w:val="00943566"/>
    <w:rsid w:val="0098050B"/>
    <w:rsid w:val="00981483"/>
    <w:rsid w:val="009A2C0B"/>
    <w:rsid w:val="009A5E11"/>
    <w:rsid w:val="009D4EA2"/>
    <w:rsid w:val="009E1ECD"/>
    <w:rsid w:val="00A576CC"/>
    <w:rsid w:val="00A74188"/>
    <w:rsid w:val="00AA3642"/>
    <w:rsid w:val="00AB0AC3"/>
    <w:rsid w:val="00AB64EB"/>
    <w:rsid w:val="00AB68FD"/>
    <w:rsid w:val="00AD0AD7"/>
    <w:rsid w:val="00AD4A06"/>
    <w:rsid w:val="00AF266E"/>
    <w:rsid w:val="00B20F85"/>
    <w:rsid w:val="00B71603"/>
    <w:rsid w:val="00B87082"/>
    <w:rsid w:val="00BA203A"/>
    <w:rsid w:val="00BA5D00"/>
    <w:rsid w:val="00BB5325"/>
    <w:rsid w:val="00BC1AD6"/>
    <w:rsid w:val="00C34780"/>
    <w:rsid w:val="00C3747E"/>
    <w:rsid w:val="00C56F69"/>
    <w:rsid w:val="00C6357C"/>
    <w:rsid w:val="00C81EAD"/>
    <w:rsid w:val="00C92640"/>
    <w:rsid w:val="00CB68F4"/>
    <w:rsid w:val="00CB6B93"/>
    <w:rsid w:val="00CE60AD"/>
    <w:rsid w:val="00CF3031"/>
    <w:rsid w:val="00D313E6"/>
    <w:rsid w:val="00D33B56"/>
    <w:rsid w:val="00D57232"/>
    <w:rsid w:val="00D74C90"/>
    <w:rsid w:val="00D80897"/>
    <w:rsid w:val="00D858D4"/>
    <w:rsid w:val="00D95463"/>
    <w:rsid w:val="00D963DB"/>
    <w:rsid w:val="00DB2DAA"/>
    <w:rsid w:val="00DD2EAD"/>
    <w:rsid w:val="00DD407D"/>
    <w:rsid w:val="00DF2CF2"/>
    <w:rsid w:val="00E01A4B"/>
    <w:rsid w:val="00E27128"/>
    <w:rsid w:val="00E3047C"/>
    <w:rsid w:val="00E413DD"/>
    <w:rsid w:val="00E5447A"/>
    <w:rsid w:val="00E75EC3"/>
    <w:rsid w:val="00E77C63"/>
    <w:rsid w:val="00E824D4"/>
    <w:rsid w:val="00E85D07"/>
    <w:rsid w:val="00EC4C28"/>
    <w:rsid w:val="00EF5980"/>
    <w:rsid w:val="00F17589"/>
    <w:rsid w:val="00F56D4B"/>
    <w:rsid w:val="00F9692B"/>
    <w:rsid w:val="00FC408D"/>
    <w:rsid w:val="00FC7F1C"/>
    <w:rsid w:val="00FE6E15"/>
    <w:rsid w:val="00FF2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EA2"/>
    <w:pPr>
      <w:spacing w:after="0" w:line="240" w:lineRule="auto"/>
    </w:pPr>
    <w:rPr>
      <w:rFonts w:ascii="Hebar" w:eastAsia="Times New Roman" w:hAnsi="Hebar" w:cs="Times New Roman"/>
      <w:sz w:val="24"/>
      <w:szCs w:val="20"/>
      <w:lang w:val="en-GB"/>
    </w:rPr>
  </w:style>
  <w:style w:type="paragraph" w:styleId="Heading3">
    <w:name w:val="heading 3"/>
    <w:basedOn w:val="Normal"/>
    <w:next w:val="Normal"/>
    <w:link w:val="Heading3Char"/>
    <w:uiPriority w:val="9"/>
    <w:semiHidden/>
    <w:unhideWhenUsed/>
    <w:qFormat/>
    <w:rsid w:val="0037743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812"/>
    <w:pPr>
      <w:ind w:left="720"/>
      <w:contextualSpacing/>
    </w:pPr>
  </w:style>
  <w:style w:type="character" w:customStyle="1" w:styleId="Heading3Char">
    <w:name w:val="Heading 3 Char"/>
    <w:basedOn w:val="DefaultParagraphFont"/>
    <w:link w:val="Heading3"/>
    <w:uiPriority w:val="9"/>
    <w:semiHidden/>
    <w:rsid w:val="00377430"/>
    <w:rPr>
      <w:rFonts w:asciiTheme="majorHAnsi" w:eastAsiaTheme="majorEastAsia" w:hAnsiTheme="majorHAnsi" w:cstheme="majorBidi"/>
      <w:b/>
      <w:bCs/>
      <w:color w:val="4F81BD" w:themeColor="accent1"/>
      <w:sz w:val="24"/>
      <w:szCs w:val="20"/>
      <w:lang w:val="en-GB"/>
    </w:rPr>
  </w:style>
  <w:style w:type="paragraph" w:styleId="Header">
    <w:name w:val="header"/>
    <w:basedOn w:val="Normal"/>
    <w:link w:val="HeaderChar"/>
    <w:uiPriority w:val="99"/>
    <w:unhideWhenUsed/>
    <w:rsid w:val="00FC408D"/>
    <w:pPr>
      <w:tabs>
        <w:tab w:val="center" w:pos="4703"/>
        <w:tab w:val="right" w:pos="9406"/>
      </w:tabs>
    </w:pPr>
  </w:style>
  <w:style w:type="character" w:customStyle="1" w:styleId="HeaderChar">
    <w:name w:val="Header Char"/>
    <w:basedOn w:val="DefaultParagraphFont"/>
    <w:link w:val="Header"/>
    <w:uiPriority w:val="99"/>
    <w:rsid w:val="00FC408D"/>
    <w:rPr>
      <w:rFonts w:ascii="Hebar" w:eastAsia="Times New Roman" w:hAnsi="Hebar" w:cs="Times New Roman"/>
      <w:sz w:val="24"/>
      <w:szCs w:val="20"/>
      <w:lang w:val="en-GB"/>
    </w:rPr>
  </w:style>
  <w:style w:type="paragraph" w:styleId="Footer">
    <w:name w:val="footer"/>
    <w:basedOn w:val="Normal"/>
    <w:link w:val="FooterChar"/>
    <w:uiPriority w:val="99"/>
    <w:unhideWhenUsed/>
    <w:rsid w:val="00FC408D"/>
    <w:pPr>
      <w:tabs>
        <w:tab w:val="center" w:pos="4703"/>
        <w:tab w:val="right" w:pos="9406"/>
      </w:tabs>
    </w:pPr>
  </w:style>
  <w:style w:type="character" w:customStyle="1" w:styleId="FooterChar">
    <w:name w:val="Footer Char"/>
    <w:basedOn w:val="DefaultParagraphFont"/>
    <w:link w:val="Footer"/>
    <w:uiPriority w:val="99"/>
    <w:rsid w:val="00FC408D"/>
    <w:rPr>
      <w:rFonts w:ascii="Hebar" w:eastAsia="Times New Roman" w:hAnsi="Hebar" w:cs="Times New Roman"/>
      <w:sz w:val="24"/>
      <w:szCs w:val="20"/>
      <w:lang w:val="en-GB"/>
    </w:rPr>
  </w:style>
  <w:style w:type="paragraph" w:styleId="BalloonText">
    <w:name w:val="Balloon Text"/>
    <w:basedOn w:val="Normal"/>
    <w:link w:val="BalloonTextChar"/>
    <w:uiPriority w:val="99"/>
    <w:semiHidden/>
    <w:unhideWhenUsed/>
    <w:rsid w:val="001A0A6A"/>
    <w:rPr>
      <w:rFonts w:ascii="Tahoma" w:hAnsi="Tahoma" w:cs="Tahoma"/>
      <w:sz w:val="16"/>
      <w:szCs w:val="16"/>
    </w:rPr>
  </w:style>
  <w:style w:type="character" w:customStyle="1" w:styleId="BalloonTextChar">
    <w:name w:val="Balloon Text Char"/>
    <w:basedOn w:val="DefaultParagraphFont"/>
    <w:link w:val="BalloonText"/>
    <w:uiPriority w:val="99"/>
    <w:semiHidden/>
    <w:rsid w:val="001A0A6A"/>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EA2"/>
    <w:pPr>
      <w:spacing w:after="0" w:line="240" w:lineRule="auto"/>
    </w:pPr>
    <w:rPr>
      <w:rFonts w:ascii="Hebar" w:eastAsia="Times New Roman" w:hAnsi="Hebar" w:cs="Times New Roman"/>
      <w:sz w:val="24"/>
      <w:szCs w:val="20"/>
      <w:lang w:val="en-GB"/>
    </w:rPr>
  </w:style>
  <w:style w:type="paragraph" w:styleId="Heading3">
    <w:name w:val="heading 3"/>
    <w:basedOn w:val="Normal"/>
    <w:next w:val="Normal"/>
    <w:link w:val="Heading3Char"/>
    <w:uiPriority w:val="9"/>
    <w:semiHidden/>
    <w:unhideWhenUsed/>
    <w:qFormat/>
    <w:rsid w:val="0037743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812"/>
    <w:pPr>
      <w:ind w:left="720"/>
      <w:contextualSpacing/>
    </w:pPr>
  </w:style>
  <w:style w:type="character" w:customStyle="1" w:styleId="Heading3Char">
    <w:name w:val="Heading 3 Char"/>
    <w:basedOn w:val="DefaultParagraphFont"/>
    <w:link w:val="Heading3"/>
    <w:uiPriority w:val="9"/>
    <w:semiHidden/>
    <w:rsid w:val="00377430"/>
    <w:rPr>
      <w:rFonts w:asciiTheme="majorHAnsi" w:eastAsiaTheme="majorEastAsia" w:hAnsiTheme="majorHAnsi" w:cstheme="majorBidi"/>
      <w:b/>
      <w:bCs/>
      <w:color w:val="4F81BD" w:themeColor="accent1"/>
      <w:sz w:val="24"/>
      <w:szCs w:val="20"/>
      <w:lang w:val="en-GB"/>
    </w:rPr>
  </w:style>
  <w:style w:type="paragraph" w:styleId="Header">
    <w:name w:val="header"/>
    <w:basedOn w:val="Normal"/>
    <w:link w:val="HeaderChar"/>
    <w:uiPriority w:val="99"/>
    <w:unhideWhenUsed/>
    <w:rsid w:val="00FC408D"/>
    <w:pPr>
      <w:tabs>
        <w:tab w:val="center" w:pos="4703"/>
        <w:tab w:val="right" w:pos="9406"/>
      </w:tabs>
    </w:pPr>
  </w:style>
  <w:style w:type="character" w:customStyle="1" w:styleId="HeaderChar">
    <w:name w:val="Header Char"/>
    <w:basedOn w:val="DefaultParagraphFont"/>
    <w:link w:val="Header"/>
    <w:uiPriority w:val="99"/>
    <w:rsid w:val="00FC408D"/>
    <w:rPr>
      <w:rFonts w:ascii="Hebar" w:eastAsia="Times New Roman" w:hAnsi="Hebar" w:cs="Times New Roman"/>
      <w:sz w:val="24"/>
      <w:szCs w:val="20"/>
      <w:lang w:val="en-GB"/>
    </w:rPr>
  </w:style>
  <w:style w:type="paragraph" w:styleId="Footer">
    <w:name w:val="footer"/>
    <w:basedOn w:val="Normal"/>
    <w:link w:val="FooterChar"/>
    <w:uiPriority w:val="99"/>
    <w:unhideWhenUsed/>
    <w:rsid w:val="00FC408D"/>
    <w:pPr>
      <w:tabs>
        <w:tab w:val="center" w:pos="4703"/>
        <w:tab w:val="right" w:pos="9406"/>
      </w:tabs>
    </w:pPr>
  </w:style>
  <w:style w:type="character" w:customStyle="1" w:styleId="FooterChar">
    <w:name w:val="Footer Char"/>
    <w:basedOn w:val="DefaultParagraphFont"/>
    <w:link w:val="Footer"/>
    <w:uiPriority w:val="99"/>
    <w:rsid w:val="00FC408D"/>
    <w:rPr>
      <w:rFonts w:ascii="Hebar" w:eastAsia="Times New Roman" w:hAnsi="Hebar" w:cs="Times New Roman"/>
      <w:sz w:val="24"/>
      <w:szCs w:val="20"/>
      <w:lang w:val="en-GB"/>
    </w:rPr>
  </w:style>
  <w:style w:type="paragraph" w:styleId="BalloonText">
    <w:name w:val="Balloon Text"/>
    <w:basedOn w:val="Normal"/>
    <w:link w:val="BalloonTextChar"/>
    <w:uiPriority w:val="99"/>
    <w:semiHidden/>
    <w:unhideWhenUsed/>
    <w:rsid w:val="001A0A6A"/>
    <w:rPr>
      <w:rFonts w:ascii="Tahoma" w:hAnsi="Tahoma" w:cs="Tahoma"/>
      <w:sz w:val="16"/>
      <w:szCs w:val="16"/>
    </w:rPr>
  </w:style>
  <w:style w:type="character" w:customStyle="1" w:styleId="BalloonTextChar">
    <w:name w:val="Balloon Text Char"/>
    <w:basedOn w:val="DefaultParagraphFont"/>
    <w:link w:val="BalloonText"/>
    <w:uiPriority w:val="99"/>
    <w:semiHidden/>
    <w:rsid w:val="001A0A6A"/>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9DB57-910E-4364-97EE-E668D2A4A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3076</Words>
  <Characters>17539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ИАРА</cp:lastModifiedBy>
  <cp:revision>7</cp:revision>
  <cp:lastPrinted>2018-01-05T14:00:00Z</cp:lastPrinted>
  <dcterms:created xsi:type="dcterms:W3CDTF">2018-01-05T13:41:00Z</dcterms:created>
  <dcterms:modified xsi:type="dcterms:W3CDTF">2018-01-05T14:02:00Z</dcterms:modified>
</cp:coreProperties>
</file>