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50" w:type="dxa"/>
        <w:tblInd w:w="-372"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650"/>
      </w:tblGrid>
      <w:tr w:rsidR="00E4720D" w:rsidRPr="002453A0" w:rsidTr="004333E4">
        <w:trPr>
          <w:trHeight w:val="958"/>
        </w:trPr>
        <w:tc>
          <w:tcPr>
            <w:tcW w:w="15650" w:type="dxa"/>
            <w:shd w:val="clear" w:color="auto" w:fill="BDD6EE"/>
          </w:tcPr>
          <w:p w:rsidR="00E4720D" w:rsidRPr="002453A0" w:rsidRDefault="00E4720D" w:rsidP="00E220AD">
            <w:pPr>
              <w:tabs>
                <w:tab w:val="left" w:pos="2190"/>
              </w:tabs>
              <w:spacing w:before="120" w:after="120"/>
              <w:jc w:val="center"/>
              <w:rPr>
                <w:b/>
                <w:spacing w:val="70"/>
              </w:rPr>
            </w:pPr>
            <w:r w:rsidRPr="002453A0">
              <w:rPr>
                <w:b/>
                <w:spacing w:val="70"/>
              </w:rPr>
              <w:t>СПРАВКА</w:t>
            </w:r>
          </w:p>
          <w:p w:rsidR="00E4720D" w:rsidRPr="002453A0" w:rsidRDefault="00E4720D" w:rsidP="00E220AD">
            <w:pPr>
              <w:tabs>
                <w:tab w:val="left" w:pos="2190"/>
              </w:tabs>
              <w:spacing w:before="120" w:after="120"/>
              <w:jc w:val="center"/>
              <w:rPr>
                <w:b/>
                <w:sz w:val="23"/>
                <w:szCs w:val="23"/>
              </w:rPr>
            </w:pPr>
            <w:r w:rsidRPr="002453A0">
              <w:rPr>
                <w:b/>
              </w:rPr>
              <w:t>ЗА ОТРАЗЯВАНЕ НА ПОСТЪПИЛИТЕ ПРЕДЛОЖЕНИЯ ОТ ОБЩЕСТВЕНИТЕ КОНСУЛТАЦИИ НА ПРОЕКТА НА ПОСТАНОВЛЕНИЕ НА МИНИСТЕРСКИЯ СЪВЕТ ЗА ПРИЕМАНЕ НА УСТРОЙСТВЕН ПРАВИЛНИК НА СЕЛСКОСТОПАНСКАТА АКАДЕМИЯ</w:t>
            </w:r>
          </w:p>
        </w:tc>
      </w:tr>
    </w:tbl>
    <w:p w:rsidR="00E4720D" w:rsidRPr="002453A0" w:rsidRDefault="00E4720D">
      <w:pPr>
        <w:rPr>
          <w:sz w:val="8"/>
          <w:szCs w:val="8"/>
        </w:rPr>
      </w:pPr>
    </w:p>
    <w:tbl>
      <w:tblPr>
        <w:tblW w:w="15650" w:type="dxa"/>
        <w:tblInd w:w="-372" w:type="dxa"/>
        <w:tblBorders>
          <w:top w:val="single" w:sz="18" w:space="0" w:color="2E74B5"/>
          <w:left w:val="single" w:sz="18" w:space="0" w:color="2E74B5"/>
          <w:bottom w:val="single" w:sz="18" w:space="0" w:color="2E74B5"/>
          <w:right w:val="single" w:sz="18" w:space="0" w:color="2E74B5"/>
          <w:insideH w:val="single" w:sz="6" w:space="0" w:color="2E74B5"/>
          <w:insideV w:val="single" w:sz="6" w:space="0" w:color="2E74B5"/>
        </w:tblBorders>
        <w:tblLayout w:type="fixed"/>
        <w:tblLook w:val="0000" w:firstRow="0" w:lastRow="0" w:firstColumn="0" w:lastColumn="0" w:noHBand="0" w:noVBand="0"/>
      </w:tblPr>
      <w:tblGrid>
        <w:gridCol w:w="569"/>
        <w:gridCol w:w="2732"/>
        <w:gridCol w:w="6251"/>
        <w:gridCol w:w="1318"/>
        <w:gridCol w:w="4780"/>
      </w:tblGrid>
      <w:tr w:rsidR="00E4720D" w:rsidRPr="002453A0" w:rsidTr="00C408E0">
        <w:trPr>
          <w:trHeight w:val="737"/>
          <w:tblHeader/>
        </w:trPr>
        <w:tc>
          <w:tcPr>
            <w:tcW w:w="569" w:type="dxa"/>
            <w:tcBorders>
              <w:top w:val="single" w:sz="18" w:space="0" w:color="2E74B5"/>
            </w:tcBorders>
            <w:shd w:val="clear" w:color="auto" w:fill="DEEAF6"/>
            <w:vAlign w:val="center"/>
          </w:tcPr>
          <w:p w:rsidR="00E4720D" w:rsidRPr="002453A0" w:rsidRDefault="00E4720D" w:rsidP="009552FF">
            <w:pPr>
              <w:tabs>
                <w:tab w:val="left" w:pos="192"/>
              </w:tabs>
              <w:jc w:val="center"/>
              <w:rPr>
                <w:b/>
                <w:sz w:val="23"/>
                <w:szCs w:val="23"/>
              </w:rPr>
            </w:pPr>
            <w:r w:rsidRPr="002453A0">
              <w:rPr>
                <w:b/>
                <w:sz w:val="23"/>
                <w:szCs w:val="23"/>
              </w:rPr>
              <w:t>№</w:t>
            </w:r>
          </w:p>
        </w:tc>
        <w:tc>
          <w:tcPr>
            <w:tcW w:w="2732" w:type="dxa"/>
            <w:tcBorders>
              <w:top w:val="single" w:sz="18" w:space="0" w:color="2E74B5"/>
            </w:tcBorders>
            <w:shd w:val="clear" w:color="auto" w:fill="DEEAF6"/>
            <w:vAlign w:val="center"/>
          </w:tcPr>
          <w:p w:rsidR="00E4720D" w:rsidRPr="002453A0" w:rsidRDefault="00E4720D" w:rsidP="009552FF">
            <w:pPr>
              <w:jc w:val="center"/>
              <w:rPr>
                <w:b/>
                <w:spacing w:val="-2"/>
              </w:rPr>
            </w:pPr>
            <w:r w:rsidRPr="002453A0">
              <w:rPr>
                <w:b/>
                <w:spacing w:val="-2"/>
                <w:sz w:val="22"/>
                <w:szCs w:val="22"/>
              </w:rPr>
              <w:t>Организация/потребител</w:t>
            </w:r>
          </w:p>
          <w:p w:rsidR="00E4720D" w:rsidRPr="002453A0" w:rsidRDefault="00E4720D" w:rsidP="009552FF">
            <w:pPr>
              <w:jc w:val="center"/>
              <w:rPr>
                <w:b/>
                <w:sz w:val="16"/>
                <w:szCs w:val="16"/>
              </w:rPr>
            </w:pPr>
            <w:r w:rsidRPr="002453A0">
              <w:rPr>
                <w:b/>
                <w:sz w:val="16"/>
                <w:szCs w:val="16"/>
              </w:rPr>
              <w:t>(вкл. начина на получаване на предложението)</w:t>
            </w:r>
          </w:p>
        </w:tc>
        <w:tc>
          <w:tcPr>
            <w:tcW w:w="6251" w:type="dxa"/>
            <w:tcBorders>
              <w:top w:val="single" w:sz="18" w:space="0" w:color="2E74B5"/>
            </w:tcBorders>
            <w:shd w:val="clear" w:color="auto" w:fill="DEEAF6"/>
            <w:vAlign w:val="center"/>
          </w:tcPr>
          <w:p w:rsidR="00E4720D" w:rsidRPr="002453A0" w:rsidRDefault="00E4720D" w:rsidP="009552FF">
            <w:pPr>
              <w:jc w:val="center"/>
              <w:rPr>
                <w:b/>
                <w:sz w:val="23"/>
                <w:szCs w:val="23"/>
              </w:rPr>
            </w:pPr>
            <w:r w:rsidRPr="002453A0">
              <w:rPr>
                <w:b/>
                <w:sz w:val="23"/>
                <w:szCs w:val="23"/>
              </w:rPr>
              <w:t>Бележки и предложения</w:t>
            </w:r>
          </w:p>
        </w:tc>
        <w:tc>
          <w:tcPr>
            <w:tcW w:w="1318" w:type="dxa"/>
            <w:tcBorders>
              <w:top w:val="single" w:sz="18" w:space="0" w:color="2E74B5"/>
            </w:tcBorders>
            <w:shd w:val="clear" w:color="auto" w:fill="DEEAF6"/>
            <w:vAlign w:val="center"/>
          </w:tcPr>
          <w:p w:rsidR="00E4720D" w:rsidRPr="002453A0" w:rsidRDefault="00E4720D" w:rsidP="009552FF">
            <w:pPr>
              <w:jc w:val="center"/>
              <w:rPr>
                <w:b/>
                <w:sz w:val="23"/>
                <w:szCs w:val="23"/>
              </w:rPr>
            </w:pPr>
            <w:r w:rsidRPr="002453A0">
              <w:rPr>
                <w:b/>
                <w:sz w:val="23"/>
                <w:szCs w:val="23"/>
              </w:rPr>
              <w:t>Приети/</w:t>
            </w:r>
          </w:p>
          <w:p w:rsidR="00E4720D" w:rsidRPr="002453A0" w:rsidRDefault="00E4720D" w:rsidP="009552FF">
            <w:pPr>
              <w:jc w:val="center"/>
              <w:rPr>
                <w:b/>
                <w:sz w:val="23"/>
                <w:szCs w:val="23"/>
              </w:rPr>
            </w:pPr>
            <w:r w:rsidRPr="002453A0">
              <w:rPr>
                <w:b/>
                <w:sz w:val="23"/>
                <w:szCs w:val="23"/>
              </w:rPr>
              <w:t>неприети</w:t>
            </w:r>
          </w:p>
        </w:tc>
        <w:tc>
          <w:tcPr>
            <w:tcW w:w="4780" w:type="dxa"/>
            <w:tcBorders>
              <w:top w:val="single" w:sz="18" w:space="0" w:color="2E74B5"/>
            </w:tcBorders>
            <w:shd w:val="clear" w:color="auto" w:fill="DEEAF6"/>
            <w:vAlign w:val="center"/>
          </w:tcPr>
          <w:p w:rsidR="00E4720D" w:rsidRPr="002453A0" w:rsidRDefault="00E4720D" w:rsidP="009552FF">
            <w:pPr>
              <w:jc w:val="center"/>
              <w:rPr>
                <w:sz w:val="23"/>
                <w:szCs w:val="23"/>
              </w:rPr>
            </w:pPr>
            <w:r w:rsidRPr="002453A0">
              <w:rPr>
                <w:b/>
                <w:sz w:val="23"/>
                <w:szCs w:val="23"/>
              </w:rPr>
              <w:t>Мотиви</w:t>
            </w:r>
          </w:p>
        </w:tc>
      </w:tr>
      <w:tr w:rsidR="00E4720D" w:rsidRPr="002453A0" w:rsidTr="00C408E0">
        <w:trPr>
          <w:trHeight w:val="596"/>
        </w:trPr>
        <w:tc>
          <w:tcPr>
            <w:tcW w:w="569" w:type="dxa"/>
          </w:tcPr>
          <w:p w:rsidR="00E4720D" w:rsidRPr="002453A0" w:rsidRDefault="00E4720D" w:rsidP="009552FF">
            <w:pPr>
              <w:numPr>
                <w:ilvl w:val="0"/>
                <w:numId w:val="5"/>
              </w:numPr>
              <w:tabs>
                <w:tab w:val="left" w:pos="192"/>
              </w:tabs>
              <w:spacing w:before="80" w:after="40"/>
              <w:ind w:left="0" w:firstLine="0"/>
              <w:jc w:val="center"/>
              <w:rPr>
                <w:b/>
                <w:sz w:val="23"/>
                <w:szCs w:val="23"/>
              </w:rPr>
            </w:pPr>
          </w:p>
        </w:tc>
        <w:tc>
          <w:tcPr>
            <w:tcW w:w="2732" w:type="dxa"/>
          </w:tcPr>
          <w:p w:rsidR="00E4720D" w:rsidRPr="002453A0" w:rsidRDefault="00E4720D" w:rsidP="009552FF">
            <w:pPr>
              <w:spacing w:before="80" w:after="40"/>
              <w:rPr>
                <w:b/>
              </w:rPr>
            </w:pPr>
            <w:r w:rsidRPr="002453A0">
              <w:rPr>
                <w:b/>
              </w:rPr>
              <w:t>Институт по тютюна и тютюневите изделия - Марково</w:t>
            </w:r>
          </w:p>
          <w:p w:rsidR="00E4720D" w:rsidRPr="002453A0" w:rsidRDefault="00E4720D" w:rsidP="00912CC2">
            <w:pPr>
              <w:spacing w:before="80" w:after="40"/>
              <w:rPr>
                <w:b/>
              </w:rPr>
            </w:pPr>
            <w:r w:rsidRPr="002453A0">
              <w:rPr>
                <w:b/>
              </w:rPr>
              <w:t>(Постъпило с писмо № 20-76 от 11.05.2018 г.)</w:t>
            </w:r>
          </w:p>
        </w:tc>
        <w:tc>
          <w:tcPr>
            <w:tcW w:w="6251" w:type="dxa"/>
          </w:tcPr>
          <w:p w:rsidR="00E4720D" w:rsidRPr="002453A0" w:rsidRDefault="00E4720D" w:rsidP="00912CC2">
            <w:pPr>
              <w:spacing w:before="80" w:after="40"/>
              <w:jc w:val="both"/>
              <w:rPr>
                <w:sz w:val="23"/>
                <w:szCs w:val="23"/>
              </w:rPr>
            </w:pPr>
            <w:r w:rsidRPr="002453A0">
              <w:rPr>
                <w:sz w:val="23"/>
                <w:szCs w:val="23"/>
              </w:rPr>
              <w:t xml:space="preserve">В публикувания проект за </w:t>
            </w:r>
            <w:proofErr w:type="spellStart"/>
            <w:r w:rsidRPr="002453A0">
              <w:rPr>
                <w:sz w:val="23"/>
                <w:szCs w:val="23"/>
              </w:rPr>
              <w:t>Устройствен</w:t>
            </w:r>
            <w:proofErr w:type="spellEnd"/>
            <w:r w:rsidRPr="002453A0">
              <w:rPr>
                <w:sz w:val="23"/>
                <w:szCs w:val="23"/>
              </w:rPr>
              <w:t xml:space="preserve"> правилник на Селскостопанска академия в Приложение № 2 към чл. 36, ал. 1 Институт по тютюна и тютюневите изделия - с. Марково е с ново наименование: Институт по технология и контрол на тютюневите изделия и тютюна - с. Марково.</w:t>
            </w:r>
          </w:p>
          <w:p w:rsidR="00E4720D" w:rsidRPr="002453A0" w:rsidRDefault="00E4720D" w:rsidP="00912CC2">
            <w:pPr>
              <w:spacing w:before="80" w:after="40"/>
              <w:jc w:val="both"/>
              <w:rPr>
                <w:sz w:val="23"/>
                <w:szCs w:val="23"/>
              </w:rPr>
            </w:pPr>
            <w:r w:rsidRPr="002453A0">
              <w:rPr>
                <w:sz w:val="23"/>
                <w:szCs w:val="23"/>
              </w:rPr>
              <w:t xml:space="preserve">Тази промяна на наименованието води до изменение акцентите на дейността и основни направления на работа на Института, свързани с производство на сертифицирани семена, обезпечаващи целия тютюнев сектор на страната, съгласно Закона за тютюна, тютюневите и свързаните с тях изделия, </w:t>
            </w:r>
            <w:proofErr w:type="spellStart"/>
            <w:r w:rsidRPr="002453A0">
              <w:rPr>
                <w:sz w:val="23"/>
                <w:szCs w:val="23"/>
              </w:rPr>
              <w:t>сортоподдържане</w:t>
            </w:r>
            <w:proofErr w:type="spellEnd"/>
            <w:r w:rsidRPr="002453A0">
              <w:rPr>
                <w:sz w:val="23"/>
                <w:szCs w:val="23"/>
              </w:rPr>
              <w:t xml:space="preserve"> и производство на тютюн. Промяната на наименованието на Института води до необходимост да се променят редица закони на Р. България, свързани със сегашното наименование „Институт по тютюна и тютюневите изделия“, както и Закон за ратифициране на Споразумението за нивото на обслужване между Европейската Комисия и Република България, представена от Институт по тютюна н тютюневите изделия - с. Марково /Приложение 4 - Указ 316 от 29.09.2016 г./.</w:t>
            </w:r>
          </w:p>
          <w:p w:rsidR="00E4720D" w:rsidRPr="002453A0" w:rsidRDefault="00E4720D" w:rsidP="00912CC2">
            <w:pPr>
              <w:spacing w:before="80" w:after="40"/>
              <w:jc w:val="both"/>
              <w:rPr>
                <w:sz w:val="23"/>
                <w:szCs w:val="23"/>
              </w:rPr>
            </w:pPr>
            <w:r w:rsidRPr="002453A0">
              <w:rPr>
                <w:sz w:val="23"/>
                <w:szCs w:val="23"/>
              </w:rPr>
              <w:t>ИТТИ не е излизал с предложение за промяна на наименованието на Института /Приложение 2 - Наше писмо № 137/05.04.2018/, поради факта, че съществуващото наименование е от 70 години и Института е известен в страната и чужбина с това име. Наименованието съдържа цялостната дейност на Института от тютюневото семе до крайния продукт - цигарата. /Приложение 3 - Постановление 313 от 20.12.2012 г./.</w:t>
            </w:r>
          </w:p>
          <w:p w:rsidR="00E4720D" w:rsidRPr="002453A0" w:rsidRDefault="00E4720D" w:rsidP="00912CC2">
            <w:pPr>
              <w:spacing w:before="80" w:after="40"/>
              <w:jc w:val="both"/>
              <w:rPr>
                <w:sz w:val="23"/>
                <w:szCs w:val="23"/>
              </w:rPr>
            </w:pPr>
            <w:r w:rsidRPr="002453A0">
              <w:rPr>
                <w:sz w:val="23"/>
                <w:szCs w:val="23"/>
              </w:rPr>
              <w:t xml:space="preserve">На 09.05.2018 г. Общото събрание на учените при ИТТИ взе </w:t>
            </w:r>
            <w:r w:rsidRPr="002453A0">
              <w:rPr>
                <w:sz w:val="23"/>
                <w:szCs w:val="23"/>
              </w:rPr>
              <w:lastRenderedPageBreak/>
              <w:t>решение за запазване настоящото име на Института /Приложение 1 - Протокол/.</w:t>
            </w:r>
          </w:p>
        </w:tc>
        <w:tc>
          <w:tcPr>
            <w:tcW w:w="1318" w:type="dxa"/>
          </w:tcPr>
          <w:p w:rsidR="00E4720D" w:rsidRPr="002453A0" w:rsidRDefault="00E4720D" w:rsidP="003061A2">
            <w:pPr>
              <w:spacing w:before="80" w:after="40"/>
              <w:rPr>
                <w:sz w:val="23"/>
                <w:szCs w:val="23"/>
              </w:rPr>
            </w:pPr>
            <w:r w:rsidRPr="002453A0">
              <w:rPr>
                <w:sz w:val="23"/>
                <w:szCs w:val="23"/>
              </w:rPr>
              <w:lastRenderedPageBreak/>
              <w:t>Приема се</w:t>
            </w:r>
          </w:p>
        </w:tc>
        <w:tc>
          <w:tcPr>
            <w:tcW w:w="4780" w:type="dxa"/>
          </w:tcPr>
          <w:p w:rsidR="00E4720D" w:rsidRPr="002453A0" w:rsidRDefault="00E4720D" w:rsidP="009552FF">
            <w:pPr>
              <w:spacing w:before="80" w:after="40"/>
              <w:rPr>
                <w:sz w:val="23"/>
                <w:szCs w:val="23"/>
              </w:rPr>
            </w:pPr>
          </w:p>
        </w:tc>
      </w:tr>
      <w:tr w:rsidR="00E4720D" w:rsidRPr="002453A0" w:rsidTr="00C408E0">
        <w:trPr>
          <w:trHeight w:val="596"/>
        </w:trPr>
        <w:tc>
          <w:tcPr>
            <w:tcW w:w="569" w:type="dxa"/>
          </w:tcPr>
          <w:p w:rsidR="00E4720D" w:rsidRPr="002453A0" w:rsidRDefault="00E4720D" w:rsidP="009552FF">
            <w:pPr>
              <w:numPr>
                <w:ilvl w:val="0"/>
                <w:numId w:val="5"/>
              </w:numPr>
              <w:tabs>
                <w:tab w:val="left" w:pos="192"/>
              </w:tabs>
              <w:spacing w:before="80" w:after="40"/>
              <w:ind w:left="0" w:firstLine="0"/>
              <w:jc w:val="center"/>
              <w:rPr>
                <w:b/>
                <w:sz w:val="23"/>
                <w:szCs w:val="23"/>
              </w:rPr>
            </w:pPr>
          </w:p>
        </w:tc>
        <w:tc>
          <w:tcPr>
            <w:tcW w:w="2732" w:type="dxa"/>
          </w:tcPr>
          <w:p w:rsidR="00E4720D" w:rsidRPr="002453A0" w:rsidRDefault="00E4720D" w:rsidP="009552FF">
            <w:pPr>
              <w:spacing w:before="80" w:after="40"/>
              <w:rPr>
                <w:b/>
              </w:rPr>
            </w:pPr>
            <w:r w:rsidRPr="002453A0">
              <w:rPr>
                <w:b/>
              </w:rPr>
              <w:t>Национална Конфедерация на Тютюнопроизводителите в България</w:t>
            </w:r>
          </w:p>
          <w:p w:rsidR="00E4720D" w:rsidRPr="002453A0" w:rsidRDefault="00E4720D" w:rsidP="009552FF">
            <w:pPr>
              <w:spacing w:before="80" w:after="40"/>
              <w:rPr>
                <w:b/>
              </w:rPr>
            </w:pPr>
            <w:r w:rsidRPr="002453A0">
              <w:rPr>
                <w:b/>
              </w:rPr>
              <w:t>(Постъпило с писмо № 62-149 от 15.05.2018 г.)</w:t>
            </w:r>
          </w:p>
          <w:p w:rsidR="00E4720D" w:rsidRPr="002453A0" w:rsidRDefault="00E4720D" w:rsidP="009552FF">
            <w:pPr>
              <w:spacing w:before="80" w:after="40"/>
              <w:rPr>
                <w:b/>
              </w:rPr>
            </w:pPr>
          </w:p>
        </w:tc>
        <w:tc>
          <w:tcPr>
            <w:tcW w:w="6251" w:type="dxa"/>
          </w:tcPr>
          <w:p w:rsidR="00E4720D" w:rsidRPr="002453A0" w:rsidRDefault="00E4720D" w:rsidP="009552FF">
            <w:pPr>
              <w:spacing w:before="80" w:after="40"/>
              <w:jc w:val="both"/>
              <w:rPr>
                <w:sz w:val="23"/>
                <w:szCs w:val="23"/>
              </w:rPr>
            </w:pPr>
            <w:r w:rsidRPr="002453A0">
              <w:rPr>
                <w:sz w:val="23"/>
                <w:szCs w:val="23"/>
              </w:rPr>
              <w:t>Национална Конфедерация на Тютюнопроизводителите в България /НКТБ/ счита, че предвиденото изменение в наименованието на Институт по тютюна и тютюневите изделия /ИТТИ/ не отговаря на дейността, определената държавна задача на. Института и нуждите на тютюнопроизводителите. Присъединяваме се към мотивите изложени в протокола от Общото събрание на учените в ИТТИ и настояваме пред вносителите на предложението за промяна на наименованието на Института, то да бъде оттеглено.</w:t>
            </w:r>
          </w:p>
        </w:tc>
        <w:tc>
          <w:tcPr>
            <w:tcW w:w="1318" w:type="dxa"/>
          </w:tcPr>
          <w:p w:rsidR="00E4720D" w:rsidRPr="002453A0" w:rsidRDefault="00E4720D" w:rsidP="003061A2">
            <w:pPr>
              <w:spacing w:before="80" w:after="40"/>
              <w:rPr>
                <w:sz w:val="23"/>
                <w:szCs w:val="23"/>
              </w:rPr>
            </w:pPr>
            <w:r w:rsidRPr="002453A0">
              <w:rPr>
                <w:sz w:val="23"/>
                <w:szCs w:val="23"/>
              </w:rPr>
              <w:t>Приема се</w:t>
            </w:r>
          </w:p>
        </w:tc>
        <w:tc>
          <w:tcPr>
            <w:tcW w:w="4780" w:type="dxa"/>
          </w:tcPr>
          <w:p w:rsidR="00E4720D" w:rsidRPr="002453A0" w:rsidRDefault="00E4720D" w:rsidP="009552FF">
            <w:pPr>
              <w:spacing w:before="80" w:after="40"/>
              <w:rPr>
                <w:sz w:val="23"/>
                <w:szCs w:val="23"/>
              </w:rPr>
            </w:pPr>
          </w:p>
        </w:tc>
      </w:tr>
      <w:tr w:rsidR="00E4720D" w:rsidRPr="002453A0" w:rsidTr="00C408E0">
        <w:trPr>
          <w:trHeight w:val="596"/>
        </w:trPr>
        <w:tc>
          <w:tcPr>
            <w:tcW w:w="569" w:type="dxa"/>
            <w:vMerge w:val="restart"/>
          </w:tcPr>
          <w:p w:rsidR="00E4720D" w:rsidRPr="002453A0" w:rsidRDefault="00E4720D" w:rsidP="009552FF">
            <w:pPr>
              <w:numPr>
                <w:ilvl w:val="0"/>
                <w:numId w:val="5"/>
              </w:numPr>
              <w:tabs>
                <w:tab w:val="left" w:pos="192"/>
              </w:tabs>
              <w:spacing w:before="80" w:after="40"/>
              <w:ind w:left="0" w:firstLine="0"/>
              <w:jc w:val="center"/>
              <w:rPr>
                <w:b/>
                <w:sz w:val="23"/>
                <w:szCs w:val="23"/>
              </w:rPr>
            </w:pPr>
          </w:p>
        </w:tc>
        <w:tc>
          <w:tcPr>
            <w:tcW w:w="2732" w:type="dxa"/>
            <w:vMerge w:val="restart"/>
          </w:tcPr>
          <w:p w:rsidR="00E4720D" w:rsidRPr="002453A0" w:rsidRDefault="00E4720D" w:rsidP="00DD7FB1">
            <w:pPr>
              <w:spacing w:before="80" w:after="40"/>
              <w:rPr>
                <w:b/>
              </w:rPr>
            </w:pPr>
            <w:r w:rsidRPr="002453A0">
              <w:rPr>
                <w:b/>
              </w:rPr>
              <w:t>Федерацията на независимите синдикати от                                              земеделието</w:t>
            </w:r>
          </w:p>
          <w:p w:rsidR="00E4720D" w:rsidRPr="002453A0" w:rsidRDefault="00E4720D" w:rsidP="00822170">
            <w:pPr>
              <w:spacing w:before="80" w:after="40"/>
              <w:rPr>
                <w:b/>
              </w:rPr>
            </w:pPr>
            <w:r w:rsidRPr="002453A0">
              <w:rPr>
                <w:b/>
              </w:rPr>
              <w:t>(Постъпило с писмо № 55-7 от 31.05.2018 г.)</w:t>
            </w:r>
          </w:p>
        </w:tc>
        <w:tc>
          <w:tcPr>
            <w:tcW w:w="6251" w:type="dxa"/>
          </w:tcPr>
          <w:p w:rsidR="00E4720D" w:rsidRPr="002453A0" w:rsidRDefault="00E4720D" w:rsidP="002453A0">
            <w:pPr>
              <w:spacing w:before="80" w:after="40"/>
              <w:jc w:val="both"/>
              <w:rPr>
                <w:sz w:val="23"/>
                <w:szCs w:val="23"/>
              </w:rPr>
            </w:pPr>
            <w:r w:rsidRPr="002453A0">
              <w:rPr>
                <w:sz w:val="23"/>
                <w:szCs w:val="23"/>
              </w:rPr>
              <w:t xml:space="preserve">Изготвеният проект на </w:t>
            </w:r>
            <w:proofErr w:type="spellStart"/>
            <w:r w:rsidRPr="002453A0">
              <w:rPr>
                <w:sz w:val="23"/>
                <w:szCs w:val="23"/>
              </w:rPr>
              <w:t>Устройствен</w:t>
            </w:r>
            <w:proofErr w:type="spellEnd"/>
            <w:r w:rsidRPr="002453A0">
              <w:rPr>
                <w:sz w:val="23"/>
                <w:szCs w:val="23"/>
              </w:rPr>
              <w:t xml:space="preserve">   правилник на Селскостопанска академия, представен  за обсъждане  е  в съответствие  с последните изменения на едноименния  й закон </w:t>
            </w:r>
            <w:r>
              <w:rPr>
                <w:sz w:val="23"/>
                <w:szCs w:val="23"/>
              </w:rPr>
              <w:t>(</w:t>
            </w:r>
            <w:r w:rsidRPr="002453A0">
              <w:rPr>
                <w:sz w:val="23"/>
                <w:szCs w:val="23"/>
              </w:rPr>
              <w:t>ДВ,</w:t>
            </w:r>
            <w:r>
              <w:rPr>
                <w:sz w:val="23"/>
                <w:szCs w:val="23"/>
              </w:rPr>
              <w:t xml:space="preserve"> </w:t>
            </w:r>
            <w:r w:rsidRPr="002453A0">
              <w:rPr>
                <w:sz w:val="23"/>
                <w:szCs w:val="23"/>
              </w:rPr>
              <w:t>бр.</w:t>
            </w:r>
            <w:r>
              <w:rPr>
                <w:sz w:val="23"/>
                <w:szCs w:val="23"/>
              </w:rPr>
              <w:t xml:space="preserve"> </w:t>
            </w:r>
            <w:r w:rsidRPr="002453A0">
              <w:rPr>
                <w:sz w:val="23"/>
                <w:szCs w:val="23"/>
              </w:rPr>
              <w:t>22  от 2018 г</w:t>
            </w:r>
            <w:r>
              <w:rPr>
                <w:sz w:val="23"/>
                <w:szCs w:val="23"/>
              </w:rPr>
              <w:t>.)</w:t>
            </w:r>
            <w:r w:rsidRPr="002453A0">
              <w:rPr>
                <w:sz w:val="23"/>
                <w:szCs w:val="23"/>
              </w:rPr>
              <w:t xml:space="preserve">  както и   с изискванията на Закона за нормативните актове, при спазване принципите за демократичното начало и автономия при управлението  на създадените нови структурни звена. Прекалено детайлно са отразени  многообразните  специфични дейности на всички структурни  звена както и правомощията на техните ръководители. В същия момент намираме, че някои норми се нуждаят от усъвършенстване в съответствие с вътрешното ни законодателство.</w:t>
            </w:r>
          </w:p>
        </w:tc>
        <w:tc>
          <w:tcPr>
            <w:tcW w:w="1318" w:type="dxa"/>
          </w:tcPr>
          <w:p w:rsidR="00E4720D" w:rsidRPr="002453A0" w:rsidRDefault="00E4720D" w:rsidP="009552FF">
            <w:pPr>
              <w:spacing w:before="80" w:after="40"/>
              <w:rPr>
                <w:sz w:val="23"/>
                <w:szCs w:val="23"/>
              </w:rPr>
            </w:pPr>
            <w:r w:rsidRPr="002453A0">
              <w:rPr>
                <w:sz w:val="23"/>
                <w:szCs w:val="23"/>
              </w:rPr>
              <w:t>Приема се</w:t>
            </w:r>
          </w:p>
        </w:tc>
        <w:tc>
          <w:tcPr>
            <w:tcW w:w="4780" w:type="dxa"/>
          </w:tcPr>
          <w:p w:rsidR="00E4720D" w:rsidRPr="002453A0" w:rsidRDefault="00E4720D" w:rsidP="009552FF">
            <w:pPr>
              <w:spacing w:before="80" w:after="40"/>
              <w:rPr>
                <w:sz w:val="23"/>
                <w:szCs w:val="23"/>
              </w:rPr>
            </w:pPr>
          </w:p>
        </w:tc>
      </w:tr>
      <w:tr w:rsidR="00E4720D" w:rsidRPr="002453A0" w:rsidTr="00C408E0">
        <w:trPr>
          <w:trHeight w:val="596"/>
        </w:trPr>
        <w:tc>
          <w:tcPr>
            <w:tcW w:w="569" w:type="dxa"/>
            <w:vMerge/>
          </w:tcPr>
          <w:p w:rsidR="00E4720D" w:rsidRPr="002453A0" w:rsidRDefault="00E4720D" w:rsidP="009552FF">
            <w:pPr>
              <w:numPr>
                <w:ilvl w:val="0"/>
                <w:numId w:val="5"/>
              </w:numPr>
              <w:tabs>
                <w:tab w:val="left" w:pos="192"/>
              </w:tabs>
              <w:spacing w:before="80" w:after="40"/>
              <w:ind w:left="0" w:firstLine="0"/>
              <w:jc w:val="center"/>
              <w:rPr>
                <w:b/>
                <w:sz w:val="23"/>
                <w:szCs w:val="23"/>
              </w:rPr>
            </w:pPr>
          </w:p>
        </w:tc>
        <w:tc>
          <w:tcPr>
            <w:tcW w:w="2732" w:type="dxa"/>
            <w:vMerge/>
          </w:tcPr>
          <w:p w:rsidR="00E4720D" w:rsidRPr="002453A0" w:rsidRDefault="00E4720D" w:rsidP="009552FF">
            <w:pPr>
              <w:spacing w:before="80" w:after="40"/>
              <w:rPr>
                <w:b/>
              </w:rPr>
            </w:pPr>
          </w:p>
        </w:tc>
        <w:tc>
          <w:tcPr>
            <w:tcW w:w="6251" w:type="dxa"/>
          </w:tcPr>
          <w:p w:rsidR="00E4720D" w:rsidRPr="002453A0" w:rsidRDefault="00E4720D" w:rsidP="00DD7FB1">
            <w:pPr>
              <w:spacing w:before="80" w:after="40"/>
              <w:jc w:val="both"/>
              <w:rPr>
                <w:sz w:val="23"/>
                <w:szCs w:val="23"/>
              </w:rPr>
            </w:pPr>
            <w:r w:rsidRPr="002453A0">
              <w:rPr>
                <w:sz w:val="23"/>
                <w:szCs w:val="23"/>
              </w:rPr>
              <w:t>В тази връзка  в чл. 14 т. 10, в задълженията на председателя - „сключва  споразуменията с ръководителите на синдикалните организации в системата на Академията„ предлагаме  да придобие  текста следната редакция  „сключва споразумения с  браншовите национално представителни синдикални организации”.</w:t>
            </w:r>
          </w:p>
          <w:p w:rsidR="00E4720D" w:rsidRPr="002453A0" w:rsidRDefault="00E4720D" w:rsidP="00DD7FB1">
            <w:pPr>
              <w:spacing w:before="80" w:after="40"/>
              <w:jc w:val="both"/>
              <w:rPr>
                <w:sz w:val="23"/>
                <w:szCs w:val="23"/>
              </w:rPr>
            </w:pPr>
            <w:r w:rsidRPr="002453A0">
              <w:rPr>
                <w:sz w:val="23"/>
                <w:szCs w:val="23"/>
              </w:rPr>
              <w:t xml:space="preserve">Необходимо е да подчертаем, че работещите в Селскостопанска академия полагат  труд  по трудови </w:t>
            </w:r>
            <w:r w:rsidRPr="002453A0">
              <w:rPr>
                <w:sz w:val="23"/>
                <w:szCs w:val="23"/>
              </w:rPr>
              <w:lastRenderedPageBreak/>
              <w:t>правоотношения, а не по служебни правоотношения. Техните правоотношения възникват от трудови договори, затова е необходимо изразите „назначава„ , навсякъде да бъдат заменени  с думите – ръководителите  „сключват и прекратяват  трудовите договори“</w:t>
            </w:r>
          </w:p>
        </w:tc>
        <w:tc>
          <w:tcPr>
            <w:tcW w:w="1318" w:type="dxa"/>
          </w:tcPr>
          <w:p w:rsidR="00E4720D" w:rsidRPr="002453A0" w:rsidRDefault="00E4720D" w:rsidP="009552FF">
            <w:pPr>
              <w:spacing w:before="80" w:after="40"/>
              <w:rPr>
                <w:sz w:val="23"/>
                <w:szCs w:val="23"/>
              </w:rPr>
            </w:pPr>
            <w:r w:rsidRPr="002453A0">
              <w:rPr>
                <w:sz w:val="23"/>
                <w:szCs w:val="23"/>
              </w:rPr>
              <w:lastRenderedPageBreak/>
              <w:t>Приема се</w:t>
            </w:r>
          </w:p>
        </w:tc>
        <w:tc>
          <w:tcPr>
            <w:tcW w:w="4780" w:type="dxa"/>
          </w:tcPr>
          <w:p w:rsidR="00E4720D" w:rsidRPr="002453A0" w:rsidRDefault="00E4720D" w:rsidP="009552FF">
            <w:pPr>
              <w:spacing w:before="80" w:after="40"/>
              <w:rPr>
                <w:sz w:val="23"/>
                <w:szCs w:val="23"/>
              </w:rPr>
            </w:pPr>
          </w:p>
        </w:tc>
      </w:tr>
      <w:tr w:rsidR="00E4720D" w:rsidRPr="002453A0" w:rsidTr="00C408E0">
        <w:trPr>
          <w:trHeight w:val="596"/>
        </w:trPr>
        <w:tc>
          <w:tcPr>
            <w:tcW w:w="569" w:type="dxa"/>
            <w:vMerge/>
          </w:tcPr>
          <w:p w:rsidR="00E4720D" w:rsidRPr="002453A0" w:rsidRDefault="00E4720D" w:rsidP="009552FF">
            <w:pPr>
              <w:numPr>
                <w:ilvl w:val="0"/>
                <w:numId w:val="5"/>
              </w:numPr>
              <w:tabs>
                <w:tab w:val="left" w:pos="192"/>
              </w:tabs>
              <w:spacing w:before="80" w:after="40"/>
              <w:ind w:left="0" w:firstLine="0"/>
              <w:jc w:val="center"/>
              <w:rPr>
                <w:b/>
                <w:sz w:val="23"/>
                <w:szCs w:val="23"/>
              </w:rPr>
            </w:pPr>
          </w:p>
        </w:tc>
        <w:tc>
          <w:tcPr>
            <w:tcW w:w="2732" w:type="dxa"/>
            <w:vMerge/>
          </w:tcPr>
          <w:p w:rsidR="00E4720D" w:rsidRPr="002453A0" w:rsidRDefault="00E4720D" w:rsidP="009552FF">
            <w:pPr>
              <w:spacing w:before="80" w:after="40"/>
              <w:rPr>
                <w:b/>
              </w:rPr>
            </w:pPr>
          </w:p>
        </w:tc>
        <w:tc>
          <w:tcPr>
            <w:tcW w:w="6251" w:type="dxa"/>
          </w:tcPr>
          <w:p w:rsidR="00E4720D" w:rsidRPr="002453A0" w:rsidRDefault="00E4720D" w:rsidP="00DD7FB1">
            <w:pPr>
              <w:spacing w:before="80" w:after="40"/>
              <w:jc w:val="both"/>
              <w:rPr>
                <w:sz w:val="23"/>
                <w:szCs w:val="23"/>
              </w:rPr>
            </w:pPr>
            <w:r w:rsidRPr="002453A0">
              <w:rPr>
                <w:sz w:val="23"/>
                <w:szCs w:val="23"/>
              </w:rPr>
              <w:t>-  В чл.39, в който са регламентирани правомощията  на директорът -  Научни институти и научни центрове не става ясно, че същия е работодател и на работниците и служителите. Следователно  е необходимо да се добави – „сключва и прекратява трудовите договори с работниците и служителите”</w:t>
            </w:r>
          </w:p>
        </w:tc>
        <w:tc>
          <w:tcPr>
            <w:tcW w:w="1318" w:type="dxa"/>
          </w:tcPr>
          <w:p w:rsidR="00E4720D" w:rsidRPr="002453A0" w:rsidRDefault="00E4720D" w:rsidP="009552FF">
            <w:pPr>
              <w:spacing w:before="80" w:after="40"/>
              <w:rPr>
                <w:sz w:val="23"/>
                <w:szCs w:val="23"/>
              </w:rPr>
            </w:pPr>
            <w:r w:rsidRPr="002453A0">
              <w:rPr>
                <w:sz w:val="23"/>
                <w:szCs w:val="23"/>
              </w:rPr>
              <w:t>Приема се</w:t>
            </w:r>
          </w:p>
        </w:tc>
        <w:tc>
          <w:tcPr>
            <w:tcW w:w="4780" w:type="dxa"/>
          </w:tcPr>
          <w:p w:rsidR="00E4720D" w:rsidRPr="002453A0" w:rsidRDefault="00E4720D" w:rsidP="009552FF">
            <w:pPr>
              <w:spacing w:before="80" w:after="40"/>
              <w:rPr>
                <w:sz w:val="23"/>
                <w:szCs w:val="23"/>
              </w:rPr>
            </w:pPr>
          </w:p>
        </w:tc>
      </w:tr>
      <w:tr w:rsidR="00E4720D" w:rsidRPr="00C408E0" w:rsidTr="00C408E0">
        <w:trPr>
          <w:trHeight w:val="596"/>
        </w:trPr>
        <w:tc>
          <w:tcPr>
            <w:tcW w:w="569" w:type="dxa"/>
            <w:vMerge/>
          </w:tcPr>
          <w:p w:rsidR="00E4720D" w:rsidRPr="002453A0" w:rsidRDefault="00E4720D" w:rsidP="009552FF">
            <w:pPr>
              <w:numPr>
                <w:ilvl w:val="0"/>
                <w:numId w:val="5"/>
              </w:numPr>
              <w:tabs>
                <w:tab w:val="left" w:pos="192"/>
              </w:tabs>
              <w:spacing w:before="80" w:after="40"/>
              <w:ind w:left="0" w:firstLine="0"/>
              <w:jc w:val="center"/>
              <w:rPr>
                <w:b/>
                <w:sz w:val="23"/>
                <w:szCs w:val="23"/>
              </w:rPr>
            </w:pPr>
          </w:p>
        </w:tc>
        <w:tc>
          <w:tcPr>
            <w:tcW w:w="2732" w:type="dxa"/>
            <w:vMerge/>
          </w:tcPr>
          <w:p w:rsidR="00E4720D" w:rsidRPr="002453A0" w:rsidRDefault="00E4720D" w:rsidP="009552FF">
            <w:pPr>
              <w:spacing w:before="80" w:after="40"/>
              <w:rPr>
                <w:b/>
              </w:rPr>
            </w:pPr>
          </w:p>
        </w:tc>
        <w:tc>
          <w:tcPr>
            <w:tcW w:w="6251" w:type="dxa"/>
          </w:tcPr>
          <w:p w:rsidR="00E4720D" w:rsidRPr="002453A0" w:rsidRDefault="00E4720D" w:rsidP="00DD7FB1">
            <w:pPr>
              <w:spacing w:before="80" w:after="40"/>
              <w:jc w:val="both"/>
              <w:rPr>
                <w:sz w:val="23"/>
                <w:szCs w:val="23"/>
              </w:rPr>
            </w:pPr>
            <w:r w:rsidRPr="002453A0">
              <w:rPr>
                <w:sz w:val="23"/>
                <w:szCs w:val="23"/>
              </w:rPr>
              <w:t>-  В чл. 49 е регламентирана  дейността на Държавното предприятие „Научно - производствен център, в ал. 2  „Предприятието осъществява научно - приложна, приложна, експериментално-производствена и друга дейност подпомагаща дейността на ССА”</w:t>
            </w:r>
          </w:p>
          <w:p w:rsidR="00E4720D" w:rsidRPr="002453A0" w:rsidRDefault="00E4720D" w:rsidP="00DD7FB1">
            <w:pPr>
              <w:spacing w:before="80" w:after="40"/>
              <w:jc w:val="both"/>
              <w:rPr>
                <w:sz w:val="23"/>
                <w:szCs w:val="23"/>
              </w:rPr>
            </w:pPr>
            <w:r w:rsidRPr="002453A0">
              <w:rPr>
                <w:sz w:val="23"/>
                <w:szCs w:val="23"/>
              </w:rPr>
              <w:t>Съобразно горния текст намираме, че не са достатъчно конкретизирани изискванията както за директор на държавното предприятие „Научно производствен център „– чл. 54 ал. 2, така и за директора на специализираното поделение – чл. 63 ал. 2, относно обстоятелството, че същите е необходимо да бъдат научни работници.</w:t>
            </w:r>
          </w:p>
        </w:tc>
        <w:tc>
          <w:tcPr>
            <w:tcW w:w="1318" w:type="dxa"/>
          </w:tcPr>
          <w:p w:rsidR="00E4720D" w:rsidRPr="002453A0" w:rsidRDefault="00E4720D" w:rsidP="00151CC4">
            <w:pPr>
              <w:spacing w:before="80" w:after="40"/>
              <w:rPr>
                <w:sz w:val="23"/>
                <w:szCs w:val="23"/>
              </w:rPr>
            </w:pPr>
            <w:r w:rsidRPr="002453A0">
              <w:rPr>
                <w:sz w:val="23"/>
                <w:szCs w:val="23"/>
              </w:rPr>
              <w:t>Не се приема</w:t>
            </w:r>
          </w:p>
        </w:tc>
        <w:tc>
          <w:tcPr>
            <w:tcW w:w="4780" w:type="dxa"/>
          </w:tcPr>
          <w:p w:rsidR="00E4720D" w:rsidRPr="00C408E0" w:rsidRDefault="00E4720D" w:rsidP="00C408E0">
            <w:pPr>
              <w:spacing w:before="80" w:after="40"/>
              <w:jc w:val="both"/>
              <w:rPr>
                <w:sz w:val="23"/>
                <w:szCs w:val="23"/>
              </w:rPr>
            </w:pPr>
            <w:r w:rsidRPr="00C408E0">
              <w:rPr>
                <w:sz w:val="23"/>
                <w:szCs w:val="23"/>
              </w:rPr>
              <w:t xml:space="preserve">Директорите предвид спецификата на дейността на предприятието и поделенията следва да притежават познания в сферата на аграрните и стопански науки, както и опит на ръководна длъжност, за да изпълняват успешно функциите си по управление. </w:t>
            </w:r>
          </w:p>
        </w:tc>
      </w:tr>
      <w:tr w:rsidR="00E4720D" w:rsidRPr="002453A0" w:rsidTr="00C408E0">
        <w:trPr>
          <w:trHeight w:val="596"/>
        </w:trPr>
        <w:tc>
          <w:tcPr>
            <w:tcW w:w="569" w:type="dxa"/>
            <w:vMerge/>
          </w:tcPr>
          <w:p w:rsidR="00E4720D" w:rsidRPr="002453A0" w:rsidRDefault="00E4720D" w:rsidP="009552FF">
            <w:pPr>
              <w:numPr>
                <w:ilvl w:val="0"/>
                <w:numId w:val="5"/>
              </w:numPr>
              <w:tabs>
                <w:tab w:val="left" w:pos="192"/>
              </w:tabs>
              <w:spacing w:before="80" w:after="40"/>
              <w:ind w:left="0" w:firstLine="0"/>
              <w:jc w:val="center"/>
              <w:rPr>
                <w:b/>
                <w:sz w:val="23"/>
                <w:szCs w:val="23"/>
              </w:rPr>
            </w:pPr>
          </w:p>
        </w:tc>
        <w:tc>
          <w:tcPr>
            <w:tcW w:w="2732" w:type="dxa"/>
            <w:vMerge/>
          </w:tcPr>
          <w:p w:rsidR="00E4720D" w:rsidRPr="002453A0" w:rsidRDefault="00E4720D" w:rsidP="009552FF">
            <w:pPr>
              <w:spacing w:before="80" w:after="40"/>
              <w:rPr>
                <w:b/>
              </w:rPr>
            </w:pPr>
          </w:p>
        </w:tc>
        <w:tc>
          <w:tcPr>
            <w:tcW w:w="6251" w:type="dxa"/>
          </w:tcPr>
          <w:p w:rsidR="00E4720D" w:rsidRPr="002453A0" w:rsidRDefault="00E4720D" w:rsidP="00DD7FB1">
            <w:pPr>
              <w:spacing w:before="80" w:after="40"/>
              <w:jc w:val="both"/>
              <w:rPr>
                <w:sz w:val="23"/>
                <w:szCs w:val="23"/>
              </w:rPr>
            </w:pPr>
            <w:r w:rsidRPr="002453A0">
              <w:rPr>
                <w:sz w:val="23"/>
                <w:szCs w:val="23"/>
              </w:rPr>
              <w:t xml:space="preserve">-  В чл. 66, касаещ начина на набиране на приходи за осъществяване на научната дейност на държавното предприятие не  са регламентирани и не се предвиждат приходи за неговите специализирани поделения по договори за научна дейност, покриващи поне Фонд работна заплата  на научните сътрудници, работещи там.  В този си вид правилника не предвижда и не определя финансиране на дейността на опитните станции по научни проекти от бюджета на Академията, при условие, че тези проекти са представени и одобрени по общите правила на Академията. </w:t>
            </w:r>
            <w:r w:rsidRPr="002453A0">
              <w:rPr>
                <w:sz w:val="23"/>
                <w:szCs w:val="23"/>
              </w:rPr>
              <w:lastRenderedPageBreak/>
              <w:t>За това предлагаме да се запише в чл. 66 т. 1, „приходи от сключени договори за научна дейност по изследователски проекти, включени в научната програма на ССА „,останалите точки да се преномерират.</w:t>
            </w:r>
          </w:p>
          <w:p w:rsidR="00E4720D" w:rsidRPr="002453A0" w:rsidRDefault="00E4720D" w:rsidP="00DD7FB1">
            <w:pPr>
              <w:spacing w:before="80" w:after="40"/>
              <w:jc w:val="both"/>
              <w:rPr>
                <w:sz w:val="23"/>
                <w:szCs w:val="23"/>
              </w:rPr>
            </w:pPr>
            <w:r w:rsidRPr="002453A0">
              <w:rPr>
                <w:sz w:val="23"/>
                <w:szCs w:val="23"/>
              </w:rPr>
              <w:t>Смятаме за целесъобразно предложението ни, директорите на специализираните поделения  да заемат длъжността по трудов договор, а не по договор за управление, за да не бъдат лишени от полагащите им се  права, произтичащи  от  редица закони  и от под законови нормативни актове.</w:t>
            </w:r>
          </w:p>
        </w:tc>
        <w:tc>
          <w:tcPr>
            <w:tcW w:w="1318" w:type="dxa"/>
          </w:tcPr>
          <w:p w:rsidR="00E4720D" w:rsidRPr="002453A0" w:rsidRDefault="00E4720D" w:rsidP="00A76C4C">
            <w:pPr>
              <w:spacing w:before="80" w:after="40"/>
              <w:rPr>
                <w:sz w:val="23"/>
                <w:szCs w:val="23"/>
              </w:rPr>
            </w:pPr>
            <w:r w:rsidRPr="002453A0">
              <w:rPr>
                <w:sz w:val="23"/>
                <w:szCs w:val="23"/>
              </w:rPr>
              <w:lastRenderedPageBreak/>
              <w:t xml:space="preserve">Приема се частично </w:t>
            </w:r>
          </w:p>
        </w:tc>
        <w:tc>
          <w:tcPr>
            <w:tcW w:w="4780" w:type="dxa"/>
          </w:tcPr>
          <w:p w:rsidR="00E4720D" w:rsidRPr="002453A0" w:rsidRDefault="00E4720D" w:rsidP="002F6E9A">
            <w:pPr>
              <w:spacing w:before="80" w:after="40"/>
              <w:rPr>
                <w:sz w:val="23"/>
                <w:szCs w:val="23"/>
              </w:rPr>
            </w:pPr>
            <w:r w:rsidRPr="002453A0">
              <w:rPr>
                <w:sz w:val="23"/>
                <w:szCs w:val="23"/>
              </w:rPr>
              <w:t xml:space="preserve">Дейността на предприятието е свързана с постигането на положителен финансов резултат и директорите на специализираните поделения следва да обвързани с постигането на такъв резултат. В тази връзка и договорите им за назначаване следва да са договори за управление, в които да бъдат договорени съответните клаузи. </w:t>
            </w:r>
          </w:p>
        </w:tc>
      </w:tr>
      <w:tr w:rsidR="00E4720D" w:rsidRPr="002453A0" w:rsidTr="00C408E0">
        <w:trPr>
          <w:trHeight w:val="596"/>
        </w:trPr>
        <w:tc>
          <w:tcPr>
            <w:tcW w:w="569" w:type="dxa"/>
            <w:vMerge/>
          </w:tcPr>
          <w:p w:rsidR="00E4720D" w:rsidRPr="002453A0" w:rsidRDefault="00E4720D" w:rsidP="009552FF">
            <w:pPr>
              <w:numPr>
                <w:ilvl w:val="0"/>
                <w:numId w:val="5"/>
              </w:numPr>
              <w:tabs>
                <w:tab w:val="left" w:pos="192"/>
              </w:tabs>
              <w:spacing w:before="80" w:after="40"/>
              <w:ind w:left="0" w:firstLine="0"/>
              <w:jc w:val="center"/>
              <w:rPr>
                <w:b/>
                <w:sz w:val="23"/>
                <w:szCs w:val="23"/>
              </w:rPr>
            </w:pPr>
          </w:p>
        </w:tc>
        <w:tc>
          <w:tcPr>
            <w:tcW w:w="2732" w:type="dxa"/>
            <w:vMerge/>
          </w:tcPr>
          <w:p w:rsidR="00E4720D" w:rsidRPr="002453A0" w:rsidRDefault="00E4720D" w:rsidP="009552FF">
            <w:pPr>
              <w:spacing w:before="80" w:after="40"/>
              <w:rPr>
                <w:b/>
              </w:rPr>
            </w:pPr>
          </w:p>
        </w:tc>
        <w:tc>
          <w:tcPr>
            <w:tcW w:w="6251" w:type="dxa"/>
          </w:tcPr>
          <w:p w:rsidR="00E4720D" w:rsidRPr="002453A0" w:rsidRDefault="00E4720D" w:rsidP="00DD7FB1">
            <w:pPr>
              <w:spacing w:before="80" w:after="40"/>
              <w:jc w:val="both"/>
              <w:rPr>
                <w:sz w:val="23"/>
                <w:szCs w:val="23"/>
              </w:rPr>
            </w:pPr>
            <w:r w:rsidRPr="002453A0">
              <w:rPr>
                <w:sz w:val="23"/>
                <w:szCs w:val="23"/>
              </w:rPr>
              <w:t xml:space="preserve">Надяваме се, че след приемането на </w:t>
            </w:r>
            <w:proofErr w:type="spellStart"/>
            <w:r w:rsidRPr="002453A0">
              <w:rPr>
                <w:sz w:val="23"/>
                <w:szCs w:val="23"/>
              </w:rPr>
              <w:t>Устройствения</w:t>
            </w:r>
            <w:proofErr w:type="spellEnd"/>
            <w:r w:rsidRPr="002453A0">
              <w:rPr>
                <w:sz w:val="23"/>
                <w:szCs w:val="23"/>
              </w:rPr>
              <w:t xml:space="preserve"> правилник, ще бъдат подготвени и приети от Управителния съвет на Академията и други вътрешни правила, във връзка с приложението му. В случаите  когато се подготвят вътрешни правила и наредби, които се отнасят до трудовите правоотношения, председателят задължително поканва синдикатите в съответствие с чл. 37 от Кодекса на труда.</w:t>
            </w:r>
          </w:p>
        </w:tc>
        <w:tc>
          <w:tcPr>
            <w:tcW w:w="1318" w:type="dxa"/>
          </w:tcPr>
          <w:p w:rsidR="00E4720D" w:rsidRPr="002453A0" w:rsidRDefault="00E4720D" w:rsidP="00A76C4C">
            <w:pPr>
              <w:spacing w:before="80" w:after="40"/>
              <w:rPr>
                <w:sz w:val="23"/>
                <w:szCs w:val="23"/>
              </w:rPr>
            </w:pPr>
            <w:r w:rsidRPr="002453A0">
              <w:rPr>
                <w:sz w:val="23"/>
                <w:szCs w:val="23"/>
              </w:rPr>
              <w:t>Приема се</w:t>
            </w:r>
          </w:p>
        </w:tc>
        <w:tc>
          <w:tcPr>
            <w:tcW w:w="4780" w:type="dxa"/>
          </w:tcPr>
          <w:p w:rsidR="00E4720D" w:rsidRPr="002453A0" w:rsidRDefault="00E4720D" w:rsidP="009552FF">
            <w:pPr>
              <w:spacing w:before="80" w:after="40"/>
              <w:rPr>
                <w:sz w:val="23"/>
                <w:szCs w:val="23"/>
              </w:rPr>
            </w:pPr>
          </w:p>
        </w:tc>
      </w:tr>
      <w:tr w:rsidR="00E4720D" w:rsidRPr="002453A0" w:rsidTr="00C408E0">
        <w:trPr>
          <w:trHeight w:val="596"/>
        </w:trPr>
        <w:tc>
          <w:tcPr>
            <w:tcW w:w="569" w:type="dxa"/>
            <w:tcBorders>
              <w:bottom w:val="single" w:sz="18" w:space="0" w:color="2E74B5"/>
            </w:tcBorders>
          </w:tcPr>
          <w:p w:rsidR="00E4720D" w:rsidRPr="002453A0" w:rsidRDefault="00E4720D" w:rsidP="009552FF">
            <w:pPr>
              <w:tabs>
                <w:tab w:val="left" w:pos="192"/>
              </w:tabs>
              <w:spacing w:before="80" w:after="40"/>
              <w:jc w:val="center"/>
              <w:rPr>
                <w:b/>
                <w:sz w:val="23"/>
                <w:szCs w:val="23"/>
              </w:rPr>
            </w:pPr>
            <w:r w:rsidRPr="002453A0">
              <w:rPr>
                <w:b/>
                <w:sz w:val="23"/>
                <w:szCs w:val="23"/>
              </w:rPr>
              <w:t>4.</w:t>
            </w:r>
          </w:p>
        </w:tc>
        <w:tc>
          <w:tcPr>
            <w:tcW w:w="2732" w:type="dxa"/>
            <w:tcBorders>
              <w:bottom w:val="single" w:sz="18" w:space="0" w:color="2E74B5"/>
            </w:tcBorders>
          </w:tcPr>
          <w:p w:rsidR="00E4720D" w:rsidRPr="002453A0" w:rsidRDefault="00E4720D" w:rsidP="00822170">
            <w:pPr>
              <w:spacing w:before="80" w:after="40"/>
              <w:rPr>
                <w:b/>
              </w:rPr>
            </w:pPr>
            <w:r w:rsidRPr="002453A0">
              <w:rPr>
                <w:b/>
              </w:rPr>
              <w:t>Национална асоциация на тютюнопроизводителите 2010, Национална Конфедерация на Тютюнопроизводителите в България, Асоциация български тютюн, Българска асоциация на тютюневата индустрия, Съюз на производителите на ориенталски тютюн</w:t>
            </w:r>
          </w:p>
          <w:p w:rsidR="00E4720D" w:rsidRPr="002453A0" w:rsidRDefault="00E4720D" w:rsidP="00822170">
            <w:pPr>
              <w:spacing w:before="80" w:after="40"/>
              <w:rPr>
                <w:b/>
              </w:rPr>
            </w:pPr>
            <w:r w:rsidRPr="002453A0">
              <w:rPr>
                <w:b/>
              </w:rPr>
              <w:t xml:space="preserve">(Постъпило с писмо № </w:t>
            </w:r>
            <w:r w:rsidRPr="002453A0">
              <w:rPr>
                <w:b/>
              </w:rPr>
              <w:lastRenderedPageBreak/>
              <w:t>15-191 от 21.05.2018 г.)</w:t>
            </w:r>
          </w:p>
        </w:tc>
        <w:tc>
          <w:tcPr>
            <w:tcW w:w="6251" w:type="dxa"/>
            <w:tcBorders>
              <w:bottom w:val="single" w:sz="18" w:space="0" w:color="2E74B5"/>
            </w:tcBorders>
          </w:tcPr>
          <w:p w:rsidR="00E4720D" w:rsidRPr="002453A0" w:rsidRDefault="00E4720D" w:rsidP="000D0B59">
            <w:pPr>
              <w:spacing w:before="80" w:after="40"/>
              <w:jc w:val="both"/>
              <w:rPr>
                <w:sz w:val="23"/>
                <w:szCs w:val="23"/>
              </w:rPr>
            </w:pPr>
            <w:r w:rsidRPr="002453A0">
              <w:rPr>
                <w:sz w:val="23"/>
                <w:szCs w:val="23"/>
              </w:rPr>
              <w:lastRenderedPageBreak/>
              <w:t xml:space="preserve">С настоящото бихме желали да изразим становището на браншовите сдружения в сектора Тютюн, относно предложението за промяна наименованието на „Институт по тютюна и тютюневите изделия - Марково" на „Институт по технология и контрол на тютюневите изделия и тютюна - с. Марково" в публикувания за обществено обсъждане Проект на </w:t>
            </w:r>
            <w:proofErr w:type="spellStart"/>
            <w:r w:rsidRPr="002453A0">
              <w:rPr>
                <w:sz w:val="23"/>
                <w:szCs w:val="23"/>
              </w:rPr>
              <w:t>Устройствен</w:t>
            </w:r>
            <w:proofErr w:type="spellEnd"/>
            <w:r w:rsidRPr="002453A0">
              <w:rPr>
                <w:sz w:val="23"/>
                <w:szCs w:val="23"/>
              </w:rPr>
              <w:t xml:space="preserve"> правилник на Селскостопанска академия.</w:t>
            </w:r>
          </w:p>
          <w:p w:rsidR="00E4720D" w:rsidRPr="002453A0" w:rsidRDefault="00E4720D" w:rsidP="000D0B59">
            <w:pPr>
              <w:spacing w:before="80" w:after="40"/>
              <w:jc w:val="both"/>
              <w:rPr>
                <w:sz w:val="23"/>
                <w:szCs w:val="23"/>
              </w:rPr>
            </w:pPr>
            <w:r w:rsidRPr="002453A0">
              <w:rPr>
                <w:sz w:val="23"/>
                <w:szCs w:val="23"/>
              </w:rPr>
              <w:t xml:space="preserve">Ние считаме, че „Институт по тютюна и тютюневите изделия" следва да запази настоящото си наименование, предвид придобитата широка популярност и </w:t>
            </w:r>
            <w:proofErr w:type="spellStart"/>
            <w:r w:rsidRPr="002453A0">
              <w:rPr>
                <w:sz w:val="23"/>
                <w:szCs w:val="23"/>
              </w:rPr>
              <w:t>разпознаваемостта</w:t>
            </w:r>
            <w:proofErr w:type="spellEnd"/>
            <w:r w:rsidRPr="002453A0">
              <w:rPr>
                <w:sz w:val="23"/>
                <w:szCs w:val="23"/>
              </w:rPr>
              <w:t xml:space="preserve"> името в национален и международен мащаб. Институтът се нарича така от 1967 г. и се е превърнал в емблема на българската тютюнева наука- ИТТИ е единствената научна организация в Европа, която извършва комплексни научни изследвания на земеделската култура тютюн от семето до тютюневите изделия. В </w:t>
            </w:r>
            <w:r w:rsidRPr="002453A0">
              <w:rPr>
                <w:sz w:val="23"/>
                <w:szCs w:val="23"/>
              </w:rPr>
              <w:lastRenderedPageBreak/>
              <w:t>болшинството до дейностите на Института действително се прилагат различни технологии, поради което, именно, са установени направления по "Технология на тютюна и тютюневите изделия" и по „Технология на тютюнопроизводството" в структурата му. В първото направление са обособени отдели „Технология на обработката и преработката на тютюна", „Химия на тютюна и тютюневия дим" и „Лабораторен комплекс за изпитване", като последният е самостоятелно звено с цел акредитация за извършване на стандартизирани анализи. Но на Института не са предвидени контролни функции по смисъла на законите, регулиращи нашия сектор. Институтът има специфична научна, регулаторна и експертна функция, която служи на контролните държавни органи - Комисия за защита на потребителите и Агенция Митници.</w:t>
            </w:r>
          </w:p>
          <w:p w:rsidR="00E4720D" w:rsidRPr="002453A0" w:rsidRDefault="00E4720D" w:rsidP="000D0B59">
            <w:pPr>
              <w:spacing w:before="80" w:after="40"/>
              <w:jc w:val="both"/>
              <w:rPr>
                <w:sz w:val="23"/>
                <w:szCs w:val="23"/>
              </w:rPr>
            </w:pPr>
            <w:r w:rsidRPr="002453A0">
              <w:rPr>
                <w:sz w:val="23"/>
                <w:szCs w:val="23"/>
              </w:rPr>
              <w:t xml:space="preserve">Настоящото наименование на Института логически и систематично следва предмета на дейност по етапите на веригата на доставка. Основните дейности, база за постигане на качество на суровината е селекция на семена и тютюн, следвана от семепроизводство, агротехника и растителна защита, бране, сушене, </w:t>
            </w:r>
            <w:proofErr w:type="spellStart"/>
            <w:r w:rsidRPr="002453A0">
              <w:rPr>
                <w:sz w:val="23"/>
                <w:szCs w:val="23"/>
              </w:rPr>
              <w:t>производителска</w:t>
            </w:r>
            <w:proofErr w:type="spellEnd"/>
            <w:r w:rsidRPr="002453A0">
              <w:rPr>
                <w:sz w:val="23"/>
                <w:szCs w:val="23"/>
              </w:rPr>
              <w:t xml:space="preserve"> заготовка, технология на промишлената обработка на тютюна, химия на тютюна и тютюневия дим и лабораторен комплекс за изпитване.</w:t>
            </w:r>
          </w:p>
          <w:p w:rsidR="00E4720D" w:rsidRPr="002453A0" w:rsidRDefault="00E4720D" w:rsidP="000D0B59">
            <w:pPr>
              <w:spacing w:before="80" w:after="40"/>
              <w:jc w:val="both"/>
              <w:rPr>
                <w:sz w:val="23"/>
                <w:szCs w:val="23"/>
              </w:rPr>
            </w:pPr>
            <w:r w:rsidRPr="002453A0">
              <w:rPr>
                <w:sz w:val="23"/>
                <w:szCs w:val="23"/>
              </w:rPr>
              <w:t>В предложеното ново наименование се измества фокуса от предмета и предназначението на Института в нашия сектор.</w:t>
            </w:r>
          </w:p>
          <w:p w:rsidR="00E4720D" w:rsidRPr="002453A0" w:rsidRDefault="00E4720D" w:rsidP="000D0B59">
            <w:pPr>
              <w:spacing w:before="80" w:after="40"/>
              <w:jc w:val="both"/>
              <w:rPr>
                <w:sz w:val="23"/>
                <w:szCs w:val="23"/>
              </w:rPr>
            </w:pPr>
            <w:r w:rsidRPr="002453A0">
              <w:rPr>
                <w:sz w:val="23"/>
                <w:szCs w:val="23"/>
              </w:rPr>
              <w:t>Следва да се вземе предвид, че съгласно Закона за тютюна, тютюневите и свързаните с тях изделия, ИТТИ:</w:t>
            </w:r>
          </w:p>
          <w:p w:rsidR="00E4720D" w:rsidRPr="002453A0" w:rsidRDefault="00E4720D" w:rsidP="000D0B59">
            <w:pPr>
              <w:spacing w:before="80" w:after="40"/>
              <w:jc w:val="both"/>
              <w:rPr>
                <w:sz w:val="23"/>
                <w:szCs w:val="23"/>
              </w:rPr>
            </w:pPr>
            <w:r w:rsidRPr="002453A0">
              <w:rPr>
                <w:sz w:val="23"/>
                <w:szCs w:val="23"/>
              </w:rPr>
              <w:t xml:space="preserve">• изготвя технологични инструкции за производство на разсад, разсаждане, отглеждане, бране, сушене и </w:t>
            </w:r>
            <w:proofErr w:type="spellStart"/>
            <w:r w:rsidRPr="002453A0">
              <w:rPr>
                <w:sz w:val="23"/>
                <w:szCs w:val="23"/>
              </w:rPr>
              <w:t>производителска</w:t>
            </w:r>
            <w:proofErr w:type="spellEnd"/>
            <w:r w:rsidRPr="002453A0">
              <w:rPr>
                <w:sz w:val="23"/>
                <w:szCs w:val="23"/>
              </w:rPr>
              <w:t xml:space="preserve"> манипулация на тютюна, които се утвърждават със заповед на министъра на земеделието, </w:t>
            </w:r>
            <w:r w:rsidRPr="002453A0">
              <w:rPr>
                <w:sz w:val="23"/>
                <w:szCs w:val="23"/>
              </w:rPr>
              <w:lastRenderedPageBreak/>
              <w:t>храните и горите;</w:t>
            </w:r>
          </w:p>
          <w:p w:rsidR="00E4720D" w:rsidRPr="002453A0" w:rsidRDefault="00E4720D" w:rsidP="000D0B59">
            <w:pPr>
              <w:spacing w:before="80" w:after="40"/>
              <w:jc w:val="both"/>
              <w:rPr>
                <w:sz w:val="23"/>
                <w:szCs w:val="23"/>
              </w:rPr>
            </w:pPr>
            <w:r w:rsidRPr="002453A0">
              <w:rPr>
                <w:sz w:val="23"/>
                <w:szCs w:val="23"/>
              </w:rPr>
              <w:t>• извършва производство на сертифицирани семена, при спазване на изискванията на Закона за посевния и посадъчния материал;</w:t>
            </w:r>
          </w:p>
          <w:p w:rsidR="00E4720D" w:rsidRPr="002453A0" w:rsidRDefault="00E4720D" w:rsidP="000D0B59">
            <w:pPr>
              <w:spacing w:before="80" w:after="40"/>
              <w:jc w:val="both"/>
              <w:rPr>
                <w:sz w:val="23"/>
                <w:szCs w:val="23"/>
              </w:rPr>
            </w:pPr>
            <w:r w:rsidRPr="002453A0">
              <w:rPr>
                <w:sz w:val="23"/>
                <w:szCs w:val="23"/>
              </w:rPr>
              <w:t>• е органа, на който  по силата на ЗТТСТИ са вменени функции по съхранение и публикуване на данните и информацията, предоставяни от производителите и вносителите ма тютюневи изделия съгласно изискванията на Директива 2014/40/ЕС относно производството, представянето и продажбата на тютюневи и свързани с тях изделия. За целта е ратифицирано и споразумение с Европейската комисия, в което Институтът е посочен като страна.</w:t>
            </w:r>
          </w:p>
          <w:p w:rsidR="00E4720D" w:rsidRPr="002453A0" w:rsidRDefault="00E4720D" w:rsidP="000D0B59">
            <w:pPr>
              <w:spacing w:before="80" w:after="40"/>
              <w:jc w:val="both"/>
              <w:rPr>
                <w:sz w:val="23"/>
                <w:szCs w:val="23"/>
              </w:rPr>
            </w:pPr>
            <w:r w:rsidRPr="002453A0">
              <w:rPr>
                <w:sz w:val="23"/>
                <w:szCs w:val="23"/>
              </w:rPr>
              <w:t>Лабораторният комплекс за изпитване към ИТТИ е акредитиран за лабораторни изпитвания и оценка на тютюн, тютюневи изделия и спомагателни материали за цигарено производство в съответствие с международни стандарти и нормативни документи. Издават се акредитирани Протоколи от изпитване, но Институтът няма никакви административно-наказателни функции.</w:t>
            </w:r>
          </w:p>
          <w:p w:rsidR="00E4720D" w:rsidRPr="002453A0" w:rsidRDefault="00E4720D" w:rsidP="000D0B59">
            <w:pPr>
              <w:spacing w:before="80" w:after="40"/>
              <w:jc w:val="both"/>
              <w:rPr>
                <w:sz w:val="23"/>
                <w:szCs w:val="23"/>
              </w:rPr>
            </w:pPr>
            <w:r w:rsidRPr="002453A0">
              <w:rPr>
                <w:sz w:val="23"/>
                <w:szCs w:val="23"/>
              </w:rPr>
              <w:t xml:space="preserve">Считаме, че наименованието „Институт по технология и контрол на тютюневите изделия и тютюна -с. </w:t>
            </w:r>
            <w:proofErr w:type="spellStart"/>
            <w:r w:rsidRPr="002453A0">
              <w:rPr>
                <w:sz w:val="23"/>
                <w:szCs w:val="23"/>
              </w:rPr>
              <w:t>Мзрково</w:t>
            </w:r>
            <w:proofErr w:type="spellEnd"/>
            <w:r w:rsidRPr="002453A0">
              <w:rPr>
                <w:sz w:val="23"/>
                <w:szCs w:val="23"/>
              </w:rPr>
              <w:t xml:space="preserve">" не отговаря на същинската дейност - научно-приложна, образователна и изследователска, но не и контролна, в областта на земеделието. По наше мнение новото наименование не отговаря на реалните функции на Института и би могло да ограничи бъдещите възможности за реализиране на дейности, свързани с международни лабораторни проекти, участие в проекти, свързани с Рамковата конвенция за контрол на тютюна и Директива 2014/40/ЕС. Това, съответно, би намалило значението на института и на страната ни в международни проекти и </w:t>
            </w:r>
            <w:r w:rsidRPr="002453A0">
              <w:rPr>
                <w:sz w:val="23"/>
                <w:szCs w:val="23"/>
              </w:rPr>
              <w:lastRenderedPageBreak/>
              <w:t>всички ползи, произтичащи от тях. Успоредно с това, считаме, че смяна на името и всички произтичащи от това процедури и законови промени биха създали период на нестабилност и биха насочили административния ресурс на Института в насока управление на промяната, вместо в реална дейност. Искрено се надяваме, че мнението на цялата тютюнева общност ще бъде отчетено и промяна на компетенциите на Института няма да бъде допуснато, като Институтът ще продължи да носи традиционно утвърденото си име, с което е известен от десетилетия.</w:t>
            </w:r>
          </w:p>
        </w:tc>
        <w:tc>
          <w:tcPr>
            <w:tcW w:w="1318" w:type="dxa"/>
            <w:tcBorders>
              <w:bottom w:val="single" w:sz="18" w:space="0" w:color="2E74B5"/>
            </w:tcBorders>
          </w:tcPr>
          <w:p w:rsidR="00E4720D" w:rsidRPr="002453A0" w:rsidRDefault="00E4720D" w:rsidP="00A76C4C">
            <w:pPr>
              <w:spacing w:before="80" w:after="40"/>
              <w:rPr>
                <w:sz w:val="23"/>
                <w:szCs w:val="23"/>
              </w:rPr>
            </w:pPr>
            <w:r w:rsidRPr="002453A0">
              <w:rPr>
                <w:sz w:val="23"/>
                <w:szCs w:val="23"/>
              </w:rPr>
              <w:lastRenderedPageBreak/>
              <w:t>Приема се</w:t>
            </w:r>
          </w:p>
        </w:tc>
        <w:tc>
          <w:tcPr>
            <w:tcW w:w="4780" w:type="dxa"/>
            <w:tcBorders>
              <w:bottom w:val="single" w:sz="18" w:space="0" w:color="2E74B5"/>
            </w:tcBorders>
          </w:tcPr>
          <w:p w:rsidR="00E4720D" w:rsidRPr="002453A0" w:rsidRDefault="00E4720D" w:rsidP="009552FF">
            <w:pPr>
              <w:spacing w:before="80" w:after="40"/>
              <w:rPr>
                <w:sz w:val="23"/>
                <w:szCs w:val="23"/>
              </w:rPr>
            </w:pPr>
          </w:p>
        </w:tc>
      </w:tr>
    </w:tbl>
    <w:p w:rsidR="00E4720D" w:rsidRPr="002453A0" w:rsidRDefault="00E4720D"/>
    <w:p w:rsidR="00E4720D" w:rsidRDefault="00E4720D" w:rsidP="005C35A6">
      <w:pPr>
        <w:spacing w:line="360" w:lineRule="auto"/>
        <w:ind w:firstLine="142"/>
        <w:rPr>
          <w:b/>
          <w:bCs/>
          <w:caps/>
          <w:lang w:eastAsia="en-US"/>
        </w:rPr>
      </w:pPr>
      <w:bookmarkStart w:id="0" w:name="_GoBack"/>
      <w:bookmarkEnd w:id="0"/>
    </w:p>
    <w:sectPr w:rsidR="00E4720D" w:rsidSect="00A76C4C">
      <w:footerReference w:type="even" r:id="rId8"/>
      <w:footerReference w:type="default" r:id="rId9"/>
      <w:pgSz w:w="16838" w:h="11906" w:orient="landscape" w:code="9"/>
      <w:pgMar w:top="1134" w:right="1418" w:bottom="3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BAB" w:rsidRDefault="004C5BAB">
      <w:r>
        <w:separator/>
      </w:r>
    </w:p>
  </w:endnote>
  <w:endnote w:type="continuationSeparator" w:id="0">
    <w:p w:rsidR="004C5BAB" w:rsidRDefault="004C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20D" w:rsidRDefault="00E71B49" w:rsidP="00442824">
    <w:pPr>
      <w:pStyle w:val="Footer"/>
      <w:framePr w:wrap="around" w:vAnchor="text" w:hAnchor="margin" w:xAlign="right" w:y="1"/>
      <w:rPr>
        <w:rStyle w:val="PageNumber"/>
      </w:rPr>
    </w:pPr>
    <w:r>
      <w:rPr>
        <w:rStyle w:val="PageNumber"/>
      </w:rPr>
      <w:fldChar w:fldCharType="begin"/>
    </w:r>
    <w:r w:rsidR="00E4720D">
      <w:rPr>
        <w:rStyle w:val="PageNumber"/>
      </w:rPr>
      <w:instrText xml:space="preserve">PAGE  </w:instrText>
    </w:r>
    <w:r>
      <w:rPr>
        <w:rStyle w:val="PageNumber"/>
      </w:rPr>
      <w:fldChar w:fldCharType="end"/>
    </w:r>
  </w:p>
  <w:p w:rsidR="00E4720D" w:rsidRDefault="00E4720D"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20D" w:rsidRPr="00A76C4C" w:rsidRDefault="00E71B49" w:rsidP="00A76C4C">
    <w:pPr>
      <w:pStyle w:val="Footer"/>
      <w:jc w:val="right"/>
      <w:rPr>
        <w:sz w:val="20"/>
        <w:szCs w:val="20"/>
      </w:rPr>
    </w:pPr>
    <w:r w:rsidRPr="00A76C4C">
      <w:rPr>
        <w:sz w:val="20"/>
        <w:szCs w:val="20"/>
      </w:rPr>
      <w:fldChar w:fldCharType="begin"/>
    </w:r>
    <w:r w:rsidR="00E4720D" w:rsidRPr="00A76C4C">
      <w:rPr>
        <w:sz w:val="20"/>
        <w:szCs w:val="20"/>
      </w:rPr>
      <w:instrText xml:space="preserve"> PAGE   \* MERGEFORMAT </w:instrText>
    </w:r>
    <w:r w:rsidRPr="00A76C4C">
      <w:rPr>
        <w:sz w:val="20"/>
        <w:szCs w:val="20"/>
      </w:rPr>
      <w:fldChar w:fldCharType="separate"/>
    </w:r>
    <w:r w:rsidR="00E06157">
      <w:rPr>
        <w:noProof/>
        <w:sz w:val="20"/>
        <w:szCs w:val="20"/>
      </w:rPr>
      <w:t>5</w:t>
    </w:r>
    <w:r w:rsidRPr="00A76C4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BAB" w:rsidRDefault="004C5BAB">
      <w:r>
        <w:separator/>
      </w:r>
    </w:p>
  </w:footnote>
  <w:footnote w:type="continuationSeparator" w:id="0">
    <w:p w:rsidR="004C5BAB" w:rsidRDefault="004C5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nsid w:val="4AD50911"/>
    <w:multiLevelType w:val="hybridMultilevel"/>
    <w:tmpl w:val="D65C46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4382467"/>
    <w:multiLevelType w:val="hybridMultilevel"/>
    <w:tmpl w:val="D5383E5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543A0C1B"/>
    <w:multiLevelType w:val="hybridMultilevel"/>
    <w:tmpl w:val="3EC0A40C"/>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782C152E"/>
    <w:multiLevelType w:val="hybridMultilevel"/>
    <w:tmpl w:val="F8E04E04"/>
    <w:lvl w:ilvl="0" w:tplc="6FF6C506">
      <w:start w:val="1"/>
      <w:numFmt w:val="decimal"/>
      <w:lvlText w:val="%1."/>
      <w:lvlJc w:val="left"/>
      <w:pPr>
        <w:ind w:left="720" w:hanging="360"/>
      </w:pPr>
      <w:rPr>
        <w:rFonts w:cs="Times New Roman" w:hint="default"/>
        <w:sz w:val="23"/>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7EEC6F2A"/>
    <w:multiLevelType w:val="hybridMultilevel"/>
    <w:tmpl w:val="C944C17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4D8D"/>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0B59"/>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1CC4"/>
    <w:rsid w:val="00153187"/>
    <w:rsid w:val="00155CAF"/>
    <w:rsid w:val="001668E1"/>
    <w:rsid w:val="00175004"/>
    <w:rsid w:val="00177AA6"/>
    <w:rsid w:val="001808B4"/>
    <w:rsid w:val="0018509E"/>
    <w:rsid w:val="001948B0"/>
    <w:rsid w:val="001A0680"/>
    <w:rsid w:val="001B2DEE"/>
    <w:rsid w:val="001B4CD8"/>
    <w:rsid w:val="001D362A"/>
    <w:rsid w:val="001D3648"/>
    <w:rsid w:val="001E4FE9"/>
    <w:rsid w:val="001E64F2"/>
    <w:rsid w:val="001F0567"/>
    <w:rsid w:val="001F1F60"/>
    <w:rsid w:val="001F314D"/>
    <w:rsid w:val="001F6DE6"/>
    <w:rsid w:val="0020103A"/>
    <w:rsid w:val="00201455"/>
    <w:rsid w:val="00206678"/>
    <w:rsid w:val="0021035B"/>
    <w:rsid w:val="00214B75"/>
    <w:rsid w:val="00215178"/>
    <w:rsid w:val="00221143"/>
    <w:rsid w:val="002217C0"/>
    <w:rsid w:val="00221B68"/>
    <w:rsid w:val="00230E0E"/>
    <w:rsid w:val="00232583"/>
    <w:rsid w:val="00233C04"/>
    <w:rsid w:val="002348DC"/>
    <w:rsid w:val="002369C8"/>
    <w:rsid w:val="002375B3"/>
    <w:rsid w:val="00237A17"/>
    <w:rsid w:val="00237C42"/>
    <w:rsid w:val="00241F4C"/>
    <w:rsid w:val="0024444A"/>
    <w:rsid w:val="002453A0"/>
    <w:rsid w:val="002536A8"/>
    <w:rsid w:val="00256294"/>
    <w:rsid w:val="00257983"/>
    <w:rsid w:val="00260F55"/>
    <w:rsid w:val="002632C1"/>
    <w:rsid w:val="00263E76"/>
    <w:rsid w:val="002640E1"/>
    <w:rsid w:val="00267FB7"/>
    <w:rsid w:val="0027210E"/>
    <w:rsid w:val="00272EE3"/>
    <w:rsid w:val="00273219"/>
    <w:rsid w:val="002804CF"/>
    <w:rsid w:val="00282A08"/>
    <w:rsid w:val="002900C5"/>
    <w:rsid w:val="00291F1E"/>
    <w:rsid w:val="00293CA6"/>
    <w:rsid w:val="0029482B"/>
    <w:rsid w:val="00295B2B"/>
    <w:rsid w:val="002964C1"/>
    <w:rsid w:val="002A0706"/>
    <w:rsid w:val="002A0C5D"/>
    <w:rsid w:val="002A3B76"/>
    <w:rsid w:val="002A4F2E"/>
    <w:rsid w:val="002A59D9"/>
    <w:rsid w:val="002A5A11"/>
    <w:rsid w:val="002A67D5"/>
    <w:rsid w:val="002C03AF"/>
    <w:rsid w:val="002C5843"/>
    <w:rsid w:val="002C7F10"/>
    <w:rsid w:val="002D083C"/>
    <w:rsid w:val="002D2176"/>
    <w:rsid w:val="002E537C"/>
    <w:rsid w:val="002E57D4"/>
    <w:rsid w:val="002E5E3F"/>
    <w:rsid w:val="002E6ADF"/>
    <w:rsid w:val="002F0752"/>
    <w:rsid w:val="002F6E9A"/>
    <w:rsid w:val="002F7B2A"/>
    <w:rsid w:val="00300B99"/>
    <w:rsid w:val="00300D63"/>
    <w:rsid w:val="00301A8B"/>
    <w:rsid w:val="003039A5"/>
    <w:rsid w:val="003061A2"/>
    <w:rsid w:val="00306298"/>
    <w:rsid w:val="00312FB3"/>
    <w:rsid w:val="00314F63"/>
    <w:rsid w:val="003154C2"/>
    <w:rsid w:val="00316618"/>
    <w:rsid w:val="00321BD0"/>
    <w:rsid w:val="00326B58"/>
    <w:rsid w:val="003336CE"/>
    <w:rsid w:val="00333BD7"/>
    <w:rsid w:val="00346856"/>
    <w:rsid w:val="00351063"/>
    <w:rsid w:val="003640F0"/>
    <w:rsid w:val="00365244"/>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1061"/>
    <w:rsid w:val="004333E4"/>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C5BAB"/>
    <w:rsid w:val="004D24E9"/>
    <w:rsid w:val="004D3191"/>
    <w:rsid w:val="004E0260"/>
    <w:rsid w:val="004E4897"/>
    <w:rsid w:val="004E6D10"/>
    <w:rsid w:val="004F17EA"/>
    <w:rsid w:val="004F2B1B"/>
    <w:rsid w:val="004F4587"/>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35A6"/>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56BD"/>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458B2"/>
    <w:rsid w:val="007516D1"/>
    <w:rsid w:val="00756290"/>
    <w:rsid w:val="00756A19"/>
    <w:rsid w:val="0076108C"/>
    <w:rsid w:val="00761B5E"/>
    <w:rsid w:val="0076408A"/>
    <w:rsid w:val="00774BE7"/>
    <w:rsid w:val="00775FE0"/>
    <w:rsid w:val="00776F08"/>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169AD"/>
    <w:rsid w:val="00822170"/>
    <w:rsid w:val="00826F86"/>
    <w:rsid w:val="00831124"/>
    <w:rsid w:val="00831D3C"/>
    <w:rsid w:val="00831E9A"/>
    <w:rsid w:val="00833124"/>
    <w:rsid w:val="00842C8D"/>
    <w:rsid w:val="0084475A"/>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6D6"/>
    <w:rsid w:val="008D579B"/>
    <w:rsid w:val="008D583E"/>
    <w:rsid w:val="008D7657"/>
    <w:rsid w:val="008E1CC8"/>
    <w:rsid w:val="008E24D8"/>
    <w:rsid w:val="008E3AC0"/>
    <w:rsid w:val="008E4CA1"/>
    <w:rsid w:val="008E7705"/>
    <w:rsid w:val="008E77F4"/>
    <w:rsid w:val="008E7E4D"/>
    <w:rsid w:val="008F35DB"/>
    <w:rsid w:val="008F4969"/>
    <w:rsid w:val="008F6393"/>
    <w:rsid w:val="00905EB8"/>
    <w:rsid w:val="00905F3A"/>
    <w:rsid w:val="0090782D"/>
    <w:rsid w:val="00912CC2"/>
    <w:rsid w:val="0091523F"/>
    <w:rsid w:val="0091558A"/>
    <w:rsid w:val="00917058"/>
    <w:rsid w:val="00924F7D"/>
    <w:rsid w:val="009312BE"/>
    <w:rsid w:val="0094334A"/>
    <w:rsid w:val="00943E2F"/>
    <w:rsid w:val="00952D0A"/>
    <w:rsid w:val="00953FD7"/>
    <w:rsid w:val="009551F9"/>
    <w:rsid w:val="009552FF"/>
    <w:rsid w:val="00955E4A"/>
    <w:rsid w:val="00963AE2"/>
    <w:rsid w:val="00972F4C"/>
    <w:rsid w:val="00975F5E"/>
    <w:rsid w:val="00977612"/>
    <w:rsid w:val="009827FE"/>
    <w:rsid w:val="00983B09"/>
    <w:rsid w:val="00990860"/>
    <w:rsid w:val="00990FC4"/>
    <w:rsid w:val="0099513B"/>
    <w:rsid w:val="00996B48"/>
    <w:rsid w:val="009A19C4"/>
    <w:rsid w:val="009B1744"/>
    <w:rsid w:val="009B1EE9"/>
    <w:rsid w:val="009B3500"/>
    <w:rsid w:val="009B568A"/>
    <w:rsid w:val="009D0944"/>
    <w:rsid w:val="009D6D2E"/>
    <w:rsid w:val="009D753B"/>
    <w:rsid w:val="009E0CEB"/>
    <w:rsid w:val="009E6C5E"/>
    <w:rsid w:val="009E7717"/>
    <w:rsid w:val="009E7FF1"/>
    <w:rsid w:val="009F291B"/>
    <w:rsid w:val="00A02072"/>
    <w:rsid w:val="00A11D46"/>
    <w:rsid w:val="00A163D9"/>
    <w:rsid w:val="00A1730D"/>
    <w:rsid w:val="00A23452"/>
    <w:rsid w:val="00A26499"/>
    <w:rsid w:val="00A27F81"/>
    <w:rsid w:val="00A30636"/>
    <w:rsid w:val="00A31338"/>
    <w:rsid w:val="00A32258"/>
    <w:rsid w:val="00A3356F"/>
    <w:rsid w:val="00A33B41"/>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76C4C"/>
    <w:rsid w:val="00A85598"/>
    <w:rsid w:val="00A856B0"/>
    <w:rsid w:val="00A8607A"/>
    <w:rsid w:val="00A90530"/>
    <w:rsid w:val="00A917A9"/>
    <w:rsid w:val="00A94B87"/>
    <w:rsid w:val="00A9750F"/>
    <w:rsid w:val="00AA169E"/>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C41"/>
    <w:rsid w:val="00B17FDB"/>
    <w:rsid w:val="00B24B51"/>
    <w:rsid w:val="00B2512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D0FA0"/>
    <w:rsid w:val="00BD2B98"/>
    <w:rsid w:val="00BD7BD3"/>
    <w:rsid w:val="00BE0D0E"/>
    <w:rsid w:val="00BE395D"/>
    <w:rsid w:val="00BE482D"/>
    <w:rsid w:val="00BF0159"/>
    <w:rsid w:val="00BF0284"/>
    <w:rsid w:val="00C03495"/>
    <w:rsid w:val="00C1385A"/>
    <w:rsid w:val="00C2421A"/>
    <w:rsid w:val="00C27D33"/>
    <w:rsid w:val="00C31286"/>
    <w:rsid w:val="00C31A5B"/>
    <w:rsid w:val="00C34C0E"/>
    <w:rsid w:val="00C35EF2"/>
    <w:rsid w:val="00C403B4"/>
    <w:rsid w:val="00C406DE"/>
    <w:rsid w:val="00C408E0"/>
    <w:rsid w:val="00C41B61"/>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C0D6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BA3"/>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40F9"/>
    <w:rsid w:val="00DC60E2"/>
    <w:rsid w:val="00DD139E"/>
    <w:rsid w:val="00DD1857"/>
    <w:rsid w:val="00DD4BFA"/>
    <w:rsid w:val="00DD4DA6"/>
    <w:rsid w:val="00DD7AA4"/>
    <w:rsid w:val="00DD7FB1"/>
    <w:rsid w:val="00DE1C7B"/>
    <w:rsid w:val="00DE370C"/>
    <w:rsid w:val="00DE48BE"/>
    <w:rsid w:val="00DE5489"/>
    <w:rsid w:val="00DF4AC7"/>
    <w:rsid w:val="00DF568A"/>
    <w:rsid w:val="00DF5EF4"/>
    <w:rsid w:val="00E00230"/>
    <w:rsid w:val="00E00442"/>
    <w:rsid w:val="00E015B8"/>
    <w:rsid w:val="00E01FFB"/>
    <w:rsid w:val="00E02445"/>
    <w:rsid w:val="00E0521D"/>
    <w:rsid w:val="00E06157"/>
    <w:rsid w:val="00E074E3"/>
    <w:rsid w:val="00E13B7B"/>
    <w:rsid w:val="00E2203D"/>
    <w:rsid w:val="00E220AD"/>
    <w:rsid w:val="00E222BB"/>
    <w:rsid w:val="00E26258"/>
    <w:rsid w:val="00E27FFC"/>
    <w:rsid w:val="00E352D8"/>
    <w:rsid w:val="00E36D56"/>
    <w:rsid w:val="00E377AA"/>
    <w:rsid w:val="00E41613"/>
    <w:rsid w:val="00E41BB3"/>
    <w:rsid w:val="00E4720D"/>
    <w:rsid w:val="00E52B88"/>
    <w:rsid w:val="00E53B43"/>
    <w:rsid w:val="00E55296"/>
    <w:rsid w:val="00E61E3D"/>
    <w:rsid w:val="00E61F16"/>
    <w:rsid w:val="00E67755"/>
    <w:rsid w:val="00E71B49"/>
    <w:rsid w:val="00E72CDA"/>
    <w:rsid w:val="00E76BD1"/>
    <w:rsid w:val="00E7793E"/>
    <w:rsid w:val="00E7794B"/>
    <w:rsid w:val="00E804F0"/>
    <w:rsid w:val="00E8474D"/>
    <w:rsid w:val="00E85EEC"/>
    <w:rsid w:val="00E87046"/>
    <w:rsid w:val="00E9569E"/>
    <w:rsid w:val="00E96851"/>
    <w:rsid w:val="00EA151B"/>
    <w:rsid w:val="00EA3777"/>
    <w:rsid w:val="00EA759A"/>
    <w:rsid w:val="00EA7FE4"/>
    <w:rsid w:val="00EB06DD"/>
    <w:rsid w:val="00EB648A"/>
    <w:rsid w:val="00EB6C95"/>
    <w:rsid w:val="00EB6E90"/>
    <w:rsid w:val="00EB71B3"/>
    <w:rsid w:val="00EC0FAA"/>
    <w:rsid w:val="00EC103F"/>
    <w:rsid w:val="00EC2608"/>
    <w:rsid w:val="00EC5DBC"/>
    <w:rsid w:val="00ED364A"/>
    <w:rsid w:val="00ED7690"/>
    <w:rsid w:val="00EE137A"/>
    <w:rsid w:val="00EE22E1"/>
    <w:rsid w:val="00EF21BC"/>
    <w:rsid w:val="00EF3B04"/>
    <w:rsid w:val="00EF72B0"/>
    <w:rsid w:val="00F00C40"/>
    <w:rsid w:val="00F00CD5"/>
    <w:rsid w:val="00F03EE5"/>
    <w:rsid w:val="00F04A79"/>
    <w:rsid w:val="00F06310"/>
    <w:rsid w:val="00F12F9E"/>
    <w:rsid w:val="00F15047"/>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185"/>
    <w:rsid w:val="00FE05A8"/>
    <w:rsid w:val="00FE49A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047"/>
    <w:rPr>
      <w:sz w:val="24"/>
      <w:szCs w:val="24"/>
    </w:rPr>
  </w:style>
  <w:style w:type="paragraph" w:styleId="Heading1">
    <w:name w:val="heading 1"/>
    <w:basedOn w:val="Normal"/>
    <w:next w:val="Normal"/>
    <w:link w:val="Heading1Char"/>
    <w:uiPriority w:val="99"/>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1B49"/>
    <w:rPr>
      <w:rFonts w:ascii="Cambria" w:hAnsi="Cambria" w:cs="Times New Roman"/>
      <w:b/>
      <w:bCs/>
      <w:kern w:val="32"/>
      <w:sz w:val="32"/>
      <w:szCs w:val="32"/>
    </w:rPr>
  </w:style>
  <w:style w:type="table" w:styleId="TableGrid">
    <w:name w:val="Table Grid"/>
    <w:basedOn w:val="TableNormal"/>
    <w:uiPriority w:val="99"/>
    <w:rsid w:val="00A94B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customStyle="1" w:styleId="FooterChar">
    <w:name w:val="Footer Char"/>
    <w:basedOn w:val="DefaultParagraphFont"/>
    <w:link w:val="Footer"/>
    <w:uiPriority w:val="99"/>
    <w:locked/>
    <w:rsid w:val="00A76C4C"/>
    <w:rPr>
      <w:rFonts w:cs="Times New Roman"/>
      <w:sz w:val="24"/>
      <w:szCs w:val="24"/>
    </w:rPr>
  </w:style>
  <w:style w:type="character" w:styleId="PageNumber">
    <w:name w:val="page number"/>
    <w:basedOn w:val="DefaultParagraphFont"/>
    <w:uiPriority w:val="99"/>
    <w:rsid w:val="00E96851"/>
    <w:rPr>
      <w:rFonts w:cs="Times New Roman"/>
    </w:rPr>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uiPriority w:val="99"/>
    <w:rsid w:val="00E96851"/>
    <w:pPr>
      <w:tabs>
        <w:tab w:val="center" w:pos="4536"/>
        <w:tab w:val="right" w:pos="9072"/>
      </w:tabs>
    </w:p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basedOn w:val="DefaultParagraphFont"/>
    <w:link w:val="Header"/>
    <w:uiPriority w:val="99"/>
    <w:locked/>
    <w:rsid w:val="004B2E13"/>
    <w:rPr>
      <w:rFonts w:cs="Times New Roman"/>
      <w:sz w:val="24"/>
      <w:lang w:val="bg-BG" w:eastAsia="bg-BG"/>
    </w:rPr>
  </w:style>
  <w:style w:type="paragraph" w:styleId="BodyTextIndent">
    <w:name w:val="Body Text Indent"/>
    <w:basedOn w:val="Normal"/>
    <w:link w:val="BodyTextIndentChar"/>
    <w:uiPriority w:val="99"/>
    <w:rsid w:val="000B2EB1"/>
    <w:pPr>
      <w:ind w:left="720" w:firstLine="720"/>
    </w:pPr>
    <w:rPr>
      <w:szCs w:val="20"/>
      <w:lang w:eastAsia="en-US"/>
    </w:rPr>
  </w:style>
  <w:style w:type="character" w:customStyle="1" w:styleId="BodyTextIndentChar">
    <w:name w:val="Body Text Indent Char"/>
    <w:basedOn w:val="DefaultParagraphFont"/>
    <w:link w:val="BodyTextIndent"/>
    <w:uiPriority w:val="99"/>
    <w:semiHidden/>
    <w:locked/>
    <w:rsid w:val="00E71B49"/>
    <w:rPr>
      <w:rFonts w:cs="Times New Roman"/>
      <w:sz w:val="24"/>
      <w:szCs w:val="24"/>
    </w:rPr>
  </w:style>
  <w:style w:type="paragraph" w:styleId="Title">
    <w:name w:val="Title"/>
    <w:basedOn w:val="Normal"/>
    <w:link w:val="TitleChar"/>
    <w:uiPriority w:val="99"/>
    <w:qFormat/>
    <w:rsid w:val="000B2EB1"/>
    <w:pPr>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uiPriority w:val="99"/>
    <w:locked/>
    <w:rsid w:val="00E71B49"/>
    <w:rPr>
      <w:rFonts w:ascii="Cambria" w:hAnsi="Cambria" w:cs="Times New Roman"/>
      <w:b/>
      <w:bCs/>
      <w:kern w:val="28"/>
      <w:sz w:val="32"/>
      <w:szCs w:val="32"/>
    </w:rPr>
  </w:style>
  <w:style w:type="paragraph" w:styleId="Subtitle">
    <w:name w:val="Subtitle"/>
    <w:basedOn w:val="Normal"/>
    <w:link w:val="SubtitleChar"/>
    <w:uiPriority w:val="99"/>
    <w:qFormat/>
    <w:rsid w:val="000B2EB1"/>
    <w:pPr>
      <w:spacing w:after="60"/>
      <w:jc w:val="center"/>
      <w:outlineLvl w:val="1"/>
    </w:pPr>
    <w:rPr>
      <w:rFonts w:ascii="Arial" w:hAnsi="Arial" w:cs="Arial"/>
      <w:lang w:eastAsia="en-US"/>
    </w:rPr>
  </w:style>
  <w:style w:type="character" w:customStyle="1" w:styleId="SubtitleChar">
    <w:name w:val="Subtitle Char"/>
    <w:basedOn w:val="DefaultParagraphFont"/>
    <w:link w:val="Subtitle"/>
    <w:uiPriority w:val="99"/>
    <w:locked/>
    <w:rsid w:val="00E71B49"/>
    <w:rPr>
      <w:rFonts w:ascii="Cambria" w:hAnsi="Cambria" w:cs="Times New Roman"/>
      <w:sz w:val="24"/>
      <w:szCs w:val="24"/>
    </w:rPr>
  </w:style>
  <w:style w:type="character" w:styleId="Hyperlink">
    <w:name w:val="Hyperlink"/>
    <w:basedOn w:val="DefaultParagraphFont"/>
    <w:uiPriority w:val="99"/>
    <w:rsid w:val="006D7E56"/>
    <w:rPr>
      <w:rFonts w:cs="Times New Roman"/>
      <w:color w:val="0000FF"/>
      <w:u w:val="single"/>
    </w:rPr>
  </w:style>
  <w:style w:type="paragraph" w:styleId="BalloonText">
    <w:name w:val="Balloon Text"/>
    <w:basedOn w:val="Normal"/>
    <w:link w:val="BalloonTextChar"/>
    <w:uiPriority w:val="99"/>
    <w:semiHidden/>
    <w:rsid w:val="00A322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B49"/>
    <w:rPr>
      <w:rFonts w:cs="Times New Roman"/>
      <w:sz w:val="2"/>
    </w:rPr>
  </w:style>
  <w:style w:type="character" w:customStyle="1" w:styleId="samedocreference1">
    <w:name w:val="samedocreference1"/>
    <w:uiPriority w:val="99"/>
    <w:rsid w:val="00E41613"/>
    <w:rPr>
      <w:color w:val="8B0000"/>
      <w:u w:val="single"/>
    </w:rPr>
  </w:style>
  <w:style w:type="character" w:customStyle="1" w:styleId="newdocreference1">
    <w:name w:val="newdocreference1"/>
    <w:uiPriority w:val="99"/>
    <w:rsid w:val="007640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26981">
      <w:marLeft w:val="0"/>
      <w:marRight w:val="0"/>
      <w:marTop w:val="0"/>
      <w:marBottom w:val="0"/>
      <w:divBdr>
        <w:top w:val="none" w:sz="0" w:space="0" w:color="auto"/>
        <w:left w:val="none" w:sz="0" w:space="0" w:color="auto"/>
        <w:bottom w:val="none" w:sz="0" w:space="0" w:color="auto"/>
        <w:right w:val="none" w:sz="0" w:space="0" w:color="auto"/>
      </w:divBdr>
      <w:divsChild>
        <w:div w:id="868226993">
          <w:marLeft w:val="0"/>
          <w:marRight w:val="0"/>
          <w:marTop w:val="0"/>
          <w:marBottom w:val="120"/>
          <w:divBdr>
            <w:top w:val="none" w:sz="0" w:space="0" w:color="auto"/>
            <w:left w:val="none" w:sz="0" w:space="0" w:color="auto"/>
            <w:bottom w:val="none" w:sz="0" w:space="0" w:color="auto"/>
            <w:right w:val="none" w:sz="0" w:space="0" w:color="auto"/>
          </w:divBdr>
          <w:divsChild>
            <w:div w:id="8682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6982">
      <w:marLeft w:val="0"/>
      <w:marRight w:val="0"/>
      <w:marTop w:val="0"/>
      <w:marBottom w:val="0"/>
      <w:divBdr>
        <w:top w:val="none" w:sz="0" w:space="0" w:color="auto"/>
        <w:left w:val="none" w:sz="0" w:space="0" w:color="auto"/>
        <w:bottom w:val="none" w:sz="0" w:space="0" w:color="auto"/>
        <w:right w:val="none" w:sz="0" w:space="0" w:color="auto"/>
      </w:divBdr>
    </w:div>
    <w:div w:id="868226983">
      <w:marLeft w:val="0"/>
      <w:marRight w:val="0"/>
      <w:marTop w:val="0"/>
      <w:marBottom w:val="0"/>
      <w:divBdr>
        <w:top w:val="none" w:sz="0" w:space="0" w:color="auto"/>
        <w:left w:val="none" w:sz="0" w:space="0" w:color="auto"/>
        <w:bottom w:val="none" w:sz="0" w:space="0" w:color="auto"/>
        <w:right w:val="none" w:sz="0" w:space="0" w:color="auto"/>
      </w:divBdr>
    </w:div>
    <w:div w:id="868226985">
      <w:marLeft w:val="0"/>
      <w:marRight w:val="0"/>
      <w:marTop w:val="0"/>
      <w:marBottom w:val="0"/>
      <w:divBdr>
        <w:top w:val="none" w:sz="0" w:space="0" w:color="auto"/>
        <w:left w:val="none" w:sz="0" w:space="0" w:color="auto"/>
        <w:bottom w:val="none" w:sz="0" w:space="0" w:color="auto"/>
        <w:right w:val="none" w:sz="0" w:space="0" w:color="auto"/>
      </w:divBdr>
    </w:div>
    <w:div w:id="868226986">
      <w:marLeft w:val="0"/>
      <w:marRight w:val="0"/>
      <w:marTop w:val="0"/>
      <w:marBottom w:val="0"/>
      <w:divBdr>
        <w:top w:val="none" w:sz="0" w:space="0" w:color="auto"/>
        <w:left w:val="none" w:sz="0" w:space="0" w:color="auto"/>
        <w:bottom w:val="none" w:sz="0" w:space="0" w:color="auto"/>
        <w:right w:val="none" w:sz="0" w:space="0" w:color="auto"/>
      </w:divBdr>
    </w:div>
    <w:div w:id="868226987">
      <w:marLeft w:val="0"/>
      <w:marRight w:val="0"/>
      <w:marTop w:val="0"/>
      <w:marBottom w:val="0"/>
      <w:divBdr>
        <w:top w:val="none" w:sz="0" w:space="0" w:color="auto"/>
        <w:left w:val="none" w:sz="0" w:space="0" w:color="auto"/>
        <w:bottom w:val="none" w:sz="0" w:space="0" w:color="auto"/>
        <w:right w:val="none" w:sz="0" w:space="0" w:color="auto"/>
      </w:divBdr>
    </w:div>
    <w:div w:id="868226989">
      <w:marLeft w:val="0"/>
      <w:marRight w:val="0"/>
      <w:marTop w:val="0"/>
      <w:marBottom w:val="0"/>
      <w:divBdr>
        <w:top w:val="none" w:sz="0" w:space="0" w:color="auto"/>
        <w:left w:val="none" w:sz="0" w:space="0" w:color="auto"/>
        <w:bottom w:val="none" w:sz="0" w:space="0" w:color="auto"/>
        <w:right w:val="none" w:sz="0" w:space="0" w:color="auto"/>
      </w:divBdr>
    </w:div>
    <w:div w:id="868226990">
      <w:marLeft w:val="0"/>
      <w:marRight w:val="0"/>
      <w:marTop w:val="0"/>
      <w:marBottom w:val="0"/>
      <w:divBdr>
        <w:top w:val="none" w:sz="0" w:space="0" w:color="auto"/>
        <w:left w:val="none" w:sz="0" w:space="0" w:color="auto"/>
        <w:bottom w:val="none" w:sz="0" w:space="0" w:color="auto"/>
        <w:right w:val="none" w:sz="0" w:space="0" w:color="auto"/>
      </w:divBdr>
    </w:div>
    <w:div w:id="868226994">
      <w:marLeft w:val="0"/>
      <w:marRight w:val="0"/>
      <w:marTop w:val="0"/>
      <w:marBottom w:val="0"/>
      <w:divBdr>
        <w:top w:val="none" w:sz="0" w:space="0" w:color="auto"/>
        <w:left w:val="none" w:sz="0" w:space="0" w:color="auto"/>
        <w:bottom w:val="none" w:sz="0" w:space="0" w:color="auto"/>
        <w:right w:val="none" w:sz="0" w:space="0" w:color="auto"/>
      </w:divBdr>
    </w:div>
    <w:div w:id="868226995">
      <w:marLeft w:val="0"/>
      <w:marRight w:val="0"/>
      <w:marTop w:val="0"/>
      <w:marBottom w:val="0"/>
      <w:divBdr>
        <w:top w:val="none" w:sz="0" w:space="0" w:color="auto"/>
        <w:left w:val="none" w:sz="0" w:space="0" w:color="auto"/>
        <w:bottom w:val="none" w:sz="0" w:space="0" w:color="auto"/>
        <w:right w:val="none" w:sz="0" w:space="0" w:color="auto"/>
      </w:divBdr>
    </w:div>
    <w:div w:id="868226996">
      <w:marLeft w:val="0"/>
      <w:marRight w:val="0"/>
      <w:marTop w:val="0"/>
      <w:marBottom w:val="0"/>
      <w:divBdr>
        <w:top w:val="none" w:sz="0" w:space="0" w:color="auto"/>
        <w:left w:val="none" w:sz="0" w:space="0" w:color="auto"/>
        <w:bottom w:val="none" w:sz="0" w:space="0" w:color="auto"/>
        <w:right w:val="none" w:sz="0" w:space="0" w:color="auto"/>
      </w:divBdr>
    </w:div>
    <w:div w:id="868226997">
      <w:marLeft w:val="0"/>
      <w:marRight w:val="0"/>
      <w:marTop w:val="0"/>
      <w:marBottom w:val="0"/>
      <w:divBdr>
        <w:top w:val="none" w:sz="0" w:space="0" w:color="auto"/>
        <w:left w:val="none" w:sz="0" w:space="0" w:color="auto"/>
        <w:bottom w:val="none" w:sz="0" w:space="0" w:color="auto"/>
        <w:right w:val="none" w:sz="0" w:space="0" w:color="auto"/>
      </w:divBdr>
    </w:div>
    <w:div w:id="868226998">
      <w:marLeft w:val="0"/>
      <w:marRight w:val="0"/>
      <w:marTop w:val="0"/>
      <w:marBottom w:val="0"/>
      <w:divBdr>
        <w:top w:val="none" w:sz="0" w:space="0" w:color="auto"/>
        <w:left w:val="none" w:sz="0" w:space="0" w:color="auto"/>
        <w:bottom w:val="none" w:sz="0" w:space="0" w:color="auto"/>
        <w:right w:val="none" w:sz="0" w:space="0" w:color="auto"/>
      </w:divBdr>
    </w:div>
    <w:div w:id="868226999">
      <w:marLeft w:val="0"/>
      <w:marRight w:val="0"/>
      <w:marTop w:val="0"/>
      <w:marBottom w:val="0"/>
      <w:divBdr>
        <w:top w:val="none" w:sz="0" w:space="0" w:color="auto"/>
        <w:left w:val="none" w:sz="0" w:space="0" w:color="auto"/>
        <w:bottom w:val="none" w:sz="0" w:space="0" w:color="auto"/>
        <w:right w:val="none" w:sz="0" w:space="0" w:color="auto"/>
      </w:divBdr>
      <w:divsChild>
        <w:div w:id="868226991">
          <w:marLeft w:val="0"/>
          <w:marRight w:val="0"/>
          <w:marTop w:val="0"/>
          <w:marBottom w:val="120"/>
          <w:divBdr>
            <w:top w:val="none" w:sz="0" w:space="0" w:color="auto"/>
            <w:left w:val="none" w:sz="0" w:space="0" w:color="auto"/>
            <w:bottom w:val="none" w:sz="0" w:space="0" w:color="auto"/>
            <w:right w:val="none" w:sz="0" w:space="0" w:color="auto"/>
          </w:divBdr>
          <w:divsChild>
            <w:div w:id="868226984">
              <w:marLeft w:val="0"/>
              <w:marRight w:val="0"/>
              <w:marTop w:val="0"/>
              <w:marBottom w:val="0"/>
              <w:divBdr>
                <w:top w:val="none" w:sz="0" w:space="0" w:color="auto"/>
                <w:left w:val="none" w:sz="0" w:space="0" w:color="auto"/>
                <w:bottom w:val="none" w:sz="0" w:space="0" w:color="auto"/>
                <w:right w:val="none" w:sz="0" w:space="0" w:color="auto"/>
              </w:divBdr>
            </w:div>
            <w:div w:id="8682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1738</Words>
  <Characters>9910</Characters>
  <Application>Microsoft Office Word</Application>
  <DocSecurity>0</DocSecurity>
  <Lines>82</Lines>
  <Paragraphs>23</Paragraphs>
  <ScaleCrop>false</ScaleCrop>
  <LinksUpToDate>false</LinksUpToDate>
  <CharactersWithSpaces>11625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2018-06-28T13:36:00Z</dcterms:created>
  <dcterms:modified xsi:type="dcterms:W3CDTF">2018-07-13T14:17:00Z</dcterms:modified>
</cp:coreProperties>
</file>