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40" w:rsidRPr="00CF7740" w:rsidRDefault="001A7BC4" w:rsidP="00CF7740">
      <w:pPr>
        <w:ind w:left="-851" w:hanging="1"/>
        <w:jc w:val="both"/>
        <w:rPr>
          <w:b/>
          <w:i/>
          <w:sz w:val="20"/>
          <w:szCs w:val="20"/>
        </w:rPr>
      </w:pPr>
      <w:r w:rsidRPr="00CA43DD">
        <w:rPr>
          <w:b/>
          <w:i/>
          <w:sz w:val="20"/>
          <w:szCs w:val="20"/>
        </w:rPr>
        <w:t>Отг</w:t>
      </w:r>
      <w:r w:rsidR="00443240" w:rsidRPr="00CA43DD">
        <w:rPr>
          <w:b/>
          <w:i/>
          <w:sz w:val="20"/>
          <w:szCs w:val="20"/>
        </w:rPr>
        <w:t>ов</w:t>
      </w:r>
      <w:r w:rsidR="002164B3" w:rsidRPr="00CA43DD">
        <w:rPr>
          <w:b/>
          <w:i/>
          <w:sz w:val="20"/>
          <w:szCs w:val="20"/>
        </w:rPr>
        <w:t>ор</w:t>
      </w:r>
      <w:r w:rsidR="00123688" w:rsidRPr="00CA43DD">
        <w:rPr>
          <w:b/>
          <w:i/>
          <w:sz w:val="20"/>
          <w:szCs w:val="20"/>
        </w:rPr>
        <w:t xml:space="preserve"> на </w:t>
      </w:r>
      <w:r w:rsidR="00123688" w:rsidRPr="00CA43DD">
        <w:rPr>
          <w:b/>
          <w:i/>
          <w:sz w:val="20"/>
          <w:szCs w:val="20"/>
          <w:u w:val="single"/>
        </w:rPr>
        <w:t>питане</w:t>
      </w:r>
      <w:r w:rsidR="00123688" w:rsidRPr="00CA43DD">
        <w:rPr>
          <w:b/>
          <w:i/>
          <w:sz w:val="20"/>
          <w:szCs w:val="20"/>
        </w:rPr>
        <w:t xml:space="preserve"> от </w:t>
      </w:r>
      <w:r w:rsidR="00CF7740">
        <w:rPr>
          <w:b/>
          <w:i/>
          <w:sz w:val="20"/>
          <w:szCs w:val="20"/>
        </w:rPr>
        <w:t>Светла Бъчварова,Дора Янкова, Валентина Найденова и Милко Недялков</w:t>
      </w:r>
      <w:r w:rsidRPr="00CA43DD">
        <w:rPr>
          <w:b/>
          <w:i/>
          <w:sz w:val="20"/>
          <w:szCs w:val="20"/>
        </w:rPr>
        <w:t xml:space="preserve"> – н</w:t>
      </w:r>
      <w:r w:rsidR="000731EE" w:rsidRPr="00CA43DD">
        <w:rPr>
          <w:b/>
          <w:i/>
          <w:sz w:val="20"/>
          <w:szCs w:val="20"/>
        </w:rPr>
        <w:t>ародни</w:t>
      </w:r>
      <w:r w:rsidR="002164B3" w:rsidRPr="00CA43DD">
        <w:rPr>
          <w:b/>
          <w:i/>
          <w:sz w:val="20"/>
          <w:szCs w:val="20"/>
        </w:rPr>
        <w:t xml:space="preserve"> представител</w:t>
      </w:r>
      <w:r w:rsidR="000731EE" w:rsidRPr="00CA43DD">
        <w:rPr>
          <w:b/>
          <w:i/>
          <w:sz w:val="20"/>
          <w:szCs w:val="20"/>
        </w:rPr>
        <w:t>и</w:t>
      </w:r>
      <w:r w:rsidR="00EE2512" w:rsidRPr="00CA43DD">
        <w:rPr>
          <w:b/>
          <w:i/>
          <w:sz w:val="20"/>
          <w:szCs w:val="20"/>
        </w:rPr>
        <w:t xml:space="preserve"> от ПГ на БСП за България</w:t>
      </w:r>
      <w:r w:rsidRPr="00CA43DD">
        <w:rPr>
          <w:b/>
          <w:i/>
          <w:sz w:val="20"/>
          <w:szCs w:val="20"/>
        </w:rPr>
        <w:t xml:space="preserve"> относ</w:t>
      </w:r>
      <w:r w:rsidR="004B07F5" w:rsidRPr="00CA43DD">
        <w:rPr>
          <w:b/>
          <w:i/>
          <w:sz w:val="20"/>
          <w:szCs w:val="20"/>
        </w:rPr>
        <w:t>н</w:t>
      </w:r>
      <w:r w:rsidR="00CF7740">
        <w:rPr>
          <w:b/>
          <w:i/>
          <w:sz w:val="20"/>
          <w:szCs w:val="20"/>
        </w:rPr>
        <w:t>о състоянието на горските пътища</w:t>
      </w:r>
    </w:p>
    <w:p w:rsidR="00986FFA" w:rsidRPr="00CA43DD" w:rsidRDefault="00986FFA" w:rsidP="004B60BE">
      <w:pPr>
        <w:jc w:val="both"/>
        <w:rPr>
          <w:b/>
          <w:sz w:val="20"/>
          <w:szCs w:val="20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0731EE" w:rsidRDefault="000731EE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БЪЧВАРОВА,</w:t>
      </w:r>
    </w:p>
    <w:p w:rsidR="00CF7740" w:rsidRDefault="00CF7740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ГОСПОЖО ЯНКОВА,</w:t>
      </w:r>
    </w:p>
    <w:p w:rsidR="00CF7740" w:rsidRDefault="00CF7740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ГОСПОЖО НАЙДЕНОВА,</w:t>
      </w:r>
    </w:p>
    <w:p w:rsidR="004D6BBD" w:rsidRDefault="00CF7740" w:rsidP="004D6BBD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НЕДЯЛКОВ</w:t>
      </w:r>
      <w:r w:rsidR="00EE2512">
        <w:rPr>
          <w:b/>
          <w:sz w:val="32"/>
          <w:szCs w:val="32"/>
        </w:rPr>
        <w:t>,</w:t>
      </w:r>
    </w:p>
    <w:p w:rsidR="004D6BBD" w:rsidRDefault="004D6BBD" w:rsidP="004D6BBD">
      <w:pPr>
        <w:ind w:left="-851" w:hanging="1"/>
        <w:jc w:val="both"/>
        <w:rPr>
          <w:b/>
          <w:sz w:val="32"/>
          <w:szCs w:val="32"/>
        </w:rPr>
      </w:pPr>
    </w:p>
    <w:p w:rsidR="004D6BBD" w:rsidRDefault="004D6BBD" w:rsidP="004D6BBD">
      <w:pPr>
        <w:spacing w:line="360" w:lineRule="auto"/>
        <w:ind w:left="-851" w:firstLine="851"/>
        <w:jc w:val="both"/>
        <w:rPr>
          <w:sz w:val="32"/>
          <w:szCs w:val="32"/>
          <w:lang w:val="en-US"/>
        </w:rPr>
      </w:pPr>
      <w:r w:rsidRPr="004D6BBD">
        <w:rPr>
          <w:sz w:val="32"/>
          <w:szCs w:val="32"/>
        </w:rPr>
        <w:t xml:space="preserve">Безспорно, изграждането на нови горски пътища, рехабилитацията и поддържането на съществуващите е основна предпоставка за изпълнението на предвидените горскостопански мероприятия, свързани със стопанисване, възобновяване и опазване на горските територии. </w:t>
      </w:r>
    </w:p>
    <w:p w:rsidR="00FD1A40" w:rsidRDefault="00FD1A40" w:rsidP="00FD1A40">
      <w:pPr>
        <w:widowControl w:val="0"/>
        <w:shd w:val="clear" w:color="auto" w:fill="FFFFFF"/>
        <w:spacing w:line="360" w:lineRule="auto"/>
        <w:ind w:left="-830" w:right="20" w:firstLine="830"/>
        <w:jc w:val="both"/>
        <w:rPr>
          <w:sz w:val="32"/>
          <w:szCs w:val="32"/>
          <w:lang w:val="en-US"/>
        </w:rPr>
      </w:pPr>
      <w:r w:rsidRPr="00FD1A40">
        <w:rPr>
          <w:sz w:val="32"/>
          <w:szCs w:val="32"/>
        </w:rPr>
        <w:t>В действителност, в периода от 1990 г. до създаването на държавните горски предприятия със Закона за горите от 2011 г.</w:t>
      </w:r>
      <w:r>
        <w:rPr>
          <w:sz w:val="32"/>
          <w:szCs w:val="32"/>
        </w:rPr>
        <w:t>,</w:t>
      </w:r>
      <w:r w:rsidRPr="00FD1A40">
        <w:rPr>
          <w:sz w:val="32"/>
          <w:szCs w:val="32"/>
        </w:rPr>
        <w:t xml:space="preserve"> липсва цялостна политика по отношение на изграждане и рехабилитация на </w:t>
      </w:r>
      <w:proofErr w:type="spellStart"/>
      <w:r w:rsidRPr="00FD1A40">
        <w:rPr>
          <w:sz w:val="32"/>
          <w:szCs w:val="32"/>
        </w:rPr>
        <w:t>горскопътната</w:t>
      </w:r>
      <w:proofErr w:type="spellEnd"/>
      <w:r w:rsidRPr="00FD1A40">
        <w:rPr>
          <w:sz w:val="32"/>
          <w:szCs w:val="32"/>
        </w:rPr>
        <w:t xml:space="preserve"> инфраструктура. Изпълнявани са отделни проекти за строителство на нови пътища, което се дължи на липсата или ограничения размер на средствата от държавния бюджет за финансиране на тези дейности. </w:t>
      </w:r>
    </w:p>
    <w:p w:rsidR="000E6CF4" w:rsidRPr="000D43D1" w:rsidRDefault="00FD1A40" w:rsidP="00FD1A40">
      <w:pPr>
        <w:widowControl w:val="0"/>
        <w:shd w:val="clear" w:color="auto" w:fill="FFFFFF"/>
        <w:spacing w:line="360" w:lineRule="auto"/>
        <w:ind w:left="-830" w:right="20" w:firstLine="830"/>
        <w:jc w:val="both"/>
        <w:rPr>
          <w:sz w:val="32"/>
          <w:szCs w:val="32"/>
        </w:rPr>
      </w:pPr>
      <w:r w:rsidRPr="00FD1A40">
        <w:rPr>
          <w:sz w:val="32"/>
          <w:szCs w:val="32"/>
        </w:rPr>
        <w:t>Проблемът с липсата на финансиране на дейностите в горите намира решение съ</w:t>
      </w:r>
      <w:r>
        <w:rPr>
          <w:sz w:val="32"/>
          <w:szCs w:val="32"/>
        </w:rPr>
        <w:t xml:space="preserve">с Закона за горите от 2011 г., </w:t>
      </w:r>
      <w:r w:rsidRPr="00FD1A40">
        <w:rPr>
          <w:sz w:val="32"/>
          <w:szCs w:val="32"/>
        </w:rPr>
        <w:t xml:space="preserve">чрез създаване на </w:t>
      </w:r>
      <w:r w:rsidRPr="000D43D1">
        <w:rPr>
          <w:sz w:val="32"/>
          <w:szCs w:val="32"/>
        </w:rPr>
        <w:t xml:space="preserve">специален фонд „Инвестиции в горите“. </w:t>
      </w:r>
      <w:r w:rsidR="000E6CF4" w:rsidRPr="000D43D1">
        <w:rPr>
          <w:sz w:val="32"/>
          <w:szCs w:val="32"/>
        </w:rPr>
        <w:t xml:space="preserve">Във фонда се акумулират средства от дейността на шестте държавни горски предприятия, които са търговски дружества, регистрирани по Търговския закон. </w:t>
      </w:r>
      <w:r w:rsidR="00AF5C06" w:rsidRPr="000D43D1">
        <w:rPr>
          <w:sz w:val="32"/>
          <w:szCs w:val="32"/>
        </w:rPr>
        <w:t>Те</w:t>
      </w:r>
      <w:r w:rsidRPr="000D43D1">
        <w:rPr>
          <w:sz w:val="32"/>
          <w:szCs w:val="32"/>
        </w:rPr>
        <w:t xml:space="preserve"> се изразходват основно за проектиране и строителство на горски пътища и транспортна техническа инфраструктура, технико-укрепителни съоръжения и за залесяване. </w:t>
      </w:r>
    </w:p>
    <w:p w:rsidR="00FD1A40" w:rsidRPr="000D43D1" w:rsidRDefault="00FD1A40" w:rsidP="00FD1A40">
      <w:pPr>
        <w:widowControl w:val="0"/>
        <w:shd w:val="clear" w:color="auto" w:fill="FFFFFF"/>
        <w:spacing w:line="360" w:lineRule="auto"/>
        <w:ind w:left="-830" w:right="20" w:firstLine="830"/>
        <w:jc w:val="both"/>
        <w:rPr>
          <w:sz w:val="32"/>
          <w:szCs w:val="32"/>
          <w:lang w:val="en-US"/>
        </w:rPr>
      </w:pPr>
      <w:r w:rsidRPr="000D43D1">
        <w:rPr>
          <w:sz w:val="32"/>
          <w:szCs w:val="32"/>
        </w:rPr>
        <w:t xml:space="preserve">С </w:t>
      </w:r>
      <w:r w:rsidR="00AF5C06" w:rsidRPr="000D43D1">
        <w:rPr>
          <w:sz w:val="32"/>
          <w:szCs w:val="32"/>
        </w:rPr>
        <w:t>осигуреното от фонда финансиране</w:t>
      </w:r>
      <w:r w:rsidRPr="000D43D1">
        <w:rPr>
          <w:sz w:val="32"/>
          <w:szCs w:val="32"/>
        </w:rPr>
        <w:t xml:space="preserve">, държавните предприятия ежегодно инвестират в проектиране, строителство и основен ремонт на горски пътища с цел обезпечаване изпълнението на предвидените в </w:t>
      </w:r>
      <w:r w:rsidRPr="000D43D1">
        <w:rPr>
          <w:sz w:val="32"/>
          <w:szCs w:val="32"/>
        </w:rPr>
        <w:lastRenderedPageBreak/>
        <w:t>горскостопанските планове мероприятия, свързани със стопанисване, възобновяване и опазване на горските територии от пожари.</w:t>
      </w:r>
    </w:p>
    <w:p w:rsidR="00FD1A40" w:rsidRPr="000D43D1" w:rsidRDefault="00FD1A40" w:rsidP="00FD1A40">
      <w:pPr>
        <w:widowControl w:val="0"/>
        <w:shd w:val="clear" w:color="auto" w:fill="FFFFFF"/>
        <w:spacing w:line="360" w:lineRule="auto"/>
        <w:ind w:left="-830" w:right="20" w:firstLine="830"/>
        <w:jc w:val="both"/>
        <w:rPr>
          <w:sz w:val="32"/>
          <w:szCs w:val="32"/>
        </w:rPr>
      </w:pPr>
      <w:r w:rsidRPr="000D43D1">
        <w:rPr>
          <w:sz w:val="32"/>
          <w:szCs w:val="32"/>
        </w:rPr>
        <w:t xml:space="preserve">За периода </w:t>
      </w:r>
      <w:r w:rsidRPr="000D43D1">
        <w:rPr>
          <w:b/>
          <w:sz w:val="32"/>
          <w:szCs w:val="32"/>
          <w:u w:val="single"/>
        </w:rPr>
        <w:t>2013 - 2017 г.</w:t>
      </w:r>
      <w:r w:rsidR="000E6CF4" w:rsidRPr="000D43D1">
        <w:rPr>
          <w:b/>
          <w:sz w:val="32"/>
          <w:szCs w:val="32"/>
          <w:u w:val="single"/>
        </w:rPr>
        <w:t>,</w:t>
      </w:r>
      <w:r w:rsidRPr="000D43D1">
        <w:rPr>
          <w:sz w:val="32"/>
          <w:szCs w:val="32"/>
        </w:rPr>
        <w:t xml:space="preserve"> с</w:t>
      </w:r>
      <w:r w:rsidR="00AF5C06" w:rsidRPr="000D43D1">
        <w:rPr>
          <w:sz w:val="32"/>
          <w:szCs w:val="32"/>
        </w:rPr>
        <w:t>ъс средства</w:t>
      </w:r>
      <w:r w:rsidRPr="000D43D1">
        <w:rPr>
          <w:sz w:val="32"/>
          <w:szCs w:val="32"/>
        </w:rPr>
        <w:t xml:space="preserve"> от целевия фонд „Инвестиции в горите“</w:t>
      </w:r>
      <w:r w:rsidR="000E6CF4" w:rsidRPr="000D43D1">
        <w:rPr>
          <w:sz w:val="32"/>
          <w:szCs w:val="32"/>
        </w:rPr>
        <w:t>,</w:t>
      </w:r>
      <w:r w:rsidRPr="000D43D1">
        <w:rPr>
          <w:sz w:val="32"/>
          <w:szCs w:val="32"/>
        </w:rPr>
        <w:t xml:space="preserve"> е извършено:</w:t>
      </w:r>
    </w:p>
    <w:p w:rsidR="00FD1A40" w:rsidRPr="000D43D1" w:rsidRDefault="00FD1A40" w:rsidP="00FD1A40">
      <w:pPr>
        <w:widowControl w:val="0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0" w:right="20" w:firstLine="426"/>
        <w:jc w:val="both"/>
        <w:textAlignment w:val="baseline"/>
        <w:rPr>
          <w:sz w:val="32"/>
          <w:szCs w:val="32"/>
        </w:rPr>
      </w:pPr>
      <w:r w:rsidRPr="000D43D1">
        <w:rPr>
          <w:sz w:val="32"/>
          <w:szCs w:val="32"/>
        </w:rPr>
        <w:t xml:space="preserve">проектиране на </w:t>
      </w:r>
      <w:r w:rsidRPr="000D43D1">
        <w:rPr>
          <w:b/>
          <w:sz w:val="32"/>
          <w:szCs w:val="32"/>
        </w:rPr>
        <w:t>277</w:t>
      </w:r>
      <w:r w:rsidRPr="000D43D1">
        <w:rPr>
          <w:sz w:val="32"/>
          <w:szCs w:val="32"/>
        </w:rPr>
        <w:t xml:space="preserve"> км горски пътища; </w:t>
      </w:r>
    </w:p>
    <w:p w:rsidR="00FD1A40" w:rsidRPr="000D43D1" w:rsidRDefault="00FD1A40" w:rsidP="00FD1A40">
      <w:pPr>
        <w:widowControl w:val="0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0" w:right="20" w:firstLine="426"/>
        <w:jc w:val="both"/>
        <w:textAlignment w:val="baseline"/>
        <w:rPr>
          <w:sz w:val="32"/>
          <w:szCs w:val="32"/>
        </w:rPr>
      </w:pPr>
      <w:r w:rsidRPr="000D43D1">
        <w:rPr>
          <w:sz w:val="32"/>
          <w:szCs w:val="32"/>
        </w:rPr>
        <w:t xml:space="preserve">строителство на </w:t>
      </w:r>
      <w:r w:rsidRPr="000D43D1">
        <w:rPr>
          <w:b/>
          <w:sz w:val="32"/>
          <w:szCs w:val="32"/>
        </w:rPr>
        <w:t>246</w:t>
      </w:r>
      <w:r w:rsidRPr="000D43D1">
        <w:rPr>
          <w:sz w:val="32"/>
          <w:szCs w:val="32"/>
        </w:rPr>
        <w:t xml:space="preserve"> км нови горски пътища; </w:t>
      </w:r>
    </w:p>
    <w:p w:rsidR="00FD1A40" w:rsidRPr="000D43D1" w:rsidRDefault="00FD1A40" w:rsidP="00FD1A40">
      <w:pPr>
        <w:widowControl w:val="0"/>
        <w:numPr>
          <w:ilvl w:val="0"/>
          <w:numId w:val="14"/>
        </w:numPr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0" w:right="20" w:firstLine="426"/>
        <w:jc w:val="both"/>
        <w:textAlignment w:val="baseline"/>
        <w:rPr>
          <w:sz w:val="32"/>
          <w:szCs w:val="32"/>
        </w:rPr>
      </w:pPr>
      <w:r w:rsidRPr="000D43D1">
        <w:rPr>
          <w:sz w:val="32"/>
          <w:szCs w:val="32"/>
        </w:rPr>
        <w:t xml:space="preserve">основен ремонт на </w:t>
      </w:r>
      <w:r w:rsidRPr="000D43D1">
        <w:rPr>
          <w:b/>
          <w:sz w:val="32"/>
          <w:szCs w:val="32"/>
        </w:rPr>
        <w:t>122</w:t>
      </w:r>
      <w:r w:rsidRPr="000D43D1">
        <w:rPr>
          <w:sz w:val="32"/>
          <w:szCs w:val="32"/>
        </w:rPr>
        <w:t xml:space="preserve"> км пътища.</w:t>
      </w:r>
    </w:p>
    <w:p w:rsidR="00FD1A40" w:rsidRPr="000D43D1" w:rsidRDefault="004F644F" w:rsidP="000D43D1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През</w:t>
      </w:r>
      <w:r w:rsidR="00FD1A40" w:rsidRPr="000D43D1">
        <w:rPr>
          <w:sz w:val="32"/>
          <w:szCs w:val="32"/>
        </w:rPr>
        <w:t xml:space="preserve"> настоящата </w:t>
      </w:r>
      <w:r w:rsidR="00FD1A40" w:rsidRPr="000D43D1">
        <w:rPr>
          <w:b/>
          <w:sz w:val="32"/>
          <w:szCs w:val="32"/>
        </w:rPr>
        <w:t>2018 г.</w:t>
      </w:r>
      <w:r w:rsidR="00FD1A40" w:rsidRPr="000D43D1">
        <w:rPr>
          <w:sz w:val="32"/>
          <w:szCs w:val="32"/>
        </w:rPr>
        <w:t xml:space="preserve"> </w:t>
      </w:r>
      <w:r w:rsidR="000D43D1">
        <w:rPr>
          <w:sz w:val="32"/>
          <w:szCs w:val="32"/>
        </w:rPr>
        <w:t xml:space="preserve">продължават дейностите по проектиране, </w:t>
      </w:r>
      <w:r w:rsidR="000D43D1" w:rsidRPr="000D43D1">
        <w:rPr>
          <w:sz w:val="32"/>
          <w:szCs w:val="32"/>
        </w:rPr>
        <w:t xml:space="preserve">строителство </w:t>
      </w:r>
      <w:r w:rsidR="000D43D1">
        <w:rPr>
          <w:sz w:val="32"/>
          <w:szCs w:val="32"/>
        </w:rPr>
        <w:t>и о</w:t>
      </w:r>
      <w:r w:rsidR="00FD1A40" w:rsidRPr="000D43D1">
        <w:rPr>
          <w:sz w:val="32"/>
          <w:szCs w:val="32"/>
        </w:rPr>
        <w:t xml:space="preserve">сновен ремонт на </w:t>
      </w:r>
      <w:r w:rsidR="000D43D1">
        <w:rPr>
          <w:sz w:val="32"/>
          <w:szCs w:val="32"/>
        </w:rPr>
        <w:t>горски</w:t>
      </w:r>
      <w:r w:rsidR="00FD1A40" w:rsidRPr="000D43D1">
        <w:rPr>
          <w:sz w:val="32"/>
          <w:szCs w:val="32"/>
        </w:rPr>
        <w:t xml:space="preserve"> пътища.</w:t>
      </w:r>
    </w:p>
    <w:p w:rsidR="00FD1A40" w:rsidRPr="000D43D1" w:rsidRDefault="00FD1A40" w:rsidP="00FD1A4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  <w:lang w:val="en-US"/>
        </w:rPr>
      </w:pPr>
      <w:r w:rsidRPr="000D43D1">
        <w:rPr>
          <w:sz w:val="32"/>
          <w:szCs w:val="32"/>
        </w:rPr>
        <w:t>Строителството на нови горски пътища се извършва от изпълнители, избрани след проведени процедури по Закона за обществените поръчки от съответния възложител, а именно директорите на държавните предприятия, респективно директорите на съответното държавно горско стопанство или държавно ловно стопанство.</w:t>
      </w:r>
    </w:p>
    <w:p w:rsidR="00005EAB" w:rsidRDefault="004D6BBD" w:rsidP="00EA71F6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</w:rPr>
      </w:pPr>
      <w:r w:rsidRPr="000D43D1">
        <w:rPr>
          <w:sz w:val="32"/>
          <w:szCs w:val="32"/>
        </w:rPr>
        <w:t xml:space="preserve">Освен </w:t>
      </w:r>
      <w:r w:rsidR="00AF5C06" w:rsidRPr="000D43D1">
        <w:rPr>
          <w:sz w:val="32"/>
          <w:szCs w:val="32"/>
        </w:rPr>
        <w:t>финансирането</w:t>
      </w:r>
      <w:r w:rsidRPr="000D43D1">
        <w:rPr>
          <w:sz w:val="32"/>
          <w:szCs w:val="32"/>
        </w:rPr>
        <w:t xml:space="preserve"> от </w:t>
      </w:r>
      <w:r w:rsidR="00AF5C06" w:rsidRPr="000D43D1">
        <w:rPr>
          <w:sz w:val="32"/>
          <w:szCs w:val="32"/>
        </w:rPr>
        <w:t xml:space="preserve">целевия </w:t>
      </w:r>
      <w:r w:rsidRPr="000D43D1">
        <w:rPr>
          <w:sz w:val="32"/>
          <w:szCs w:val="32"/>
        </w:rPr>
        <w:t xml:space="preserve">фонд, държавните предприятия целогодишно инвестират средства от стопанската си дейност за поддръжка и текущ ремонт на съществуващите горски пътища, където е наложително. Тези дейности се изпълняват както от външни изпълнители, избрани след провеждане на процедури по ЗОП, така и със собствена техника и работници. </w:t>
      </w:r>
    </w:p>
    <w:p w:rsidR="00EA71F6" w:rsidRPr="000D43D1" w:rsidRDefault="00005EAB" w:rsidP="00EA71F6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През последните години, с цел своевременно извършване на неотложни текущи ремонти на </w:t>
      </w:r>
      <w:proofErr w:type="spellStart"/>
      <w:r>
        <w:rPr>
          <w:sz w:val="32"/>
          <w:szCs w:val="32"/>
        </w:rPr>
        <w:t>горскопътната</w:t>
      </w:r>
      <w:proofErr w:type="spellEnd"/>
      <w:r>
        <w:rPr>
          <w:sz w:val="32"/>
          <w:szCs w:val="32"/>
        </w:rPr>
        <w:t xml:space="preserve"> инфраструктура, д</w:t>
      </w:r>
      <w:r w:rsidRPr="000D43D1">
        <w:rPr>
          <w:sz w:val="32"/>
          <w:szCs w:val="32"/>
        </w:rPr>
        <w:t>ържавните предприятия</w:t>
      </w:r>
      <w:r w:rsidR="00134DC7">
        <w:rPr>
          <w:sz w:val="32"/>
          <w:szCs w:val="32"/>
        </w:rPr>
        <w:t xml:space="preserve"> закупуват</w:t>
      </w:r>
      <w:r w:rsidRPr="000D43D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съвременна </w:t>
      </w:r>
      <w:r w:rsidRPr="000D43D1">
        <w:rPr>
          <w:sz w:val="32"/>
          <w:szCs w:val="32"/>
        </w:rPr>
        <w:t>специализирана техника за поддръжка и ремонт на горски пътища.</w:t>
      </w:r>
    </w:p>
    <w:p w:rsidR="004D6BBD" w:rsidRPr="004D6BBD" w:rsidRDefault="004D6BBD" w:rsidP="004D6BBD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</w:rPr>
      </w:pPr>
      <w:r w:rsidRPr="000D43D1">
        <w:rPr>
          <w:sz w:val="32"/>
          <w:szCs w:val="32"/>
        </w:rPr>
        <w:t xml:space="preserve">С оглед предпазване на трайните горски пътища от повреждане или от унищожаване, е издадена специална заповед на министъра </w:t>
      </w:r>
      <w:r w:rsidR="00EA71F6" w:rsidRPr="000D43D1">
        <w:rPr>
          <w:sz w:val="32"/>
          <w:szCs w:val="32"/>
        </w:rPr>
        <w:t>на земеделието и храните</w:t>
      </w:r>
      <w:r w:rsidRPr="000D43D1">
        <w:rPr>
          <w:sz w:val="32"/>
          <w:szCs w:val="32"/>
        </w:rPr>
        <w:t xml:space="preserve"> от февруари 2016 г., с която се указва транспортирането на дървесината, добита от горските територии – </w:t>
      </w:r>
      <w:r w:rsidRPr="004D6BBD">
        <w:rPr>
          <w:sz w:val="32"/>
          <w:szCs w:val="32"/>
        </w:rPr>
        <w:lastRenderedPageBreak/>
        <w:t xml:space="preserve">държавна собственост да не се извършва в периоди, в които почвите са </w:t>
      </w:r>
      <w:proofErr w:type="spellStart"/>
      <w:r w:rsidRPr="004D6BBD">
        <w:rPr>
          <w:sz w:val="32"/>
          <w:szCs w:val="32"/>
        </w:rPr>
        <w:t>преовлажнени</w:t>
      </w:r>
      <w:proofErr w:type="spellEnd"/>
      <w:r w:rsidRPr="004D6BBD">
        <w:rPr>
          <w:sz w:val="32"/>
          <w:szCs w:val="32"/>
        </w:rPr>
        <w:t xml:space="preserve">. </w:t>
      </w:r>
    </w:p>
    <w:p w:rsidR="004D6BBD" w:rsidRPr="004D6BBD" w:rsidRDefault="004D6BBD" w:rsidP="004D6BBD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0" w:right="20" w:firstLine="850"/>
        <w:jc w:val="both"/>
        <w:textAlignment w:val="baseline"/>
        <w:rPr>
          <w:sz w:val="32"/>
          <w:szCs w:val="32"/>
        </w:rPr>
      </w:pPr>
      <w:r w:rsidRPr="004D6BBD">
        <w:rPr>
          <w:sz w:val="32"/>
          <w:szCs w:val="32"/>
        </w:rPr>
        <w:t>Важно е да се отбележи, че съгласно общите условия на договорите за възлагане на дейности и за продажба на дървесина, възложителите, респективно продавачите, са длъжни да осигурят достъп до обектите посредством горски пътища в състояние, невъзпрепятстващо изпълнението на дейностите. Същевременно, фирмите, извършващи дейности в държавните горски територии, са длъжни за своя сметка да ги поддържат в използваем вид и да ги възстановят в случай на разрушение.</w:t>
      </w:r>
    </w:p>
    <w:p w:rsidR="004D6BBD" w:rsidRPr="004D6BBD" w:rsidRDefault="004D6BBD" w:rsidP="004D6BBD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-851" w:right="20" w:firstLine="851"/>
        <w:jc w:val="both"/>
        <w:textAlignment w:val="baseline"/>
        <w:rPr>
          <w:sz w:val="32"/>
          <w:szCs w:val="32"/>
        </w:rPr>
      </w:pPr>
      <w:r w:rsidRPr="004D6BBD">
        <w:rPr>
          <w:sz w:val="32"/>
          <w:szCs w:val="32"/>
        </w:rPr>
        <w:t xml:space="preserve">При получаване на сигнали за разрушени пътища се предприемат действия по тяхното </w:t>
      </w:r>
      <w:proofErr w:type="spellStart"/>
      <w:r w:rsidRPr="004D6BBD">
        <w:rPr>
          <w:sz w:val="32"/>
          <w:szCs w:val="32"/>
        </w:rPr>
        <w:t>отремонтиране</w:t>
      </w:r>
      <w:proofErr w:type="spellEnd"/>
      <w:r w:rsidRPr="004D6BBD">
        <w:rPr>
          <w:sz w:val="32"/>
          <w:szCs w:val="32"/>
        </w:rPr>
        <w:t xml:space="preserve">. </w:t>
      </w:r>
    </w:p>
    <w:p w:rsidR="004327D3" w:rsidRPr="00FD1A40" w:rsidRDefault="001A7BC4" w:rsidP="00FD1A4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32"/>
          <w:szCs w:val="32"/>
        </w:rPr>
      </w:pPr>
      <w:bookmarkStart w:id="0" w:name="_GoBack"/>
      <w:bookmarkEnd w:id="0"/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D1A40" w:rsidSect="0018256D">
      <w:pgSz w:w="11907" w:h="16839" w:code="9"/>
      <w:pgMar w:top="709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5"/>
  </w:num>
  <w:num w:numId="5">
    <w:abstractNumId w:val="1"/>
  </w:num>
  <w:num w:numId="6">
    <w:abstractNumId w:val="14"/>
  </w:num>
  <w:num w:numId="7">
    <w:abstractNumId w:val="13"/>
  </w:num>
  <w:num w:numId="8">
    <w:abstractNumId w:val="6"/>
  </w:num>
  <w:num w:numId="9">
    <w:abstractNumId w:val="2"/>
  </w:num>
  <w:num w:numId="10">
    <w:abstractNumId w:val="12"/>
  </w:num>
  <w:num w:numId="11">
    <w:abstractNumId w:val="7"/>
  </w:num>
  <w:num w:numId="12">
    <w:abstractNumId w:val="5"/>
  </w:num>
  <w:num w:numId="13">
    <w:abstractNumId w:val="11"/>
  </w:num>
  <w:num w:numId="14">
    <w:abstractNumId w:val="0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40754"/>
    <w:rsid w:val="00060974"/>
    <w:rsid w:val="000731EE"/>
    <w:rsid w:val="000876D9"/>
    <w:rsid w:val="00090488"/>
    <w:rsid w:val="00093B18"/>
    <w:rsid w:val="000A5E03"/>
    <w:rsid w:val="000B20E7"/>
    <w:rsid w:val="000D1D87"/>
    <w:rsid w:val="000D43D1"/>
    <w:rsid w:val="000D447E"/>
    <w:rsid w:val="000D6231"/>
    <w:rsid w:val="000E6CF4"/>
    <w:rsid w:val="00102251"/>
    <w:rsid w:val="0011362D"/>
    <w:rsid w:val="00114AE0"/>
    <w:rsid w:val="00123688"/>
    <w:rsid w:val="00132B31"/>
    <w:rsid w:val="00134DC7"/>
    <w:rsid w:val="0014301A"/>
    <w:rsid w:val="001559C3"/>
    <w:rsid w:val="00170DD4"/>
    <w:rsid w:val="0018256D"/>
    <w:rsid w:val="00182D97"/>
    <w:rsid w:val="001A1F91"/>
    <w:rsid w:val="001A54F1"/>
    <w:rsid w:val="001A7BC4"/>
    <w:rsid w:val="001B3C6C"/>
    <w:rsid w:val="001D62E1"/>
    <w:rsid w:val="001F2D5A"/>
    <w:rsid w:val="00203D1E"/>
    <w:rsid w:val="00206EE8"/>
    <w:rsid w:val="002164B3"/>
    <w:rsid w:val="00234795"/>
    <w:rsid w:val="00245BA1"/>
    <w:rsid w:val="00274AD2"/>
    <w:rsid w:val="002A6CAD"/>
    <w:rsid w:val="002D2BA7"/>
    <w:rsid w:val="00353F8B"/>
    <w:rsid w:val="00363E8D"/>
    <w:rsid w:val="00385E2F"/>
    <w:rsid w:val="0039009E"/>
    <w:rsid w:val="00390B33"/>
    <w:rsid w:val="00393DB9"/>
    <w:rsid w:val="003C4993"/>
    <w:rsid w:val="003E50A4"/>
    <w:rsid w:val="003F24CE"/>
    <w:rsid w:val="00420650"/>
    <w:rsid w:val="004327D3"/>
    <w:rsid w:val="00443240"/>
    <w:rsid w:val="004523CC"/>
    <w:rsid w:val="004638B7"/>
    <w:rsid w:val="0046453C"/>
    <w:rsid w:val="004B07F5"/>
    <w:rsid w:val="004B60BE"/>
    <w:rsid w:val="004D6BBD"/>
    <w:rsid w:val="004F644F"/>
    <w:rsid w:val="0054121F"/>
    <w:rsid w:val="005746CA"/>
    <w:rsid w:val="00591727"/>
    <w:rsid w:val="005E40BD"/>
    <w:rsid w:val="00637572"/>
    <w:rsid w:val="0065785B"/>
    <w:rsid w:val="00675D2F"/>
    <w:rsid w:val="00683848"/>
    <w:rsid w:val="00691B23"/>
    <w:rsid w:val="006C233A"/>
    <w:rsid w:val="006C589E"/>
    <w:rsid w:val="006F6089"/>
    <w:rsid w:val="00707170"/>
    <w:rsid w:val="00741408"/>
    <w:rsid w:val="00742E1C"/>
    <w:rsid w:val="00760C76"/>
    <w:rsid w:val="00807810"/>
    <w:rsid w:val="008231AA"/>
    <w:rsid w:val="008263F5"/>
    <w:rsid w:val="00840165"/>
    <w:rsid w:val="0085133E"/>
    <w:rsid w:val="00873871"/>
    <w:rsid w:val="0089789E"/>
    <w:rsid w:val="008E00C2"/>
    <w:rsid w:val="00914FBF"/>
    <w:rsid w:val="00946443"/>
    <w:rsid w:val="009473FD"/>
    <w:rsid w:val="00947F7F"/>
    <w:rsid w:val="00955519"/>
    <w:rsid w:val="0096064D"/>
    <w:rsid w:val="009609B3"/>
    <w:rsid w:val="00986FFA"/>
    <w:rsid w:val="009B4921"/>
    <w:rsid w:val="009C1E68"/>
    <w:rsid w:val="009C5C21"/>
    <w:rsid w:val="009E3CC9"/>
    <w:rsid w:val="00A16004"/>
    <w:rsid w:val="00A24B4A"/>
    <w:rsid w:val="00A26DD0"/>
    <w:rsid w:val="00A357AB"/>
    <w:rsid w:val="00A87C36"/>
    <w:rsid w:val="00AD0B55"/>
    <w:rsid w:val="00AF5C06"/>
    <w:rsid w:val="00B20BAD"/>
    <w:rsid w:val="00B63A4F"/>
    <w:rsid w:val="00BC43FE"/>
    <w:rsid w:val="00C03D2E"/>
    <w:rsid w:val="00C453CB"/>
    <w:rsid w:val="00C52B8B"/>
    <w:rsid w:val="00C95A54"/>
    <w:rsid w:val="00CA43DD"/>
    <w:rsid w:val="00CC3A6F"/>
    <w:rsid w:val="00CD7489"/>
    <w:rsid w:val="00CF3BF6"/>
    <w:rsid w:val="00CF7740"/>
    <w:rsid w:val="00D12923"/>
    <w:rsid w:val="00D21F81"/>
    <w:rsid w:val="00D460F1"/>
    <w:rsid w:val="00DA17C8"/>
    <w:rsid w:val="00DC5D85"/>
    <w:rsid w:val="00E103D0"/>
    <w:rsid w:val="00E41975"/>
    <w:rsid w:val="00E5060D"/>
    <w:rsid w:val="00EA71F6"/>
    <w:rsid w:val="00EB08F2"/>
    <w:rsid w:val="00EC1BFF"/>
    <w:rsid w:val="00EC27B2"/>
    <w:rsid w:val="00EE2512"/>
    <w:rsid w:val="00EF2FC3"/>
    <w:rsid w:val="00F05ABD"/>
    <w:rsid w:val="00F27EAE"/>
    <w:rsid w:val="00F41041"/>
    <w:rsid w:val="00F54C25"/>
    <w:rsid w:val="00F77A14"/>
    <w:rsid w:val="00FA4DC0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FD2B-A33E-41D1-8B70-16DE2E9C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Albena Yambolieva</cp:lastModifiedBy>
  <cp:revision>4</cp:revision>
  <cp:lastPrinted>2018-06-08T07:00:00Z</cp:lastPrinted>
  <dcterms:created xsi:type="dcterms:W3CDTF">2018-06-08T07:01:00Z</dcterms:created>
  <dcterms:modified xsi:type="dcterms:W3CDTF">2018-06-08T11:26:00Z</dcterms:modified>
</cp:coreProperties>
</file>