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06" w:rsidRPr="000A51BE" w:rsidRDefault="00B92306" w:rsidP="000A51BE">
      <w:pPr>
        <w:spacing w:line="360" w:lineRule="auto"/>
        <w:jc w:val="center"/>
        <w:rPr>
          <w:rFonts w:ascii="Verdana" w:hAnsi="Verdana"/>
          <w:b/>
          <w:spacing w:val="80"/>
          <w:sz w:val="20"/>
          <w:szCs w:val="20"/>
        </w:rPr>
      </w:pPr>
      <w:r w:rsidRPr="000A51BE">
        <w:rPr>
          <w:rFonts w:ascii="Verdana" w:hAnsi="Verdana"/>
          <w:b/>
          <w:spacing w:val="80"/>
          <w:sz w:val="20"/>
          <w:szCs w:val="20"/>
        </w:rPr>
        <w:t>МОТИВИ</w:t>
      </w:r>
    </w:p>
    <w:p w:rsidR="00B92306" w:rsidRPr="000A51BE" w:rsidRDefault="00B92306" w:rsidP="000A51BE">
      <w:pPr>
        <w:spacing w:line="360" w:lineRule="auto"/>
        <w:jc w:val="center"/>
        <w:rPr>
          <w:rFonts w:ascii="Verdana" w:hAnsi="Verdana"/>
          <w:b/>
          <w:sz w:val="20"/>
          <w:szCs w:val="20"/>
        </w:rPr>
      </w:pPr>
      <w:r w:rsidRPr="000A51BE">
        <w:rPr>
          <w:rFonts w:ascii="Verdana" w:hAnsi="Verdana"/>
          <w:b/>
          <w:sz w:val="20"/>
          <w:szCs w:val="20"/>
        </w:rPr>
        <w:t xml:space="preserve">към Закона за изменение и допълнение на Закона за прилагане на Общата </w:t>
      </w:r>
      <w:r w:rsidRPr="000A51BE">
        <w:rPr>
          <w:rFonts w:ascii="Verdana" w:hAnsi="Verdana"/>
          <w:b/>
          <w:sz w:val="20"/>
          <w:szCs w:val="20"/>
          <w:lang w:val="be-BY"/>
        </w:rPr>
        <w:t>организация на пазарите на земеделски продукти на</w:t>
      </w:r>
      <w:r w:rsidRPr="000A51BE">
        <w:rPr>
          <w:rFonts w:ascii="Verdana" w:hAnsi="Verdana"/>
          <w:b/>
          <w:sz w:val="20"/>
          <w:szCs w:val="20"/>
        </w:rPr>
        <w:t xml:space="preserve"> Европейския съюз</w:t>
      </w:r>
    </w:p>
    <w:p w:rsidR="00B92306" w:rsidRPr="000A51BE" w:rsidRDefault="00B92306" w:rsidP="000A51BE">
      <w:pPr>
        <w:spacing w:line="360" w:lineRule="auto"/>
        <w:ind w:firstLine="708"/>
        <w:jc w:val="both"/>
        <w:rPr>
          <w:rFonts w:ascii="Verdana" w:hAnsi="Verdana"/>
          <w:sz w:val="20"/>
          <w:szCs w:val="20"/>
        </w:rPr>
      </w:pPr>
    </w:p>
    <w:p w:rsidR="00B92306" w:rsidRPr="000A51BE" w:rsidRDefault="00B92306" w:rsidP="000A51BE">
      <w:pPr>
        <w:spacing w:line="360" w:lineRule="auto"/>
        <w:ind w:firstLine="567"/>
        <w:jc w:val="both"/>
        <w:rPr>
          <w:rFonts w:ascii="Verdana" w:hAnsi="Verdana"/>
          <w:sz w:val="20"/>
          <w:szCs w:val="20"/>
        </w:rPr>
      </w:pPr>
      <w:r w:rsidRPr="000A51BE">
        <w:rPr>
          <w:rFonts w:ascii="Verdana" w:hAnsi="Verdana"/>
          <w:sz w:val="20"/>
          <w:szCs w:val="20"/>
        </w:rPr>
        <w:t>От началото на 2007 год. България прилага мерките включени в Общата организация на пазара (ООП) на земеделски продукти в ЕС. Адекватната законова рамка, която да обслужва практиката по прилагане на ООП на ЕС в страната, беше създадена с приемането на Закона за прилагане на общите организации на пазарите на земеделски продукти на Европейския съюз. Общата организация на пазарите на земеделски продукти в ЕС са уредени с регламенти на Европейския съвет и Европейската комисия, които се прилагат пряко. Затова със закона се определят националните структури, които ще прилагат мерките включени в Общата организация на пазара на земеделски продукти и се очертава тяхната компетентност. Законът урежда и някои процедури, които регламентите на ЕС предвиждат да бъдат определени на национално ниво. Той създава правно основание за издаването на наредби по мерките включени в ООП. Със Закона за прилагане на Общите организации на пазарите на земеделски продукти на Европейския съюз се създаде необходимия административен капацитет  и правила за прилагане на пазарните мерки включени в ООП на ЕС.</w:t>
      </w:r>
      <w:r w:rsidR="001F1925" w:rsidRPr="000A51BE">
        <w:rPr>
          <w:rFonts w:ascii="Verdana" w:hAnsi="Verdana"/>
          <w:sz w:val="20"/>
          <w:szCs w:val="20"/>
        </w:rPr>
        <w:t xml:space="preserve"> Приемането на изменения в Закона за прилагане на общата организация на пазарите на земеделски продукти на Европейския съюз се налага по следните </w:t>
      </w:r>
      <w:r w:rsidR="001F1925" w:rsidRPr="000A51BE">
        <w:rPr>
          <w:rFonts w:ascii="Verdana" w:hAnsi="Verdana"/>
          <w:b/>
          <w:sz w:val="20"/>
          <w:szCs w:val="20"/>
        </w:rPr>
        <w:t>причини</w:t>
      </w:r>
      <w:r w:rsidR="001F1925" w:rsidRPr="000A51BE">
        <w:rPr>
          <w:rFonts w:ascii="Verdana" w:hAnsi="Verdana"/>
          <w:sz w:val="20"/>
          <w:szCs w:val="20"/>
        </w:rPr>
        <w:t xml:space="preserve">: </w:t>
      </w:r>
    </w:p>
    <w:p w:rsidR="003171BE" w:rsidRPr="000A51BE" w:rsidRDefault="00B92306" w:rsidP="000A51BE">
      <w:pPr>
        <w:spacing w:line="360" w:lineRule="auto"/>
        <w:ind w:firstLine="567"/>
        <w:jc w:val="both"/>
        <w:rPr>
          <w:rFonts w:ascii="Verdana" w:hAnsi="Verdana"/>
          <w:sz w:val="20"/>
          <w:szCs w:val="20"/>
        </w:rPr>
      </w:pPr>
      <w:r w:rsidRPr="000A51BE">
        <w:rPr>
          <w:rFonts w:ascii="Verdana" w:hAnsi="Verdana"/>
          <w:sz w:val="20"/>
          <w:szCs w:val="20"/>
        </w:rPr>
        <w:t xml:space="preserve">Законът за прилагане на Общата организация на пазарите на земеделски продукти на Европейския съюз създава необходимите условия за прилагането на регламентите на ЕС в областта на ООП, като част от Общата селскостопанска политика (ОСП) на ЕС. След последната реформа на ОСП и в резултат на прилагането на правилата на Лисабонския договор, с които се урежда издаването от Европейската комисия на делегирани актове и актове за изпълнение, </w:t>
      </w:r>
      <w:r w:rsidR="002E3003" w:rsidRPr="000A51BE">
        <w:rPr>
          <w:rFonts w:ascii="Verdana" w:hAnsi="Verdana"/>
          <w:sz w:val="20"/>
          <w:szCs w:val="20"/>
        </w:rPr>
        <w:t>голяма част от регламентите, към които законът препраща, бяха заменени с нови. Това налага актуализиране на правните актове на ЕС и на препратки</w:t>
      </w:r>
      <w:r w:rsidR="00D17715" w:rsidRPr="000A51BE">
        <w:rPr>
          <w:rFonts w:ascii="Verdana" w:hAnsi="Verdana"/>
          <w:sz w:val="20"/>
          <w:szCs w:val="20"/>
        </w:rPr>
        <w:t>те към тях, включени в закона. В</w:t>
      </w:r>
      <w:r w:rsidR="002E3003" w:rsidRPr="000A51BE">
        <w:rPr>
          <w:rFonts w:ascii="Verdana" w:hAnsi="Verdana"/>
          <w:sz w:val="20"/>
          <w:szCs w:val="20"/>
        </w:rPr>
        <w:t>сички отменени регламенти на ЕС в текста на Закона за прилагане на Общата организация на пазарите на земеделски продукти на Европейския съюз са заменени с действащите регламенти, уреждащи същата материя.</w:t>
      </w:r>
    </w:p>
    <w:p w:rsidR="002E47D7" w:rsidRPr="000A51BE" w:rsidRDefault="001F1925" w:rsidP="000A51BE">
      <w:pPr>
        <w:spacing w:line="360" w:lineRule="auto"/>
        <w:ind w:firstLine="567"/>
        <w:jc w:val="both"/>
        <w:rPr>
          <w:rFonts w:ascii="Verdana" w:hAnsi="Verdana"/>
          <w:sz w:val="20"/>
          <w:szCs w:val="20"/>
        </w:rPr>
      </w:pPr>
      <w:r w:rsidRPr="000A51BE">
        <w:rPr>
          <w:rFonts w:ascii="Verdana" w:hAnsi="Verdana"/>
          <w:sz w:val="20"/>
          <w:szCs w:val="20"/>
        </w:rPr>
        <w:t xml:space="preserve">Със Закона за държавните помощи е уреден цялостния режим за прилагане на държавните помощи, съгласно правото на ЕС. В него са включени и разпоредбите, които са необходими за прилагане на държавните помощи в земеделието. В този смисъл, нормите на Глава трета „Държавни помощи“ от Закона за прилагане на Общата организация на пазарите на земеделски продукти на Европейския съюз дублират </w:t>
      </w:r>
      <w:r w:rsidRPr="000A51BE">
        <w:rPr>
          <w:rFonts w:ascii="Verdana" w:hAnsi="Verdana"/>
          <w:sz w:val="20"/>
          <w:szCs w:val="20"/>
        </w:rPr>
        <w:lastRenderedPageBreak/>
        <w:t xml:space="preserve">общата правна уредба на държавните помощи. Поради това законопроектът предвижда отмяна на тази глава.    </w:t>
      </w:r>
    </w:p>
    <w:p w:rsidR="00493AA7" w:rsidRPr="000A51BE" w:rsidRDefault="002E47D7" w:rsidP="000A51BE">
      <w:pPr>
        <w:spacing w:line="360" w:lineRule="auto"/>
        <w:ind w:firstLine="567"/>
        <w:jc w:val="both"/>
        <w:rPr>
          <w:rFonts w:ascii="Verdana" w:hAnsi="Verdana"/>
          <w:sz w:val="20"/>
          <w:szCs w:val="20"/>
        </w:rPr>
      </w:pPr>
      <w:r w:rsidRPr="000A51BE">
        <w:rPr>
          <w:rFonts w:ascii="Verdana" w:hAnsi="Verdana"/>
          <w:sz w:val="20"/>
          <w:szCs w:val="20"/>
        </w:rPr>
        <w:t xml:space="preserve">Въз основа на резултатите от одит, проведен в България от Хранителната и ветеринарна служба на Европейската комисия през ноември 2015 г. са предвидени изменения в закона, отнасящи се до биологичното производство на земеделски и хранителни продукти. Целта на предприетите изменения е националното законодателство да гарантира пълно съответствие с правно обвързващите актове на Европейския съюз за биологичното производство и етикетиране на биологични продукти и да гарантира прилагането на ефективни </w:t>
      </w:r>
      <w:proofErr w:type="spellStart"/>
      <w:r w:rsidRPr="000A51BE">
        <w:rPr>
          <w:rFonts w:ascii="Verdana" w:hAnsi="Verdana"/>
          <w:sz w:val="20"/>
          <w:szCs w:val="20"/>
        </w:rPr>
        <w:t>корективни</w:t>
      </w:r>
      <w:proofErr w:type="spellEnd"/>
      <w:r w:rsidRPr="000A51BE">
        <w:rPr>
          <w:rFonts w:ascii="Verdana" w:hAnsi="Verdana"/>
          <w:sz w:val="20"/>
          <w:szCs w:val="20"/>
        </w:rPr>
        <w:t xml:space="preserve"> мерки при установяване на систематични или сериозни недостатъци в работата на контролиращите лица.</w:t>
      </w:r>
      <w:r w:rsidR="005025D8" w:rsidRPr="000A51BE">
        <w:rPr>
          <w:rFonts w:ascii="Verdana" w:hAnsi="Verdana"/>
          <w:sz w:val="20"/>
          <w:szCs w:val="20"/>
        </w:rPr>
        <w:t xml:space="preserve"> Отразени са правилата за акредитация по стандарт ISO 17065, според които контролиращите лица не трябва да извършват консултантска дейност. </w:t>
      </w:r>
      <w:r w:rsidR="000148AF" w:rsidRPr="000A51BE">
        <w:rPr>
          <w:rFonts w:ascii="Verdana" w:hAnsi="Verdana"/>
          <w:sz w:val="20"/>
          <w:szCs w:val="20"/>
        </w:rPr>
        <w:t xml:space="preserve">Предвидени са изменения, насочени към намаляване на риска от упражняване на контролна дейност без акредитация. </w:t>
      </w:r>
      <w:r w:rsidR="00493AA7" w:rsidRPr="000A51BE">
        <w:rPr>
          <w:rFonts w:ascii="Verdana" w:hAnsi="Verdana"/>
          <w:sz w:val="20"/>
          <w:szCs w:val="20"/>
        </w:rPr>
        <w:t>С цел намаляване на административната тежест са предвидени промени, отнасящи се до изискуеми документи при кандидатстване за издаване на разрешително за контролна дейност в сферата на биологичното производство.</w:t>
      </w:r>
    </w:p>
    <w:p w:rsidR="00837598" w:rsidRPr="000A51BE" w:rsidRDefault="00937911" w:rsidP="000A51BE">
      <w:pPr>
        <w:spacing w:line="360" w:lineRule="auto"/>
        <w:ind w:firstLine="567"/>
        <w:jc w:val="both"/>
        <w:rPr>
          <w:rFonts w:ascii="Verdana" w:hAnsi="Verdana"/>
          <w:sz w:val="20"/>
          <w:szCs w:val="20"/>
        </w:rPr>
      </w:pPr>
      <w:r w:rsidRPr="000A51BE">
        <w:rPr>
          <w:rFonts w:ascii="Verdana" w:hAnsi="Verdana"/>
          <w:sz w:val="20"/>
          <w:szCs w:val="20"/>
        </w:rPr>
        <w:t xml:space="preserve">Във връзка с премахването на производствените квоти за захар и </w:t>
      </w:r>
      <w:proofErr w:type="spellStart"/>
      <w:r w:rsidRPr="000A51BE">
        <w:rPr>
          <w:rFonts w:ascii="Verdana" w:hAnsi="Verdana"/>
          <w:sz w:val="20"/>
          <w:szCs w:val="20"/>
        </w:rPr>
        <w:t>изоглюкоза</w:t>
      </w:r>
      <w:proofErr w:type="spellEnd"/>
      <w:r w:rsidRPr="000A51BE">
        <w:rPr>
          <w:rFonts w:ascii="Verdana" w:hAnsi="Verdana"/>
          <w:sz w:val="20"/>
          <w:szCs w:val="20"/>
        </w:rPr>
        <w:t xml:space="preserve"> в ЕС от 1 октомври 2017 г. се прекратява и режимът за одобряване на производители и </w:t>
      </w:r>
      <w:proofErr w:type="spellStart"/>
      <w:r w:rsidRPr="000A51BE">
        <w:rPr>
          <w:rFonts w:ascii="Verdana" w:hAnsi="Verdana"/>
          <w:sz w:val="20"/>
          <w:szCs w:val="20"/>
        </w:rPr>
        <w:t>рафиньори</w:t>
      </w:r>
      <w:proofErr w:type="spellEnd"/>
      <w:r w:rsidRPr="000A51BE">
        <w:rPr>
          <w:rFonts w:ascii="Verdana" w:hAnsi="Verdana"/>
          <w:sz w:val="20"/>
          <w:szCs w:val="20"/>
        </w:rPr>
        <w:t xml:space="preserve">, което налага отпадане от закона от разпоредбите, уреждащи производствените квоти и одобрението на рафинериите и на производителите на </w:t>
      </w:r>
      <w:proofErr w:type="spellStart"/>
      <w:r w:rsidRPr="000A51BE">
        <w:rPr>
          <w:rFonts w:ascii="Verdana" w:hAnsi="Verdana"/>
          <w:sz w:val="20"/>
          <w:szCs w:val="20"/>
        </w:rPr>
        <w:t>изоглюкоза</w:t>
      </w:r>
      <w:proofErr w:type="spellEnd"/>
      <w:r w:rsidRPr="000A51BE">
        <w:rPr>
          <w:rFonts w:ascii="Verdana" w:hAnsi="Verdana"/>
          <w:sz w:val="20"/>
          <w:szCs w:val="20"/>
        </w:rPr>
        <w:t xml:space="preserve">. Промяната в сектор „Захар“  е свързана и с приемането на Регламент за изпълнение (ЕС) №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Той урежда предоставянето на данни от държавите членки до ЕК относно цени, производство, информация за пазара на захар и </w:t>
      </w:r>
      <w:proofErr w:type="spellStart"/>
      <w:r w:rsidRPr="000A51BE">
        <w:rPr>
          <w:rFonts w:ascii="Verdana" w:hAnsi="Verdana"/>
          <w:sz w:val="20"/>
          <w:szCs w:val="20"/>
        </w:rPr>
        <w:t>изоглюкоза</w:t>
      </w:r>
      <w:proofErr w:type="spellEnd"/>
      <w:r w:rsidRPr="000A51BE">
        <w:rPr>
          <w:rFonts w:ascii="Verdana" w:hAnsi="Verdana"/>
          <w:sz w:val="20"/>
          <w:szCs w:val="20"/>
        </w:rPr>
        <w:t xml:space="preserve"> и информация, изисквана по силата на международни споразумения. Информацията относно цените на продуктите и производството, както и информацията за пазара, е нужна на ЕК за целите на мониторинга, анализа и управлението на пазара на селскостопански продукти. Регламентът изисква също така държавите членки да предприемат необходимите мерки, за да се гарантира, че съответните стопански субекти им предоставят необходимата информация в определените срокове. За целта в закона се определя редът за подаване на информация </w:t>
      </w:r>
      <w:r w:rsidR="00D17715" w:rsidRPr="000A51BE">
        <w:rPr>
          <w:rFonts w:ascii="Verdana" w:hAnsi="Verdana"/>
          <w:sz w:val="20"/>
          <w:szCs w:val="20"/>
        </w:rPr>
        <w:t xml:space="preserve">в Министерството на земеделието, храните и горите </w:t>
      </w:r>
      <w:r w:rsidRPr="000A51BE">
        <w:rPr>
          <w:rFonts w:ascii="Verdana" w:hAnsi="Verdana"/>
          <w:sz w:val="20"/>
          <w:szCs w:val="20"/>
        </w:rPr>
        <w:t xml:space="preserve">от рафинериите и производителите на </w:t>
      </w:r>
      <w:proofErr w:type="spellStart"/>
      <w:r w:rsidRPr="000A51BE">
        <w:rPr>
          <w:rFonts w:ascii="Verdana" w:hAnsi="Verdana"/>
          <w:sz w:val="20"/>
          <w:szCs w:val="20"/>
        </w:rPr>
        <w:t>изоглюкоза</w:t>
      </w:r>
      <w:proofErr w:type="spellEnd"/>
      <w:r w:rsidRPr="000A51BE">
        <w:rPr>
          <w:rFonts w:ascii="Verdana" w:hAnsi="Verdana"/>
          <w:sz w:val="20"/>
          <w:szCs w:val="20"/>
        </w:rPr>
        <w:t>, както и редът за упражняване на контрол на подаването и достоверността на информацията.</w:t>
      </w:r>
      <w:r w:rsidR="00837598" w:rsidRPr="000A51BE">
        <w:rPr>
          <w:rFonts w:ascii="Verdana" w:hAnsi="Verdana"/>
          <w:sz w:val="20"/>
          <w:szCs w:val="20"/>
        </w:rPr>
        <w:t xml:space="preserve"> С предлаганите промени в закона се определя и компетентният орган, който ще </w:t>
      </w:r>
      <w:r w:rsidR="00837598" w:rsidRPr="000A51BE">
        <w:rPr>
          <w:rFonts w:ascii="Verdana" w:hAnsi="Verdana"/>
          <w:sz w:val="20"/>
          <w:szCs w:val="20"/>
        </w:rPr>
        <w:lastRenderedPageBreak/>
        <w:t xml:space="preserve">извършва проверки и </w:t>
      </w:r>
      <w:r w:rsidR="00D17715" w:rsidRPr="000A51BE">
        <w:rPr>
          <w:rFonts w:ascii="Verdana" w:hAnsi="Verdana"/>
          <w:sz w:val="20"/>
          <w:szCs w:val="20"/>
        </w:rPr>
        <w:t xml:space="preserve">ще </w:t>
      </w:r>
      <w:r w:rsidR="00837598" w:rsidRPr="000A51BE">
        <w:rPr>
          <w:rFonts w:ascii="Verdana" w:hAnsi="Verdana"/>
          <w:sz w:val="20"/>
          <w:szCs w:val="20"/>
        </w:rPr>
        <w:t>налага санкции по реда на чл. 15 от Регламент (EО) № 891/2009, във връзка с издадените лицензии за внос на захар, предназначена за рафиниране.</w:t>
      </w:r>
    </w:p>
    <w:p w:rsidR="00D17715" w:rsidRPr="000A51BE" w:rsidRDefault="00D17715" w:rsidP="000A51BE">
      <w:pPr>
        <w:spacing w:line="360" w:lineRule="auto"/>
        <w:ind w:firstLine="567"/>
        <w:jc w:val="both"/>
        <w:rPr>
          <w:rFonts w:ascii="Verdana" w:hAnsi="Verdana"/>
          <w:sz w:val="20"/>
          <w:szCs w:val="20"/>
        </w:rPr>
      </w:pPr>
      <w:r w:rsidRPr="000A51BE">
        <w:rPr>
          <w:rFonts w:ascii="Verdana" w:hAnsi="Verdana"/>
          <w:sz w:val="20"/>
          <w:szCs w:val="20"/>
        </w:rPr>
        <w:t xml:space="preserve">По отношение на режимите за прилагане на публична интервенция и помощ за частно складиране, се предлагат промени, с които българското законодателство се привежда в съответствие  с европейското. С Регламент (ЕС) № 1308/2013 се въвеждат нови правила, детайлизирани в Делегиран регламент (ЕС) 2016/1238, и Регламент за изпълнение (ЕС) 2016/1240, с които се уеднаквяват изискванията и процедурите за публична интервенция и частно складиране при отделните продукти, с цел опростяване и гарантиране на прозрачност. Тези изменения са отразени в закона, като са актуализирани  националните процедури за прилагането на публичната интервенция и на помощта за частно складиране. </w:t>
      </w:r>
    </w:p>
    <w:p w:rsidR="000148AF" w:rsidRPr="000A51BE" w:rsidRDefault="000148AF" w:rsidP="000A51BE">
      <w:pPr>
        <w:spacing w:line="360" w:lineRule="auto"/>
        <w:ind w:firstLine="567"/>
        <w:jc w:val="both"/>
        <w:rPr>
          <w:rFonts w:ascii="Verdana" w:hAnsi="Verdana"/>
          <w:sz w:val="20"/>
          <w:szCs w:val="20"/>
        </w:rPr>
      </w:pPr>
      <w:r w:rsidRPr="000A51BE">
        <w:rPr>
          <w:rFonts w:ascii="Verdana" w:hAnsi="Verdana"/>
          <w:sz w:val="20"/>
          <w:szCs w:val="20"/>
        </w:rPr>
        <w:t>В частта на закона, уреждаща схемата „</w:t>
      </w:r>
      <w:proofErr w:type="spellStart"/>
      <w:r w:rsidRPr="000A51BE">
        <w:rPr>
          <w:rFonts w:ascii="Verdana" w:hAnsi="Verdana"/>
          <w:sz w:val="20"/>
          <w:szCs w:val="20"/>
        </w:rPr>
        <w:t>Промоционални</w:t>
      </w:r>
      <w:proofErr w:type="spellEnd"/>
      <w:r w:rsidRPr="000A51BE">
        <w:rPr>
          <w:rFonts w:ascii="Verdana" w:hAnsi="Verdana"/>
          <w:sz w:val="20"/>
          <w:szCs w:val="20"/>
        </w:rPr>
        <w:t xml:space="preserve"> програми“ е взет под внимание факта, че все още се прилагат програми, за чието финансиране Комисията е взела решение преди 1 декември 2015 г. и Регламент (ЕО) № 3/2008 продължава да се прилага за тях. </w:t>
      </w:r>
    </w:p>
    <w:p w:rsidR="00D17715" w:rsidRPr="000A51BE" w:rsidRDefault="00D17715" w:rsidP="000A51BE">
      <w:pPr>
        <w:spacing w:line="360" w:lineRule="auto"/>
        <w:ind w:firstLine="567"/>
        <w:jc w:val="both"/>
        <w:rPr>
          <w:rFonts w:ascii="Verdana" w:hAnsi="Verdana"/>
          <w:sz w:val="20"/>
          <w:szCs w:val="20"/>
        </w:rPr>
      </w:pPr>
      <w:r w:rsidRPr="000A51BE">
        <w:rPr>
          <w:rFonts w:ascii="Verdana" w:hAnsi="Verdana"/>
          <w:sz w:val="20"/>
          <w:szCs w:val="20"/>
        </w:rPr>
        <w:t xml:space="preserve">По отношение на общата организация на пазара на плодове и зеленчуци, текстовете на закона уреждащи системата за контрол за съответствие на пресните плодове и зеленчуци с приложимите пазарни стандарти са прецизирани в съответствие с Регламент (ЕС) № 1308/2013 на Европейския парламент и на Съвета. </w:t>
      </w:r>
    </w:p>
    <w:p w:rsidR="00D17715" w:rsidRPr="000A51BE" w:rsidRDefault="00D17715" w:rsidP="000A51BE">
      <w:pPr>
        <w:spacing w:line="360" w:lineRule="auto"/>
        <w:ind w:firstLine="567"/>
        <w:jc w:val="both"/>
        <w:rPr>
          <w:rFonts w:ascii="Verdana" w:hAnsi="Verdana"/>
          <w:sz w:val="20"/>
          <w:szCs w:val="20"/>
        </w:rPr>
      </w:pPr>
      <w:r w:rsidRPr="000A51BE">
        <w:rPr>
          <w:rFonts w:ascii="Verdana" w:hAnsi="Verdana"/>
          <w:sz w:val="20"/>
          <w:szCs w:val="20"/>
        </w:rPr>
        <w:t>От настоящата 2017/2018 учебна година, прилаганите в страната ни схема „Училищен плод“ и схема „Училищно мляко“ се обединиха в една обща схема за предлагане на плодове и зеленчуци, и на мляко и млечни продукти в детските градини и училищата. В съответствие с новото законодателство на ЕС, уреждащо обединената схема, се отменят текстовете на закона, които уреждаха прилагането на схема „Училищно мляко“, а в частта уреждаща схема „Училищен плод“ са отразени правилата на новата схема. Съгласно европейската правна рамка, държавите членки, които желаят да прилагат обединената схема, трябва да изготвят Национална стратегия за срок от 6 години. Друг важен момент в прилагането на обединената схема е възможността за финансиране на съпътстващи мерки, които подпомагат основната цел на схемата – изграждане на здравословни хранителни навици у децата и придобиване на знания в областта селското стопанство, здравословното хранене, биологичното земеделие, местните хранителни вериги, борбата с разхищение на храни.</w:t>
      </w:r>
    </w:p>
    <w:p w:rsidR="00D17715" w:rsidRPr="000A51BE" w:rsidRDefault="00D17715" w:rsidP="000A51BE">
      <w:pPr>
        <w:spacing w:line="360" w:lineRule="auto"/>
        <w:ind w:firstLine="567"/>
        <w:jc w:val="both"/>
        <w:rPr>
          <w:rFonts w:ascii="Verdana" w:hAnsi="Verdana"/>
          <w:sz w:val="20"/>
          <w:szCs w:val="20"/>
        </w:rPr>
      </w:pPr>
      <w:r w:rsidRPr="000A51BE">
        <w:rPr>
          <w:rFonts w:ascii="Verdana" w:hAnsi="Verdana"/>
          <w:sz w:val="20"/>
          <w:szCs w:val="20"/>
        </w:rPr>
        <w:t xml:space="preserve">Измененията и допълненията в раздел Раздел III „Вино“ от Глава пета на закона са насочени към оптимизиране на законовата уредба, която е достатъчна за администрирането на режима на подпомагане в </w:t>
      </w:r>
      <w:proofErr w:type="spellStart"/>
      <w:r w:rsidRPr="000A51BE">
        <w:rPr>
          <w:rFonts w:ascii="Verdana" w:hAnsi="Verdana"/>
          <w:sz w:val="20"/>
          <w:szCs w:val="20"/>
        </w:rPr>
        <w:t>лозаро-винарския</w:t>
      </w:r>
      <w:proofErr w:type="spellEnd"/>
      <w:r w:rsidRPr="000A51BE">
        <w:rPr>
          <w:rFonts w:ascii="Verdana" w:hAnsi="Verdana"/>
          <w:sz w:val="20"/>
          <w:szCs w:val="20"/>
        </w:rPr>
        <w:t xml:space="preserve"> сектор. </w:t>
      </w:r>
      <w:r w:rsidRPr="000A51BE">
        <w:rPr>
          <w:rFonts w:ascii="Verdana" w:hAnsi="Verdana"/>
          <w:sz w:val="20"/>
          <w:szCs w:val="20"/>
        </w:rPr>
        <w:lastRenderedPageBreak/>
        <w:t xml:space="preserve">Целесъобразно е да отпадне подробното разписване в закона на мерките, включени в националните програми, тъй като това затруднява процеса на тяхното прилагане. Финансирането в </w:t>
      </w:r>
      <w:proofErr w:type="spellStart"/>
      <w:r w:rsidRPr="000A51BE">
        <w:rPr>
          <w:rFonts w:ascii="Verdana" w:hAnsi="Verdana"/>
          <w:sz w:val="20"/>
          <w:szCs w:val="20"/>
        </w:rPr>
        <w:t>лозаро-винарския</w:t>
      </w:r>
      <w:proofErr w:type="spellEnd"/>
      <w:r w:rsidRPr="000A51BE">
        <w:rPr>
          <w:rFonts w:ascii="Verdana" w:hAnsi="Verdana"/>
          <w:sz w:val="20"/>
          <w:szCs w:val="20"/>
        </w:rPr>
        <w:t xml:space="preserve"> сектор се осъществява въз основа на одобрени за петгодишен период от Европейската комисия Национални програми за подпомагане и наредби, включващи подробни правила за условията и реда за тяхното прилагане. </w:t>
      </w:r>
    </w:p>
    <w:p w:rsidR="00D17715" w:rsidRDefault="00D17715" w:rsidP="000A51BE">
      <w:pPr>
        <w:spacing w:line="360" w:lineRule="auto"/>
        <w:ind w:firstLine="567"/>
        <w:jc w:val="both"/>
        <w:rPr>
          <w:rFonts w:ascii="Verdana" w:hAnsi="Verdana"/>
          <w:sz w:val="20"/>
          <w:szCs w:val="20"/>
        </w:rPr>
      </w:pPr>
      <w:r w:rsidRPr="000A51BE">
        <w:rPr>
          <w:rFonts w:ascii="Verdana" w:hAnsi="Verdana"/>
          <w:sz w:val="20"/>
          <w:szCs w:val="20"/>
        </w:rPr>
        <w:t xml:space="preserve">В раздела на закона, уреждащ мониторинга на пазара на зърно отпада задължението на земеделските производители да подават декларации всяко тримесечие, за произведени количества зърно по видове, а за пшеницата и през юли, август и септември. Подаването на декларации за производство в периоди, в които такова няма, е лишено от смисъл. С предложената промяна, декларацията ще се подава веднъж годишно от всички производители, които получават директни плащания, с което се намалява административната тежест, а получената информация ще обхваща цялото произведено количества зърно. С цел изготвянето на точни зърнени баланси, е прецизиран и минималния капацитет на обектите за съхранение на зърно, които подават информация за съхраняваните количества.  Провеждането на ефективен мониторинг на пазара на зърно </w:t>
      </w:r>
      <w:r w:rsidR="00012C46" w:rsidRPr="000A51BE">
        <w:rPr>
          <w:rFonts w:ascii="Verdana" w:hAnsi="Verdana"/>
          <w:sz w:val="20"/>
          <w:szCs w:val="20"/>
        </w:rPr>
        <w:t>изисква</w:t>
      </w:r>
      <w:r w:rsidRPr="000A51BE">
        <w:rPr>
          <w:rFonts w:ascii="Verdana" w:hAnsi="Verdana"/>
          <w:sz w:val="20"/>
          <w:szCs w:val="20"/>
        </w:rPr>
        <w:t xml:space="preserve"> да се събира пълна и точна информация за преработеното и </w:t>
      </w:r>
      <w:proofErr w:type="spellStart"/>
      <w:r w:rsidRPr="000A51BE">
        <w:rPr>
          <w:rFonts w:ascii="Verdana" w:hAnsi="Verdana"/>
          <w:sz w:val="20"/>
          <w:szCs w:val="20"/>
        </w:rPr>
        <w:t>потребено</w:t>
      </w:r>
      <w:proofErr w:type="spellEnd"/>
      <w:r w:rsidRPr="000A51BE">
        <w:rPr>
          <w:rFonts w:ascii="Verdana" w:hAnsi="Verdana"/>
          <w:sz w:val="20"/>
          <w:szCs w:val="20"/>
        </w:rPr>
        <w:t xml:space="preserve"> зърно в страната. Това налага да се въведе подаването на месечни декларации от всички </w:t>
      </w:r>
      <w:proofErr w:type="spellStart"/>
      <w:r w:rsidRPr="000A51BE">
        <w:rPr>
          <w:rFonts w:ascii="Verdana" w:hAnsi="Verdana"/>
          <w:sz w:val="20"/>
          <w:szCs w:val="20"/>
        </w:rPr>
        <w:t>зърнопреработвателни</w:t>
      </w:r>
      <w:proofErr w:type="spellEnd"/>
      <w:r w:rsidRPr="000A51BE">
        <w:rPr>
          <w:rFonts w:ascii="Verdana" w:hAnsi="Verdana"/>
          <w:sz w:val="20"/>
          <w:szCs w:val="20"/>
        </w:rPr>
        <w:t xml:space="preserve"> предприятия за количеството преработено зърно по видове. В тази връзка е дадено и определение на „</w:t>
      </w:r>
      <w:proofErr w:type="spellStart"/>
      <w:r w:rsidRPr="000A51BE">
        <w:rPr>
          <w:rFonts w:ascii="Verdana" w:hAnsi="Verdana"/>
          <w:sz w:val="20"/>
          <w:szCs w:val="20"/>
        </w:rPr>
        <w:t>зърнопреработвателни</w:t>
      </w:r>
      <w:proofErr w:type="spellEnd"/>
      <w:r w:rsidRPr="000A51BE">
        <w:rPr>
          <w:rFonts w:ascii="Verdana" w:hAnsi="Verdana"/>
          <w:sz w:val="20"/>
          <w:szCs w:val="20"/>
        </w:rPr>
        <w:t xml:space="preserve"> предприятия“.</w:t>
      </w:r>
    </w:p>
    <w:p w:rsidR="008D72A5" w:rsidRDefault="008D72A5" w:rsidP="008D72A5">
      <w:pPr>
        <w:spacing w:line="360" w:lineRule="auto"/>
        <w:ind w:firstLine="709"/>
        <w:jc w:val="both"/>
        <w:rPr>
          <w:rFonts w:ascii="Verdana" w:hAnsi="Verdana" w:cs="Tahoma"/>
          <w:sz w:val="20"/>
          <w:szCs w:val="20"/>
        </w:rPr>
      </w:pPr>
      <w:r w:rsidRPr="001B205E">
        <w:rPr>
          <w:rFonts w:ascii="Verdana" w:hAnsi="Verdana"/>
          <w:sz w:val="20"/>
          <w:szCs w:val="20"/>
        </w:rPr>
        <w:t xml:space="preserve">Законът урежда и допълнения в Закона за рибарството и </w:t>
      </w:r>
      <w:proofErr w:type="spellStart"/>
      <w:r w:rsidRPr="001B205E">
        <w:rPr>
          <w:rFonts w:ascii="Verdana" w:hAnsi="Verdana"/>
          <w:sz w:val="20"/>
          <w:szCs w:val="20"/>
        </w:rPr>
        <w:t>аквакултурите</w:t>
      </w:r>
      <w:proofErr w:type="spellEnd"/>
      <w:r w:rsidRPr="001B205E">
        <w:rPr>
          <w:rFonts w:ascii="Verdana" w:hAnsi="Verdana"/>
          <w:sz w:val="20"/>
          <w:szCs w:val="20"/>
        </w:rPr>
        <w:t xml:space="preserve">. С промяната на текстовете на чл. 10 и 10в от ЗРА се създават условия на национално ниво за признаване на организации на производители, асоциации на организации на производители и </w:t>
      </w:r>
      <w:proofErr w:type="spellStart"/>
      <w:r w:rsidRPr="001B205E">
        <w:rPr>
          <w:rFonts w:ascii="Verdana" w:hAnsi="Verdana"/>
          <w:sz w:val="20"/>
          <w:szCs w:val="20"/>
        </w:rPr>
        <w:t>междубраншови</w:t>
      </w:r>
      <w:proofErr w:type="spellEnd"/>
      <w:r w:rsidRPr="001B205E">
        <w:rPr>
          <w:rFonts w:ascii="Verdana" w:hAnsi="Verdana"/>
          <w:sz w:val="20"/>
          <w:szCs w:val="20"/>
        </w:rPr>
        <w:t xml:space="preserve"> организации в сектора на риболова и </w:t>
      </w:r>
      <w:proofErr w:type="spellStart"/>
      <w:r w:rsidRPr="001B205E">
        <w:rPr>
          <w:rFonts w:ascii="Verdana" w:hAnsi="Verdana"/>
          <w:sz w:val="20"/>
          <w:szCs w:val="20"/>
        </w:rPr>
        <w:t>аквакултурите</w:t>
      </w:r>
      <w:proofErr w:type="spellEnd"/>
      <w:r w:rsidRPr="001B205E">
        <w:rPr>
          <w:rFonts w:ascii="Verdana" w:hAnsi="Verdana"/>
          <w:sz w:val="20"/>
          <w:szCs w:val="20"/>
        </w:rPr>
        <w:t xml:space="preserve">. В чл. 10г се предвижда условията и реда за тяхното признаване да се </w:t>
      </w:r>
      <w:r>
        <w:rPr>
          <w:rFonts w:ascii="Verdana" w:hAnsi="Verdana"/>
          <w:sz w:val="20"/>
          <w:szCs w:val="20"/>
        </w:rPr>
        <w:t xml:space="preserve">определят в </w:t>
      </w:r>
      <w:r w:rsidRPr="001B205E">
        <w:rPr>
          <w:rFonts w:ascii="Verdana" w:hAnsi="Verdana"/>
          <w:sz w:val="20"/>
          <w:szCs w:val="20"/>
        </w:rPr>
        <w:t xml:space="preserve">Закона за прилагане на Общата организация на земеделски продукти на Европейския съюз, </w:t>
      </w:r>
      <w:r w:rsidRPr="001B205E">
        <w:rPr>
          <w:rFonts w:ascii="Verdana" w:hAnsi="Verdana"/>
          <w:sz w:val="20"/>
          <w:szCs w:val="20"/>
          <w:lang w:eastAsia="en-US"/>
        </w:rPr>
        <w:t>тъй като съгласно определението</w:t>
      </w:r>
      <w:r>
        <w:rPr>
          <w:rFonts w:ascii="Verdana" w:hAnsi="Verdana"/>
          <w:sz w:val="20"/>
          <w:szCs w:val="20"/>
        </w:rPr>
        <w:t xml:space="preserve"> на</w:t>
      </w:r>
      <w:r w:rsidRPr="001B205E">
        <w:rPr>
          <w:rFonts w:ascii="Verdana" w:hAnsi="Verdana"/>
          <w:sz w:val="20"/>
          <w:szCs w:val="20"/>
          <w:lang w:eastAsia="en-US"/>
        </w:rPr>
        <w:t xml:space="preserve"> „Земеделски продукти“ в т. 6, § 1 от Допълнителната разпоредба</w:t>
      </w:r>
      <w:r>
        <w:rPr>
          <w:rFonts w:ascii="Verdana" w:hAnsi="Verdana"/>
          <w:sz w:val="20"/>
          <w:szCs w:val="20"/>
        </w:rPr>
        <w:t xml:space="preserve">, </w:t>
      </w:r>
      <w:r w:rsidRPr="001B205E">
        <w:rPr>
          <w:rFonts w:ascii="Verdana" w:hAnsi="Verdana"/>
          <w:sz w:val="20"/>
          <w:szCs w:val="20"/>
          <w:lang w:eastAsia="en-US"/>
        </w:rPr>
        <w:t xml:space="preserve">към </w:t>
      </w:r>
      <w:r>
        <w:rPr>
          <w:rFonts w:ascii="Verdana" w:hAnsi="Verdana"/>
          <w:sz w:val="20"/>
          <w:szCs w:val="20"/>
        </w:rPr>
        <w:t>тях спадат и продуктите на рибарството.</w:t>
      </w:r>
      <w:r w:rsidRPr="001B205E">
        <w:rPr>
          <w:rFonts w:ascii="Verdana" w:hAnsi="Verdana"/>
          <w:sz w:val="20"/>
          <w:szCs w:val="20"/>
        </w:rPr>
        <w:t xml:space="preserve"> Поради съществената роля на такива организациите в осъществяването на Общата политика в областта на рибарството са създадени инструменти за тяхното подпомагане по линия на Европейския фонд за морско дело и рибарство чрез Програмата за морско дело и рибарство 2014-2020 г. </w:t>
      </w:r>
      <w:r>
        <w:rPr>
          <w:rFonts w:ascii="Verdana" w:hAnsi="Verdana"/>
          <w:sz w:val="20"/>
          <w:szCs w:val="20"/>
        </w:rPr>
        <w:t>Измененията в Допълнителните разпоредби на ЗРА са направени</w:t>
      </w:r>
      <w:r w:rsidRPr="007448E4">
        <w:rPr>
          <w:rFonts w:ascii="Verdana" w:hAnsi="Verdana" w:cs="Tahoma"/>
          <w:sz w:val="20"/>
          <w:szCs w:val="20"/>
        </w:rPr>
        <w:t xml:space="preserve"> с оглед на това, че в  сегашната м</w:t>
      </w:r>
      <w:r>
        <w:rPr>
          <w:rFonts w:ascii="Verdana" w:hAnsi="Verdana" w:cs="Tahoma"/>
          <w:sz w:val="20"/>
          <w:szCs w:val="20"/>
        </w:rPr>
        <w:t>у</w:t>
      </w:r>
      <w:r w:rsidRPr="007448E4">
        <w:rPr>
          <w:rFonts w:ascii="Verdana" w:hAnsi="Verdana" w:cs="Tahoma"/>
          <w:sz w:val="20"/>
          <w:szCs w:val="20"/>
        </w:rPr>
        <w:t xml:space="preserve"> редак</w:t>
      </w:r>
      <w:r>
        <w:rPr>
          <w:rFonts w:ascii="Verdana" w:hAnsi="Verdana" w:cs="Tahoma"/>
          <w:sz w:val="20"/>
          <w:szCs w:val="20"/>
        </w:rPr>
        <w:t>ция</w:t>
      </w:r>
      <w:r w:rsidRPr="00167B18">
        <w:rPr>
          <w:rFonts w:ascii="Verdana" w:hAnsi="Verdana" w:cs="Tahoma"/>
          <w:sz w:val="20"/>
          <w:szCs w:val="20"/>
        </w:rPr>
        <w:t xml:space="preserve"> не регламентира какво се включва в управление на риболовния флот, както и че условията и редът за вписване и отписване на кораби в регистъра на риболовните кораби са част от него.</w:t>
      </w:r>
      <w:r>
        <w:rPr>
          <w:rFonts w:ascii="Verdana" w:hAnsi="Verdana" w:cs="Tahoma"/>
          <w:sz w:val="20"/>
          <w:szCs w:val="20"/>
        </w:rPr>
        <w:t xml:space="preserve"> Необходимо е </w:t>
      </w:r>
      <w:r>
        <w:rPr>
          <w:rFonts w:ascii="Verdana" w:hAnsi="Verdana" w:cs="Tahoma"/>
          <w:sz w:val="20"/>
          <w:szCs w:val="20"/>
        </w:rPr>
        <w:lastRenderedPageBreak/>
        <w:t>също така в</w:t>
      </w:r>
      <w:r w:rsidRPr="00167B18">
        <w:rPr>
          <w:rFonts w:ascii="Verdana" w:hAnsi="Verdana" w:cs="Tahoma"/>
          <w:sz w:val="20"/>
          <w:szCs w:val="20"/>
        </w:rPr>
        <w:t xml:space="preserve"> националното законодателство </w:t>
      </w:r>
      <w:r>
        <w:rPr>
          <w:rFonts w:ascii="Verdana" w:hAnsi="Verdana" w:cs="Tahoma"/>
          <w:sz w:val="20"/>
          <w:szCs w:val="20"/>
        </w:rPr>
        <w:t>бъдат</w:t>
      </w:r>
      <w:r w:rsidRPr="00167B18">
        <w:rPr>
          <w:rFonts w:ascii="Verdana" w:hAnsi="Verdana" w:cs="Tahoma"/>
          <w:sz w:val="20"/>
          <w:szCs w:val="20"/>
        </w:rPr>
        <w:t xml:space="preserve"> разписани условията и редът за разпределяне на свободен риболовен капацитет.</w:t>
      </w:r>
    </w:p>
    <w:p w:rsidR="00A42B51" w:rsidRPr="00B0681E" w:rsidRDefault="00A42B51" w:rsidP="00A42B51">
      <w:pPr>
        <w:spacing w:line="360" w:lineRule="auto"/>
        <w:ind w:firstLine="709"/>
        <w:jc w:val="both"/>
        <w:rPr>
          <w:rFonts w:ascii="Verdana" w:hAnsi="Verdana" w:cs="Tahoma"/>
          <w:sz w:val="20"/>
          <w:szCs w:val="20"/>
          <w:lang w:eastAsia="en-US"/>
        </w:rPr>
      </w:pPr>
      <w:r w:rsidRPr="00B0681E">
        <w:rPr>
          <w:rFonts w:ascii="Verdana" w:hAnsi="Verdana" w:cs="Tahoma"/>
          <w:sz w:val="20"/>
          <w:szCs w:val="20"/>
          <w:lang w:eastAsia="en-US"/>
        </w:rPr>
        <w:t xml:space="preserve">Съгласно разпоредбите на чл. 2, ал. 3 и </w:t>
      </w:r>
      <w:r w:rsidRPr="00B0681E">
        <w:rPr>
          <w:rFonts w:ascii="Verdana" w:hAnsi="Verdana" w:cs="Tahoma"/>
          <w:sz w:val="20"/>
          <w:szCs w:val="20"/>
        </w:rPr>
        <w:t xml:space="preserve">на </w:t>
      </w:r>
      <w:r w:rsidRPr="00B0681E">
        <w:rPr>
          <w:rFonts w:ascii="Verdana" w:hAnsi="Verdana" w:cs="Tahoma"/>
          <w:sz w:val="20"/>
          <w:szCs w:val="20"/>
          <w:lang w:eastAsia="en-US"/>
        </w:rPr>
        <w:t>чл. 29, ал. 3 от Закона за подпомаган</w:t>
      </w:r>
      <w:r w:rsidRPr="00B0681E">
        <w:rPr>
          <w:rFonts w:ascii="Verdana" w:hAnsi="Verdana" w:cs="Tahoma"/>
          <w:sz w:val="20"/>
          <w:szCs w:val="20"/>
        </w:rPr>
        <w:t>е на земеделските производители</w:t>
      </w:r>
      <w:r>
        <w:rPr>
          <w:rFonts w:ascii="Verdana" w:hAnsi="Verdana" w:cs="Tahoma"/>
          <w:sz w:val="20"/>
          <w:szCs w:val="20"/>
        </w:rPr>
        <w:t xml:space="preserve"> (ЗПЗП)</w:t>
      </w:r>
      <w:r w:rsidRPr="00B0681E">
        <w:rPr>
          <w:rFonts w:ascii="Verdana" w:hAnsi="Verdana" w:cs="Tahoma"/>
          <w:sz w:val="20"/>
          <w:szCs w:val="20"/>
          <w:lang w:eastAsia="en-US"/>
        </w:rPr>
        <w:t xml:space="preserve">, министърът на земеделието, храните и горите е компетентният непосредствено по – </w:t>
      </w:r>
      <w:proofErr w:type="spellStart"/>
      <w:r w:rsidRPr="00B0681E">
        <w:rPr>
          <w:rFonts w:ascii="Verdana" w:hAnsi="Verdana" w:cs="Tahoma"/>
          <w:sz w:val="20"/>
          <w:szCs w:val="20"/>
          <w:lang w:eastAsia="en-US"/>
        </w:rPr>
        <w:t>горестоящ</w:t>
      </w:r>
      <w:proofErr w:type="spellEnd"/>
      <w:r w:rsidRPr="00B0681E">
        <w:rPr>
          <w:rFonts w:ascii="Verdana" w:hAnsi="Verdana" w:cs="Tahoma"/>
          <w:sz w:val="20"/>
          <w:szCs w:val="20"/>
          <w:lang w:eastAsia="en-US"/>
        </w:rPr>
        <w:t xml:space="preserve"> административен орган при оспорването по административен ред на административни</w:t>
      </w:r>
      <w:r>
        <w:rPr>
          <w:rFonts w:ascii="Verdana" w:hAnsi="Verdana" w:cs="Tahoma"/>
          <w:sz w:val="20"/>
          <w:szCs w:val="20"/>
        </w:rPr>
        <w:t>те</w:t>
      </w:r>
      <w:r w:rsidRPr="00B0681E">
        <w:rPr>
          <w:rFonts w:ascii="Verdana" w:hAnsi="Verdana" w:cs="Tahoma"/>
          <w:sz w:val="20"/>
          <w:szCs w:val="20"/>
          <w:lang w:eastAsia="en-US"/>
        </w:rPr>
        <w:t xml:space="preserve"> актове, издавани при прилагането на тези закони.</w:t>
      </w:r>
      <w:r w:rsidRPr="00B0681E">
        <w:rPr>
          <w:rFonts w:ascii="Verdana" w:hAnsi="Verdana" w:cs="Tahoma"/>
          <w:sz w:val="20"/>
          <w:szCs w:val="20"/>
        </w:rPr>
        <w:t xml:space="preserve"> </w:t>
      </w:r>
      <w:r w:rsidRPr="00B0681E">
        <w:rPr>
          <w:rFonts w:ascii="Verdana" w:hAnsi="Verdana" w:cs="Tahoma"/>
          <w:sz w:val="20"/>
          <w:szCs w:val="20"/>
          <w:lang w:eastAsia="en-US"/>
        </w:rPr>
        <w:t xml:space="preserve">Неопределеността на срока за произнасяне на по - </w:t>
      </w:r>
      <w:proofErr w:type="spellStart"/>
      <w:r w:rsidRPr="00B0681E">
        <w:rPr>
          <w:rFonts w:ascii="Verdana" w:hAnsi="Verdana" w:cs="Tahoma"/>
          <w:sz w:val="20"/>
          <w:szCs w:val="20"/>
          <w:lang w:eastAsia="en-US"/>
        </w:rPr>
        <w:t>горестоящия</w:t>
      </w:r>
      <w:proofErr w:type="spellEnd"/>
      <w:r w:rsidRPr="00B0681E">
        <w:rPr>
          <w:rFonts w:ascii="Verdana" w:hAnsi="Verdana" w:cs="Tahoma"/>
          <w:sz w:val="20"/>
          <w:szCs w:val="20"/>
          <w:lang w:eastAsia="en-US"/>
        </w:rPr>
        <w:t xml:space="preserve"> административен орган и </w:t>
      </w:r>
      <w:r w:rsidRPr="00B0681E">
        <w:rPr>
          <w:rFonts w:ascii="Verdana" w:hAnsi="Verdana" w:cs="Tahoma"/>
          <w:sz w:val="20"/>
          <w:szCs w:val="20"/>
        </w:rPr>
        <w:t xml:space="preserve">възможността за </w:t>
      </w:r>
      <w:r w:rsidRPr="00B0681E">
        <w:rPr>
          <w:rFonts w:ascii="Verdana" w:hAnsi="Verdana" w:cs="Tahoma"/>
          <w:sz w:val="20"/>
          <w:szCs w:val="20"/>
          <w:lang w:eastAsia="en-US"/>
        </w:rPr>
        <w:t>обжалване пред съда в случаите, когато решението му е постановено след изтичане на срока за произнасяне</w:t>
      </w:r>
      <w:r>
        <w:rPr>
          <w:rFonts w:ascii="Verdana" w:hAnsi="Verdana" w:cs="Tahoma"/>
          <w:sz w:val="20"/>
          <w:szCs w:val="20"/>
        </w:rPr>
        <w:t>,</w:t>
      </w:r>
      <w:r w:rsidRPr="00B0681E">
        <w:rPr>
          <w:rFonts w:ascii="Verdana" w:hAnsi="Verdana" w:cs="Tahoma"/>
          <w:sz w:val="20"/>
          <w:szCs w:val="20"/>
        </w:rPr>
        <w:t xml:space="preserve"> има за</w:t>
      </w:r>
      <w:r w:rsidRPr="00B0681E">
        <w:rPr>
          <w:rFonts w:ascii="Verdana" w:hAnsi="Verdana" w:cs="Tahoma"/>
          <w:sz w:val="20"/>
          <w:szCs w:val="20"/>
          <w:lang w:eastAsia="en-US"/>
        </w:rPr>
        <w:t xml:space="preserve"> резултат отхвърляне на жалбата.</w:t>
      </w:r>
      <w:r w:rsidRPr="00B0681E">
        <w:rPr>
          <w:rFonts w:ascii="Verdana" w:hAnsi="Verdana" w:cs="Tahoma"/>
          <w:sz w:val="20"/>
          <w:szCs w:val="20"/>
        </w:rPr>
        <w:t xml:space="preserve"> </w:t>
      </w:r>
      <w:r w:rsidRPr="00B0681E">
        <w:rPr>
          <w:rFonts w:ascii="Verdana" w:hAnsi="Verdana" w:cs="Tahoma"/>
          <w:sz w:val="20"/>
          <w:szCs w:val="20"/>
          <w:lang w:eastAsia="en-US"/>
        </w:rPr>
        <w:t xml:space="preserve">В тази връзка и доколкото оспорването на административните актове по </w:t>
      </w:r>
      <w:r>
        <w:rPr>
          <w:rFonts w:ascii="Verdana" w:hAnsi="Verdana" w:cs="Tahoma"/>
          <w:sz w:val="20"/>
          <w:szCs w:val="20"/>
        </w:rPr>
        <w:t xml:space="preserve">административен </w:t>
      </w:r>
      <w:r w:rsidRPr="00B0681E">
        <w:rPr>
          <w:rFonts w:ascii="Verdana" w:hAnsi="Verdana" w:cs="Tahoma"/>
          <w:sz w:val="20"/>
          <w:szCs w:val="20"/>
          <w:lang w:eastAsia="en-US"/>
        </w:rPr>
        <w:t xml:space="preserve">ред не представлява процесуална предпоставка за упражняване на правото на съдебно оспорване, както и с оглед спазване на общите принципи за бързина, процесуална икономия и </w:t>
      </w:r>
      <w:proofErr w:type="spellStart"/>
      <w:r w:rsidRPr="00B0681E">
        <w:rPr>
          <w:rFonts w:ascii="Verdana" w:hAnsi="Verdana" w:cs="Tahoma"/>
          <w:sz w:val="20"/>
          <w:szCs w:val="20"/>
          <w:lang w:eastAsia="en-US"/>
        </w:rPr>
        <w:t>предвидимост</w:t>
      </w:r>
      <w:proofErr w:type="spellEnd"/>
      <w:r w:rsidRPr="00B0681E">
        <w:rPr>
          <w:rFonts w:ascii="Verdana" w:hAnsi="Verdana" w:cs="Tahoma"/>
          <w:sz w:val="20"/>
          <w:szCs w:val="20"/>
          <w:lang w:eastAsia="en-US"/>
        </w:rPr>
        <w:t>, е целесъобразно</w:t>
      </w:r>
      <w:r>
        <w:rPr>
          <w:rFonts w:ascii="Verdana" w:hAnsi="Verdana" w:cs="Tahoma"/>
          <w:sz w:val="20"/>
          <w:szCs w:val="20"/>
        </w:rPr>
        <w:t xml:space="preserve"> </w:t>
      </w:r>
      <w:r w:rsidRPr="00B0681E">
        <w:rPr>
          <w:rFonts w:ascii="Verdana" w:hAnsi="Verdana" w:cs="Tahoma"/>
          <w:sz w:val="20"/>
          <w:szCs w:val="20"/>
          <w:lang w:eastAsia="en-US"/>
        </w:rPr>
        <w:t xml:space="preserve">разпоредбата на чл. 2, ал. 3 да бъде отменена, а разпоредбата на чл. 29, ал. 3 от ЗПЗП да бъде изменена.    </w:t>
      </w:r>
      <w:bookmarkStart w:id="0" w:name="to_paragraph_id5763035"/>
      <w:bookmarkStart w:id="1" w:name="to_paragraph_id5762831"/>
      <w:bookmarkStart w:id="2" w:name="to_paragraph_id34689352"/>
      <w:bookmarkEnd w:id="0"/>
      <w:bookmarkEnd w:id="1"/>
      <w:bookmarkEnd w:id="2"/>
    </w:p>
    <w:p w:rsidR="00A42B51" w:rsidRPr="007448E4" w:rsidRDefault="00A42B51" w:rsidP="00A42B51">
      <w:pPr>
        <w:spacing w:line="360" w:lineRule="auto"/>
        <w:ind w:firstLine="709"/>
        <w:jc w:val="both"/>
        <w:rPr>
          <w:rFonts w:ascii="Verdana" w:hAnsi="Verdana" w:cs="Tahoma"/>
          <w:sz w:val="20"/>
          <w:szCs w:val="20"/>
        </w:rPr>
      </w:pPr>
      <w:r>
        <w:rPr>
          <w:rFonts w:ascii="Verdana" w:hAnsi="Verdana" w:cs="Tahoma"/>
          <w:sz w:val="20"/>
          <w:szCs w:val="20"/>
        </w:rPr>
        <w:t xml:space="preserve">Включеното в закона допълнение на Закона за водите произтича от </w:t>
      </w:r>
      <w:r w:rsidRPr="007448E4">
        <w:rPr>
          <w:rFonts w:ascii="Verdana" w:hAnsi="Verdana" w:cs="Tahoma"/>
          <w:sz w:val="20"/>
          <w:szCs w:val="20"/>
        </w:rPr>
        <w:t>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Pr>
          <w:rFonts w:ascii="Verdana" w:hAnsi="Verdana" w:cs="Tahoma"/>
          <w:sz w:val="20"/>
          <w:szCs w:val="20"/>
        </w:rPr>
        <w:t>, което</w:t>
      </w:r>
      <w:r w:rsidRPr="007448E4">
        <w:rPr>
          <w:rFonts w:ascii="Verdana" w:hAnsi="Verdana" w:cs="Tahoma"/>
          <w:sz w:val="20"/>
          <w:szCs w:val="20"/>
        </w:rPr>
        <w:t xml:space="preserve"> допуска в размера на компенсацията да се включи и разумна печалба. </w:t>
      </w:r>
      <w:r>
        <w:rPr>
          <w:rFonts w:ascii="Verdana" w:hAnsi="Verdana" w:cs="Tahoma"/>
          <w:sz w:val="20"/>
          <w:szCs w:val="20"/>
        </w:rPr>
        <w:t>Т</w:t>
      </w:r>
      <w:r w:rsidRPr="007448E4">
        <w:rPr>
          <w:rFonts w:ascii="Verdana" w:hAnsi="Verdana" w:cs="Tahoma"/>
          <w:sz w:val="20"/>
          <w:szCs w:val="20"/>
        </w:rPr>
        <w:t xml:space="preserve">ози </w:t>
      </w:r>
      <w:r>
        <w:rPr>
          <w:rFonts w:ascii="Verdana" w:hAnsi="Verdana" w:cs="Tahoma"/>
          <w:sz w:val="20"/>
          <w:szCs w:val="20"/>
        </w:rPr>
        <w:t xml:space="preserve">случа </w:t>
      </w:r>
      <w:r w:rsidRPr="007448E4">
        <w:rPr>
          <w:rFonts w:ascii="Verdana" w:hAnsi="Verdana" w:cs="Tahoma"/>
          <w:sz w:val="20"/>
          <w:szCs w:val="20"/>
        </w:rPr>
        <w:t>не е уреден</w:t>
      </w:r>
      <w:r>
        <w:rPr>
          <w:rFonts w:ascii="Verdana" w:hAnsi="Verdana" w:cs="Tahoma"/>
          <w:sz w:val="20"/>
          <w:szCs w:val="20"/>
        </w:rPr>
        <w:t xml:space="preserve"> законодателно</w:t>
      </w:r>
      <w:r w:rsidRPr="007448E4">
        <w:rPr>
          <w:rFonts w:ascii="Verdana" w:hAnsi="Verdana" w:cs="Tahoma"/>
          <w:sz w:val="20"/>
          <w:szCs w:val="20"/>
        </w:rPr>
        <w:t xml:space="preserve">, а на практика дружеството на което е възложена защитата от вредното въздействие на водите е възможно да генерира печалба при извършването на </w:t>
      </w:r>
      <w:r>
        <w:rPr>
          <w:rFonts w:ascii="Verdana" w:hAnsi="Verdana" w:cs="Tahoma"/>
          <w:sz w:val="20"/>
          <w:szCs w:val="20"/>
        </w:rPr>
        <w:t xml:space="preserve">тази </w:t>
      </w:r>
      <w:r w:rsidRPr="007448E4">
        <w:rPr>
          <w:rFonts w:ascii="Verdana" w:hAnsi="Verdana" w:cs="Tahoma"/>
          <w:sz w:val="20"/>
          <w:szCs w:val="20"/>
        </w:rPr>
        <w:t xml:space="preserve">дейност. Това налага да се </w:t>
      </w:r>
      <w:r>
        <w:rPr>
          <w:rFonts w:ascii="Verdana" w:hAnsi="Verdana" w:cs="Tahoma"/>
          <w:sz w:val="20"/>
          <w:szCs w:val="20"/>
        </w:rPr>
        <w:t xml:space="preserve">запълни </w:t>
      </w:r>
      <w:r w:rsidRPr="007448E4">
        <w:rPr>
          <w:rFonts w:ascii="Verdana" w:hAnsi="Verdana" w:cs="Tahoma"/>
          <w:sz w:val="20"/>
          <w:szCs w:val="20"/>
        </w:rPr>
        <w:t xml:space="preserve">нормативната празнота. Също така </w:t>
      </w:r>
      <w:r>
        <w:rPr>
          <w:rFonts w:ascii="Verdana" w:hAnsi="Verdana" w:cs="Tahoma"/>
          <w:sz w:val="20"/>
          <w:szCs w:val="20"/>
        </w:rPr>
        <w:t xml:space="preserve">следва да </w:t>
      </w:r>
      <w:r w:rsidRPr="007448E4">
        <w:rPr>
          <w:rFonts w:ascii="Verdana" w:hAnsi="Verdana" w:cs="Tahoma"/>
          <w:sz w:val="20"/>
          <w:szCs w:val="20"/>
        </w:rPr>
        <w:t xml:space="preserve">се прецизират задълженията на </w:t>
      </w:r>
      <w:proofErr w:type="spellStart"/>
      <w:r w:rsidRPr="007448E4">
        <w:rPr>
          <w:rFonts w:ascii="Verdana" w:hAnsi="Verdana" w:cs="Tahoma"/>
          <w:sz w:val="20"/>
          <w:szCs w:val="20"/>
        </w:rPr>
        <w:t>одитора</w:t>
      </w:r>
      <w:proofErr w:type="spellEnd"/>
      <w:r w:rsidRPr="007448E4">
        <w:rPr>
          <w:rFonts w:ascii="Verdana" w:hAnsi="Verdana" w:cs="Tahoma"/>
          <w:sz w:val="20"/>
          <w:szCs w:val="20"/>
        </w:rPr>
        <w:t xml:space="preserve">, който проверява отчета за нетните разходи и свързаните с него документи на дружеството и </w:t>
      </w:r>
      <w:r>
        <w:rPr>
          <w:rFonts w:ascii="Verdana" w:hAnsi="Verdana" w:cs="Tahoma"/>
          <w:sz w:val="20"/>
          <w:szCs w:val="20"/>
        </w:rPr>
        <w:t xml:space="preserve">може </w:t>
      </w:r>
      <w:r w:rsidRPr="007448E4">
        <w:rPr>
          <w:rFonts w:ascii="Verdana" w:hAnsi="Verdana" w:cs="Tahoma"/>
          <w:sz w:val="20"/>
          <w:szCs w:val="20"/>
        </w:rPr>
        <w:t xml:space="preserve">да </w:t>
      </w:r>
      <w:proofErr w:type="spellStart"/>
      <w:r w:rsidRPr="007448E4">
        <w:rPr>
          <w:rFonts w:ascii="Verdana" w:hAnsi="Verdana" w:cs="Tahoma"/>
          <w:sz w:val="20"/>
          <w:szCs w:val="20"/>
        </w:rPr>
        <w:t>преизчисли</w:t>
      </w:r>
      <w:proofErr w:type="spellEnd"/>
      <w:r w:rsidRPr="007448E4">
        <w:rPr>
          <w:rFonts w:ascii="Verdana" w:hAnsi="Verdana" w:cs="Tahoma"/>
          <w:sz w:val="20"/>
          <w:szCs w:val="20"/>
        </w:rPr>
        <w:t xml:space="preserve"> размера на компенсацията и на разумната печалба, когато те не са изчислени правилно.</w:t>
      </w:r>
      <w:r>
        <w:rPr>
          <w:rFonts w:ascii="Verdana" w:hAnsi="Verdana" w:cs="Tahoma"/>
          <w:sz w:val="20"/>
          <w:szCs w:val="20"/>
        </w:rPr>
        <w:t xml:space="preserve"> С преходна разпоредба е уредено </w:t>
      </w:r>
      <w:r w:rsidRPr="00E06A81">
        <w:rPr>
          <w:rFonts w:ascii="Verdana" w:hAnsi="Verdana" w:cs="Tahoma"/>
          <w:sz w:val="20"/>
          <w:szCs w:val="20"/>
        </w:rPr>
        <w:t>възстановяването до края на 2019 г. на "Напоителни системи" – ЕАД на остатъкът от средствата за 2014 г</w:t>
      </w:r>
      <w:r>
        <w:rPr>
          <w:rFonts w:ascii="Verdana" w:hAnsi="Verdana" w:cs="Tahoma"/>
          <w:sz w:val="20"/>
          <w:szCs w:val="20"/>
        </w:rPr>
        <w:t xml:space="preserve">. </w:t>
      </w:r>
      <w:r w:rsidRPr="00E06A81">
        <w:rPr>
          <w:rFonts w:ascii="Verdana" w:hAnsi="Verdana" w:cs="Tahoma"/>
          <w:sz w:val="20"/>
          <w:szCs w:val="20"/>
        </w:rPr>
        <w:t>за извършената обществена услуга за защита от вредното въздействие на водите за периода 2011-2013 г., неизплатени през 2014 г., чрез бюджета на Министерството на земеделието, храните и горите.</w:t>
      </w:r>
    </w:p>
    <w:p w:rsidR="00CD5F32" w:rsidRPr="00CD5F32" w:rsidRDefault="00CD5F32" w:rsidP="00CD5F32">
      <w:pPr>
        <w:spacing w:line="360" w:lineRule="auto"/>
        <w:ind w:firstLine="709"/>
        <w:jc w:val="both"/>
        <w:rPr>
          <w:rFonts w:ascii="Verdana" w:hAnsi="Verdana" w:cs="Tahoma"/>
          <w:sz w:val="20"/>
          <w:szCs w:val="20"/>
        </w:rPr>
      </w:pPr>
      <w:r w:rsidRPr="00CD5F32">
        <w:rPr>
          <w:rFonts w:ascii="Verdana" w:hAnsi="Verdana" w:cs="Tahoma"/>
          <w:sz w:val="20"/>
          <w:szCs w:val="20"/>
        </w:rPr>
        <w:t>Измененията в Закона за Центъра за оценка на риска по хранителната верига произтичат от отпадане на необходимостта от издаване на наредба на Министерския съвет.</w:t>
      </w:r>
    </w:p>
    <w:p w:rsidR="002970F5" w:rsidRPr="007448E4" w:rsidRDefault="00CD5F32" w:rsidP="00CD5F32">
      <w:pPr>
        <w:spacing w:line="360" w:lineRule="auto"/>
        <w:ind w:firstLine="709"/>
        <w:jc w:val="both"/>
        <w:rPr>
          <w:rFonts w:ascii="Verdana" w:hAnsi="Verdana" w:cs="Tahoma"/>
          <w:sz w:val="20"/>
          <w:szCs w:val="20"/>
        </w:rPr>
      </w:pPr>
      <w:r w:rsidRPr="00CD5F32">
        <w:rPr>
          <w:rFonts w:ascii="Verdana" w:hAnsi="Verdana" w:cs="Tahoma"/>
          <w:sz w:val="20"/>
          <w:szCs w:val="20"/>
        </w:rPr>
        <w:lastRenderedPageBreak/>
        <w:t>Допълненията в чл. 38 от Закона за тютюна, тютюневите и свързаните с тях изделия произтичат от необходимостта да се разпишат хипотези, в които действието на разрешенията се прекратява.</w:t>
      </w:r>
    </w:p>
    <w:p w:rsidR="00493AA7" w:rsidRPr="000A51BE" w:rsidRDefault="00493AA7" w:rsidP="000A51BE">
      <w:pPr>
        <w:spacing w:line="360" w:lineRule="auto"/>
        <w:ind w:firstLine="360"/>
        <w:jc w:val="both"/>
        <w:rPr>
          <w:rFonts w:ascii="Verdana" w:hAnsi="Verdana"/>
          <w:sz w:val="20"/>
          <w:szCs w:val="20"/>
        </w:rPr>
      </w:pPr>
      <w:r w:rsidRPr="000A51BE">
        <w:rPr>
          <w:rFonts w:ascii="Verdana" w:hAnsi="Verdana"/>
          <w:sz w:val="20"/>
          <w:szCs w:val="20"/>
        </w:rPr>
        <w:t xml:space="preserve">Приемането на новия закон ще бъде нормативна основа за постигане на следните </w:t>
      </w:r>
      <w:r w:rsidRPr="000A51BE">
        <w:rPr>
          <w:rFonts w:ascii="Verdana" w:hAnsi="Verdana"/>
          <w:b/>
          <w:sz w:val="20"/>
          <w:szCs w:val="20"/>
        </w:rPr>
        <w:t>цели</w:t>
      </w:r>
      <w:r w:rsidRPr="000A51BE">
        <w:rPr>
          <w:rFonts w:ascii="Verdana" w:hAnsi="Verdana"/>
          <w:sz w:val="20"/>
          <w:szCs w:val="20"/>
        </w:rPr>
        <w:t>:</w:t>
      </w:r>
    </w:p>
    <w:p w:rsidR="00493AA7" w:rsidRPr="000A51BE" w:rsidRDefault="00493AA7" w:rsidP="000A51BE">
      <w:pPr>
        <w:numPr>
          <w:ilvl w:val="0"/>
          <w:numId w:val="2"/>
        </w:numPr>
        <w:spacing w:line="360" w:lineRule="auto"/>
        <w:jc w:val="both"/>
        <w:rPr>
          <w:rFonts w:ascii="Verdana" w:hAnsi="Verdana"/>
          <w:sz w:val="20"/>
          <w:szCs w:val="20"/>
        </w:rPr>
      </w:pPr>
      <w:r w:rsidRPr="000A51BE">
        <w:rPr>
          <w:rFonts w:ascii="Verdana" w:hAnsi="Verdana"/>
          <w:sz w:val="20"/>
          <w:szCs w:val="20"/>
        </w:rPr>
        <w:t>Цялостно и точно прилагане на национално ниво на мерките включени в Общата организация на пазара на ЕС.</w:t>
      </w:r>
    </w:p>
    <w:p w:rsidR="005C412B" w:rsidRPr="000A51BE" w:rsidRDefault="005C412B" w:rsidP="000A51BE">
      <w:pPr>
        <w:numPr>
          <w:ilvl w:val="0"/>
          <w:numId w:val="2"/>
        </w:numPr>
        <w:spacing w:line="360" w:lineRule="auto"/>
        <w:jc w:val="both"/>
        <w:rPr>
          <w:rFonts w:ascii="Verdana" w:hAnsi="Verdana"/>
          <w:sz w:val="20"/>
          <w:szCs w:val="20"/>
        </w:rPr>
      </w:pPr>
      <w:r w:rsidRPr="000A51BE">
        <w:rPr>
          <w:rFonts w:ascii="Verdana" w:hAnsi="Verdana"/>
          <w:sz w:val="20"/>
          <w:szCs w:val="20"/>
        </w:rPr>
        <w:t>Оптимизиране на дейността на административните структури ангажирани с прилагането на схемите и мерките на Общата организация на пазара.</w:t>
      </w:r>
    </w:p>
    <w:p w:rsidR="00493AA7" w:rsidRPr="000A51BE" w:rsidRDefault="00493AA7" w:rsidP="000A51BE">
      <w:pPr>
        <w:numPr>
          <w:ilvl w:val="0"/>
          <w:numId w:val="2"/>
        </w:numPr>
        <w:spacing w:line="360" w:lineRule="auto"/>
        <w:jc w:val="both"/>
        <w:rPr>
          <w:rFonts w:ascii="Verdana" w:hAnsi="Verdana"/>
          <w:sz w:val="20"/>
          <w:szCs w:val="20"/>
        </w:rPr>
      </w:pPr>
      <w:r w:rsidRPr="000A51BE">
        <w:rPr>
          <w:rFonts w:ascii="Verdana" w:hAnsi="Verdana"/>
          <w:sz w:val="20"/>
          <w:szCs w:val="20"/>
        </w:rPr>
        <w:t>Развитие на биологичното земеделие в България, като един от приоритетите на политиката на Министерство на земеделието, храните и горите.</w:t>
      </w:r>
    </w:p>
    <w:p w:rsidR="00493AA7" w:rsidRPr="000A51BE" w:rsidRDefault="005C412B" w:rsidP="000A51BE">
      <w:pPr>
        <w:numPr>
          <w:ilvl w:val="0"/>
          <w:numId w:val="2"/>
        </w:numPr>
        <w:spacing w:line="360" w:lineRule="auto"/>
        <w:jc w:val="both"/>
        <w:rPr>
          <w:rFonts w:ascii="Verdana" w:hAnsi="Verdana"/>
          <w:sz w:val="20"/>
          <w:szCs w:val="20"/>
        </w:rPr>
      </w:pPr>
      <w:r w:rsidRPr="000A51BE">
        <w:rPr>
          <w:rFonts w:ascii="Verdana" w:hAnsi="Verdana"/>
          <w:sz w:val="20"/>
          <w:szCs w:val="20"/>
        </w:rPr>
        <w:t>Изпълнение на препоръките на Европейската комисия свързани с подобряване на системата за контрол върху биологичното производство на земеделски и хранители продукти.</w:t>
      </w:r>
    </w:p>
    <w:p w:rsidR="005C412B" w:rsidRPr="000A51BE" w:rsidRDefault="005C412B" w:rsidP="000A51BE">
      <w:pPr>
        <w:numPr>
          <w:ilvl w:val="0"/>
          <w:numId w:val="2"/>
        </w:numPr>
        <w:spacing w:line="360" w:lineRule="auto"/>
        <w:jc w:val="both"/>
        <w:rPr>
          <w:rFonts w:ascii="Verdana" w:hAnsi="Verdana"/>
          <w:sz w:val="20"/>
          <w:szCs w:val="20"/>
        </w:rPr>
      </w:pPr>
      <w:r w:rsidRPr="000A51BE">
        <w:rPr>
          <w:rFonts w:ascii="Verdana" w:hAnsi="Verdana"/>
          <w:sz w:val="20"/>
          <w:szCs w:val="20"/>
        </w:rPr>
        <w:t xml:space="preserve">Изграждане на система за събиране на информация за производството, наличностите и цените на захар и </w:t>
      </w:r>
      <w:proofErr w:type="spellStart"/>
      <w:r w:rsidRPr="000A51BE">
        <w:rPr>
          <w:rFonts w:ascii="Verdana" w:hAnsi="Verdana"/>
          <w:sz w:val="20"/>
          <w:szCs w:val="20"/>
        </w:rPr>
        <w:t>изоглюкоза</w:t>
      </w:r>
      <w:proofErr w:type="spellEnd"/>
      <w:r w:rsidRPr="000A51BE">
        <w:rPr>
          <w:rFonts w:ascii="Verdana" w:hAnsi="Verdana"/>
          <w:sz w:val="20"/>
          <w:szCs w:val="20"/>
        </w:rPr>
        <w:t xml:space="preserve"> и за упражняване на контрол на подаването и достоверността на информацията, съгласно правото на ЕС.</w:t>
      </w:r>
    </w:p>
    <w:p w:rsidR="005C412B" w:rsidRPr="000A51BE" w:rsidRDefault="005C412B" w:rsidP="000A51BE">
      <w:pPr>
        <w:numPr>
          <w:ilvl w:val="0"/>
          <w:numId w:val="2"/>
        </w:numPr>
        <w:spacing w:line="360" w:lineRule="auto"/>
        <w:jc w:val="both"/>
        <w:rPr>
          <w:rFonts w:ascii="Verdana" w:hAnsi="Verdana"/>
          <w:sz w:val="20"/>
          <w:szCs w:val="20"/>
        </w:rPr>
      </w:pPr>
      <w:r w:rsidRPr="000A51BE">
        <w:rPr>
          <w:rFonts w:ascii="Verdana" w:hAnsi="Verdana"/>
          <w:sz w:val="20"/>
          <w:szCs w:val="20"/>
        </w:rPr>
        <w:t>Осигуряване прилагането на схемата за предоставяна на плодове и зеленчуци, мляко и млечни продукти на децата и учениците.</w:t>
      </w:r>
    </w:p>
    <w:p w:rsidR="005C412B" w:rsidRPr="000A51BE" w:rsidRDefault="005C412B" w:rsidP="000A51BE">
      <w:pPr>
        <w:numPr>
          <w:ilvl w:val="0"/>
          <w:numId w:val="2"/>
        </w:numPr>
        <w:spacing w:line="360" w:lineRule="auto"/>
        <w:jc w:val="both"/>
        <w:rPr>
          <w:rFonts w:ascii="Verdana" w:hAnsi="Verdana"/>
          <w:sz w:val="20"/>
          <w:szCs w:val="20"/>
        </w:rPr>
      </w:pPr>
      <w:r w:rsidRPr="000A51BE">
        <w:rPr>
          <w:rFonts w:ascii="Verdana" w:hAnsi="Verdana"/>
          <w:sz w:val="20"/>
          <w:szCs w:val="20"/>
        </w:rPr>
        <w:t>Провеждането на ефективен мониторинг на пазара на зърно и изготвяне на точни зърнени баланси.</w:t>
      </w:r>
    </w:p>
    <w:p w:rsidR="00E3116A" w:rsidRPr="000A51BE" w:rsidRDefault="00E3116A" w:rsidP="000A51BE">
      <w:pPr>
        <w:spacing w:line="360" w:lineRule="auto"/>
        <w:ind w:firstLine="360"/>
        <w:jc w:val="both"/>
        <w:rPr>
          <w:rFonts w:ascii="Verdana" w:hAnsi="Verdana"/>
          <w:sz w:val="20"/>
          <w:szCs w:val="20"/>
          <w:lang w:val="be-BY"/>
        </w:rPr>
      </w:pPr>
    </w:p>
    <w:p w:rsidR="005E5B6E" w:rsidRDefault="00D137D5" w:rsidP="000A51BE">
      <w:pPr>
        <w:spacing w:line="360" w:lineRule="auto"/>
        <w:ind w:firstLine="567"/>
        <w:jc w:val="both"/>
        <w:rPr>
          <w:rFonts w:ascii="Verdana" w:hAnsi="Verdana"/>
          <w:sz w:val="20"/>
          <w:szCs w:val="20"/>
        </w:rPr>
      </w:pPr>
      <w:r w:rsidRPr="00D137D5">
        <w:rPr>
          <w:rFonts w:ascii="Verdana" w:hAnsi="Verdana"/>
          <w:sz w:val="20"/>
          <w:szCs w:val="20"/>
        </w:rPr>
        <w:t xml:space="preserve">Промените, произтичащи от Закон за изменение и допълнение на Закона за прилагане на Общата организация на пазарите на земеделски продукти на Европейския съюз не изискват осигуряването на допълнителен </w:t>
      </w:r>
      <w:r w:rsidRPr="00D137D5">
        <w:rPr>
          <w:rFonts w:ascii="Verdana" w:hAnsi="Verdana"/>
          <w:b/>
          <w:sz w:val="20"/>
          <w:szCs w:val="20"/>
        </w:rPr>
        <w:t>финансов ресурс</w:t>
      </w:r>
      <w:r w:rsidRPr="00D137D5">
        <w:rPr>
          <w:rFonts w:ascii="Verdana" w:hAnsi="Verdana"/>
          <w:sz w:val="20"/>
          <w:szCs w:val="20"/>
        </w:rPr>
        <w:t xml:space="preserve"> и ще бъдат в рамките на утвърдения бюджет за съответната година на Държавен фонд „Земеделие“ и Министерството на земеделието храните и горите. Новите изисквания на закон не налагат допълнителни разходи за неговите адресати.</w:t>
      </w:r>
    </w:p>
    <w:p w:rsidR="00D137D5" w:rsidRPr="000A51BE" w:rsidRDefault="00D137D5" w:rsidP="000A51BE">
      <w:pPr>
        <w:spacing w:line="360" w:lineRule="auto"/>
        <w:ind w:firstLine="567"/>
        <w:jc w:val="both"/>
        <w:rPr>
          <w:rFonts w:ascii="Verdana" w:hAnsi="Verdana"/>
          <w:sz w:val="20"/>
          <w:szCs w:val="20"/>
        </w:rPr>
      </w:pPr>
    </w:p>
    <w:p w:rsidR="005D086C" w:rsidRPr="000A51BE" w:rsidRDefault="005D086C" w:rsidP="000A51BE">
      <w:pPr>
        <w:spacing w:line="360" w:lineRule="auto"/>
        <w:ind w:firstLine="567"/>
        <w:jc w:val="both"/>
        <w:rPr>
          <w:rFonts w:ascii="Verdana" w:hAnsi="Verdana"/>
          <w:sz w:val="20"/>
          <w:szCs w:val="20"/>
        </w:rPr>
      </w:pPr>
      <w:r w:rsidRPr="000A51BE">
        <w:rPr>
          <w:rFonts w:ascii="Verdana" w:hAnsi="Verdana"/>
          <w:sz w:val="20"/>
          <w:szCs w:val="20"/>
        </w:rPr>
        <w:t xml:space="preserve">От прилагането на Закона за изменение и допълнение на Закона за прилагане на общите организации на пазарите на земеделски продукти на Европейския съюз се очакват следните </w:t>
      </w:r>
      <w:r w:rsidRPr="000A51BE">
        <w:rPr>
          <w:rFonts w:ascii="Verdana" w:hAnsi="Verdana"/>
          <w:b/>
          <w:sz w:val="20"/>
          <w:szCs w:val="20"/>
        </w:rPr>
        <w:t>по-важни резултати</w:t>
      </w:r>
      <w:r w:rsidRPr="000A51BE">
        <w:rPr>
          <w:rFonts w:ascii="Verdana" w:hAnsi="Verdana"/>
          <w:sz w:val="20"/>
          <w:szCs w:val="20"/>
        </w:rPr>
        <w:t>:</w:t>
      </w:r>
    </w:p>
    <w:p w:rsidR="005D086C" w:rsidRPr="000A51BE" w:rsidRDefault="005D086C" w:rsidP="000A51BE">
      <w:pPr>
        <w:spacing w:line="360" w:lineRule="auto"/>
        <w:ind w:firstLine="567"/>
        <w:jc w:val="both"/>
        <w:rPr>
          <w:rFonts w:ascii="Verdana" w:hAnsi="Verdana"/>
          <w:sz w:val="20"/>
          <w:szCs w:val="20"/>
        </w:rPr>
      </w:pPr>
      <w:r w:rsidRPr="000A51BE">
        <w:rPr>
          <w:rFonts w:ascii="Verdana" w:hAnsi="Verdana"/>
          <w:sz w:val="20"/>
          <w:szCs w:val="20"/>
        </w:rPr>
        <w:t>1. Осигуряване на пълно съответствие на българското законодателство с изискванията на регламентите на ЕС.</w:t>
      </w:r>
    </w:p>
    <w:p w:rsidR="005D086C" w:rsidRPr="000A51BE" w:rsidRDefault="005D086C" w:rsidP="000A51BE">
      <w:pPr>
        <w:spacing w:line="360" w:lineRule="auto"/>
        <w:ind w:firstLine="567"/>
        <w:jc w:val="both"/>
        <w:rPr>
          <w:rFonts w:ascii="Verdana" w:hAnsi="Verdana"/>
          <w:sz w:val="20"/>
          <w:szCs w:val="20"/>
        </w:rPr>
      </w:pPr>
      <w:r w:rsidRPr="000A51BE">
        <w:rPr>
          <w:rFonts w:ascii="Verdana" w:hAnsi="Verdana"/>
          <w:sz w:val="20"/>
          <w:szCs w:val="20"/>
        </w:rPr>
        <w:t>2. Подобряване на административния капацитет за прилагане на пазарните мерки включени в ООП на ЕС</w:t>
      </w:r>
    </w:p>
    <w:p w:rsidR="005D086C" w:rsidRPr="000A51BE" w:rsidRDefault="005D086C" w:rsidP="000A51BE">
      <w:pPr>
        <w:spacing w:line="360" w:lineRule="auto"/>
        <w:ind w:firstLine="567"/>
        <w:jc w:val="both"/>
        <w:rPr>
          <w:rFonts w:ascii="Verdana" w:hAnsi="Verdana"/>
          <w:sz w:val="20"/>
          <w:szCs w:val="20"/>
        </w:rPr>
      </w:pPr>
      <w:r w:rsidRPr="000A51BE">
        <w:rPr>
          <w:rFonts w:ascii="Verdana" w:hAnsi="Verdana"/>
          <w:sz w:val="20"/>
          <w:szCs w:val="20"/>
        </w:rPr>
        <w:lastRenderedPageBreak/>
        <w:t>3. Усвоя</w:t>
      </w:r>
      <w:bookmarkStart w:id="3" w:name="_GoBack"/>
      <w:bookmarkEnd w:id="3"/>
      <w:r w:rsidRPr="000A51BE">
        <w:rPr>
          <w:rFonts w:ascii="Verdana" w:hAnsi="Verdana"/>
          <w:sz w:val="20"/>
          <w:szCs w:val="20"/>
        </w:rPr>
        <w:t>ване на по-голям финансов ресурс при прилагане на мерките за пазарна подкрепа.</w:t>
      </w:r>
    </w:p>
    <w:p w:rsidR="005D086C" w:rsidRPr="000A51BE" w:rsidRDefault="005D086C" w:rsidP="000A51BE">
      <w:pPr>
        <w:spacing w:line="360" w:lineRule="auto"/>
        <w:ind w:firstLine="567"/>
        <w:jc w:val="both"/>
        <w:rPr>
          <w:rFonts w:ascii="Verdana" w:hAnsi="Verdana"/>
          <w:sz w:val="20"/>
          <w:szCs w:val="20"/>
        </w:rPr>
      </w:pPr>
      <w:r w:rsidRPr="000A51BE">
        <w:rPr>
          <w:rFonts w:ascii="Verdana" w:hAnsi="Verdana"/>
          <w:sz w:val="20"/>
          <w:szCs w:val="20"/>
        </w:rPr>
        <w:t xml:space="preserve">4. Запазване на положителните тенденции, свързани с увеличаване на броя на операторите и размера на площите, включени в системата на контрол на биологичното земеделие, както и нарастване на видовото разнообразие на отглежданите по биологичен начин култури и селскостопански животни.  </w:t>
      </w:r>
    </w:p>
    <w:p w:rsidR="005D086C" w:rsidRDefault="005D086C" w:rsidP="000A51BE">
      <w:pPr>
        <w:spacing w:line="360" w:lineRule="auto"/>
        <w:ind w:firstLine="567"/>
        <w:jc w:val="both"/>
        <w:rPr>
          <w:rFonts w:ascii="Verdana" w:hAnsi="Verdana"/>
          <w:sz w:val="20"/>
          <w:szCs w:val="20"/>
        </w:rPr>
      </w:pPr>
      <w:r w:rsidRPr="000A51BE">
        <w:rPr>
          <w:rFonts w:ascii="Verdana" w:hAnsi="Verdana"/>
          <w:sz w:val="20"/>
          <w:szCs w:val="20"/>
        </w:rPr>
        <w:t>5. Намаляване на тежестта върху бизнеса при прилагане на общата организация на пазарите на земеделски продукти.</w:t>
      </w:r>
    </w:p>
    <w:p w:rsidR="00D137D5" w:rsidRPr="000A51BE" w:rsidRDefault="00D137D5" w:rsidP="000A51BE">
      <w:pPr>
        <w:spacing w:line="360" w:lineRule="auto"/>
        <w:ind w:firstLine="567"/>
        <w:jc w:val="both"/>
        <w:rPr>
          <w:rFonts w:ascii="Verdana" w:hAnsi="Verdana"/>
          <w:sz w:val="20"/>
          <w:szCs w:val="20"/>
        </w:rPr>
      </w:pP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xml:space="preserve">С приемането на </w:t>
      </w:r>
      <w:r w:rsidRPr="000A51BE">
        <w:rPr>
          <w:rFonts w:ascii="Verdana" w:hAnsi="Verdana"/>
          <w:sz w:val="20"/>
          <w:szCs w:val="20"/>
        </w:rPr>
        <w:t xml:space="preserve">Закона за изменение и допълнение на Закона за прилагане на общите организации на пазарите на земеделски продукти на Европейския съюз </w:t>
      </w:r>
      <w:r w:rsidRPr="00D137D5">
        <w:rPr>
          <w:rFonts w:ascii="Verdana" w:hAnsi="Verdana"/>
          <w:sz w:val="20"/>
          <w:szCs w:val="20"/>
        </w:rPr>
        <w:t xml:space="preserve">ще се осигури прилагането на следните </w:t>
      </w:r>
      <w:r w:rsidRPr="00D137D5">
        <w:rPr>
          <w:rFonts w:ascii="Verdana" w:hAnsi="Verdana"/>
          <w:b/>
          <w:sz w:val="20"/>
          <w:szCs w:val="20"/>
        </w:rPr>
        <w:t>актове на Европейския съюз</w:t>
      </w:r>
      <w:r w:rsidRPr="00D137D5">
        <w:rPr>
          <w:rFonts w:ascii="Verdana" w:hAnsi="Verdana"/>
          <w:sz w:val="20"/>
          <w:szCs w:val="20"/>
        </w:rPr>
        <w:t>:</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Делегиран регламент (ЕС) 2016/1237 на Комисията от 18 май 2016 година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за изпълнение (ЕС) 2016/1239 на Комисията от 18 май 2016 година за определяне на правила за прилагането на Регламент (ЕС) № 1308/2013 на Европейския парламент и на Съвета по отношение на системата за лицензии за внос и износ.</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за изпълнение (ЕС)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(ЕО) № 891/2009 на Комисията от 25 септември 2009 година за откриване и управление на някои тарифни квоти на Общността в сектора на захарта.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lastRenderedPageBreak/>
        <w:t>-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Делегиран регламент (ЕС) 2016/1238 на Комисията от 18 май 2016 година за допълване на Регламент (ЕС) № 1308/2013 на Европейския парламент и на Съвета по отношение на публичната интервенция и помощта за частно складиране.</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за изпълнение (ЕС) 2016/1240 на Комисията от 18 май 2016 година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(ЕО) № 3/2008 на Съвета от 17 декември 2007 година относно действията за информиране и насърчаване, свързани със селскостопанските продукти на вътрешния пазар и в трети страни.</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(ЕО) № 501/2008 на Комисията от 5 юни 2008 година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w:t>
      </w:r>
    </w:p>
    <w:p w:rsidR="00D137D5" w:rsidRPr="00D137D5" w:rsidRDefault="00D137D5" w:rsidP="00D137D5">
      <w:pPr>
        <w:spacing w:line="360" w:lineRule="auto"/>
        <w:ind w:firstLine="567"/>
        <w:jc w:val="both"/>
        <w:rPr>
          <w:rFonts w:ascii="Verdana" w:hAnsi="Verdana"/>
          <w:sz w:val="20"/>
          <w:szCs w:val="20"/>
        </w:rPr>
      </w:pPr>
      <w:r w:rsidRPr="00D137D5">
        <w:rPr>
          <w:rFonts w:ascii="Verdana" w:hAnsi="Verdana"/>
          <w:sz w:val="20"/>
          <w:szCs w:val="20"/>
        </w:rPr>
        <w:t>- Регламент за изпълнение (ЕС) 2017/39 на Комисията от 3 ноември 2016 година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w:t>
      </w:r>
    </w:p>
    <w:p w:rsidR="001D0C9A" w:rsidRPr="000A51BE" w:rsidRDefault="001D0C9A" w:rsidP="000A51BE">
      <w:pPr>
        <w:spacing w:line="360" w:lineRule="auto"/>
        <w:ind w:firstLine="360"/>
        <w:jc w:val="both"/>
        <w:rPr>
          <w:rFonts w:ascii="Verdana" w:hAnsi="Verdana"/>
          <w:sz w:val="20"/>
          <w:szCs w:val="20"/>
        </w:rPr>
      </w:pPr>
    </w:p>
    <w:p w:rsidR="001D0C9A" w:rsidRPr="000A51BE" w:rsidRDefault="001D0C9A" w:rsidP="000A51BE">
      <w:pPr>
        <w:spacing w:line="360" w:lineRule="auto"/>
        <w:ind w:firstLine="360"/>
        <w:jc w:val="both"/>
        <w:rPr>
          <w:rFonts w:ascii="Verdana" w:hAnsi="Verdana"/>
          <w:sz w:val="20"/>
          <w:szCs w:val="20"/>
        </w:rPr>
      </w:pPr>
    </w:p>
    <w:p w:rsidR="000A51BE" w:rsidRPr="001A306A" w:rsidRDefault="000A51BE" w:rsidP="000A51BE">
      <w:pPr>
        <w:shd w:val="clear" w:color="auto" w:fill="FFFFFF"/>
        <w:tabs>
          <w:tab w:val="left" w:leader="dot" w:pos="3802"/>
        </w:tabs>
        <w:spacing w:line="276" w:lineRule="auto"/>
        <w:ind w:left="3540"/>
        <w:outlineLvl w:val="0"/>
        <w:rPr>
          <w:rFonts w:ascii="Verdana" w:hAnsi="Verdana"/>
          <w:b/>
          <w:caps/>
          <w:sz w:val="20"/>
        </w:rPr>
      </w:pPr>
      <w:r w:rsidRPr="001A306A">
        <w:rPr>
          <w:rFonts w:ascii="Verdana" w:hAnsi="Verdana"/>
          <w:b/>
          <w:caps/>
          <w:sz w:val="20"/>
        </w:rPr>
        <w:t>МИНИСТЪР-ПРЕДСЕДАТЕЛ:</w:t>
      </w:r>
    </w:p>
    <w:p w:rsidR="000A51BE" w:rsidRDefault="000A51BE" w:rsidP="000A51BE">
      <w:pPr>
        <w:spacing w:line="360" w:lineRule="auto"/>
        <w:ind w:firstLine="708"/>
        <w:jc w:val="both"/>
        <w:rPr>
          <w:rFonts w:ascii="Verdana" w:hAnsi="Verdana"/>
          <w:b/>
          <w:caps/>
          <w:sz w:val="20"/>
        </w:rPr>
      </w:pPr>
      <w:r w:rsidRPr="001A306A">
        <w:rPr>
          <w:rFonts w:ascii="Verdana" w:hAnsi="Verdana"/>
          <w:b/>
          <w:caps/>
          <w:sz w:val="20"/>
        </w:rPr>
        <w:t xml:space="preserve">    </w:t>
      </w:r>
      <w:r>
        <w:rPr>
          <w:rFonts w:ascii="Verdana" w:hAnsi="Verdana"/>
          <w:b/>
          <w:caps/>
          <w:sz w:val="20"/>
        </w:rPr>
        <w:t xml:space="preserve">    </w:t>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r>
        <w:rPr>
          <w:rFonts w:ascii="Verdana" w:hAnsi="Verdana"/>
          <w:b/>
          <w:caps/>
          <w:sz w:val="20"/>
        </w:rPr>
        <w:tab/>
      </w:r>
    </w:p>
    <w:p w:rsidR="000148AF" w:rsidRPr="000A51BE" w:rsidRDefault="000A51BE" w:rsidP="00453734">
      <w:pPr>
        <w:spacing w:line="360" w:lineRule="auto"/>
        <w:ind w:left="6480" w:firstLine="720"/>
        <w:jc w:val="both"/>
        <w:rPr>
          <w:rFonts w:ascii="Verdana" w:hAnsi="Verdana"/>
          <w:sz w:val="20"/>
          <w:szCs w:val="20"/>
          <w:lang w:val="be-BY"/>
        </w:rPr>
      </w:pPr>
      <w:r w:rsidRPr="001A306A">
        <w:rPr>
          <w:rFonts w:ascii="Verdana" w:hAnsi="Verdana"/>
          <w:b/>
          <w:caps/>
          <w:sz w:val="20"/>
        </w:rPr>
        <w:t>Бойко борисов</w:t>
      </w:r>
    </w:p>
    <w:sectPr w:rsidR="000148AF" w:rsidRPr="000A51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31BE"/>
    <w:multiLevelType w:val="hybridMultilevel"/>
    <w:tmpl w:val="FA8C6E2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787C0F9C"/>
    <w:multiLevelType w:val="hybridMultilevel"/>
    <w:tmpl w:val="3684E34A"/>
    <w:lvl w:ilvl="0" w:tplc="86804D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EF"/>
    <w:rsid w:val="00012C46"/>
    <w:rsid w:val="000148AF"/>
    <w:rsid w:val="000A51BE"/>
    <w:rsid w:val="001D0C9A"/>
    <w:rsid w:val="001F1925"/>
    <w:rsid w:val="002970F5"/>
    <w:rsid w:val="002E3003"/>
    <w:rsid w:val="002E47D7"/>
    <w:rsid w:val="003171BE"/>
    <w:rsid w:val="00362956"/>
    <w:rsid w:val="003B5082"/>
    <w:rsid w:val="00453734"/>
    <w:rsid w:val="00493AA7"/>
    <w:rsid w:val="005025D8"/>
    <w:rsid w:val="00554CB8"/>
    <w:rsid w:val="005C412B"/>
    <w:rsid w:val="005D086C"/>
    <w:rsid w:val="005D7F07"/>
    <w:rsid w:val="005E5B6E"/>
    <w:rsid w:val="006A35A3"/>
    <w:rsid w:val="007006AC"/>
    <w:rsid w:val="00837598"/>
    <w:rsid w:val="008D72A5"/>
    <w:rsid w:val="008E3AEB"/>
    <w:rsid w:val="00937911"/>
    <w:rsid w:val="009E44EE"/>
    <w:rsid w:val="009F0FBA"/>
    <w:rsid w:val="00A42B51"/>
    <w:rsid w:val="00A93B89"/>
    <w:rsid w:val="00A9795F"/>
    <w:rsid w:val="00B92306"/>
    <w:rsid w:val="00CB364F"/>
    <w:rsid w:val="00CD5F32"/>
    <w:rsid w:val="00D137D5"/>
    <w:rsid w:val="00D17715"/>
    <w:rsid w:val="00E3116A"/>
    <w:rsid w:val="00ED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06"/>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715"/>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har">
    <w:name w:val="Char"/>
    <w:basedOn w:val="Normal"/>
    <w:rsid w:val="00493AA7"/>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06"/>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715"/>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har">
    <w:name w:val="Char"/>
    <w:basedOn w:val="Normal"/>
    <w:rsid w:val="00493AA7"/>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Petya Ivanova</cp:lastModifiedBy>
  <cp:revision>2</cp:revision>
  <dcterms:created xsi:type="dcterms:W3CDTF">2018-05-31T13:53:00Z</dcterms:created>
  <dcterms:modified xsi:type="dcterms:W3CDTF">2018-05-31T13:53:00Z</dcterms:modified>
</cp:coreProperties>
</file>