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D2" w:rsidRPr="00E56D0F" w:rsidRDefault="00387DD2">
      <w:pPr>
        <w:rPr>
          <w:lang w:val="bg-BG"/>
        </w:rPr>
      </w:pPr>
      <w:bookmarkStart w:id="0" w:name="_GoBack"/>
      <w:bookmarkEnd w:id="0"/>
    </w:p>
    <w:sdt>
      <w:sdtPr>
        <w:rPr>
          <w:rFonts w:ascii="Times New Roman" w:eastAsiaTheme="majorEastAsia" w:hAnsi="Times New Roman" w:cs="Times New Roman"/>
          <w:caps/>
          <w:sz w:val="24"/>
          <w:lang w:val="bg-BG" w:eastAsia="en-US"/>
        </w:rPr>
        <w:id w:val="-17391315"/>
        <w:docPartObj>
          <w:docPartGallery w:val="Cover Pages"/>
          <w:docPartUnique/>
        </w:docPartObj>
      </w:sdtPr>
      <w:sdtEndPr>
        <w:rPr>
          <w:rFonts w:eastAsiaTheme="minorEastAsia"/>
          <w:b/>
          <w:bCs/>
          <w:caps w:val="0"/>
          <w:szCs w:val="24"/>
        </w:rPr>
      </w:sdtEndPr>
      <w:sdtContent>
        <w:tbl>
          <w:tblPr>
            <w:tblW w:w="5000" w:type="pct"/>
            <w:jc w:val="center"/>
            <w:tblLook w:val="04A0" w:firstRow="1" w:lastRow="0" w:firstColumn="1" w:lastColumn="0" w:noHBand="0" w:noVBand="1"/>
          </w:tblPr>
          <w:tblGrid>
            <w:gridCol w:w="10075"/>
          </w:tblGrid>
          <w:tr w:rsidR="00131C5A" w:rsidRPr="00132F96">
            <w:trPr>
              <w:trHeight w:val="2880"/>
              <w:jc w:val="center"/>
            </w:trPr>
            <w:tc>
              <w:tcPr>
                <w:tcW w:w="5000" w:type="pct"/>
              </w:tcPr>
              <w:p w:rsidR="00131C5A" w:rsidRPr="00A3491F" w:rsidRDefault="0033391D" w:rsidP="00E850DB">
                <w:pPr>
                  <w:pStyle w:val="NoSpacing"/>
                  <w:spacing w:line="288" w:lineRule="auto"/>
                  <w:jc w:val="center"/>
                  <w:rPr>
                    <w:rFonts w:ascii="Times New Roman" w:eastAsiaTheme="majorEastAsia" w:hAnsi="Times New Roman" w:cs="Times New Roman"/>
                    <w:caps/>
                    <w:lang w:val="bg-BG"/>
                  </w:rPr>
                </w:pPr>
                <w:r w:rsidRPr="00A3491F">
                  <w:rPr>
                    <w:rFonts w:ascii="Times New Roman" w:eastAsiaTheme="majorEastAsia" w:hAnsi="Times New Roman" w:cs="Times New Roman"/>
                    <w:caps/>
                    <w:lang w:val="bg-BG"/>
                  </w:rPr>
                  <w:t>министерство на земделието, храните и горите</w:t>
                </w:r>
                <w:r w:rsidR="00941D7F" w:rsidRPr="00A3491F">
                  <w:rPr>
                    <w:rFonts w:ascii="Times New Roman" w:eastAsiaTheme="majorEastAsia" w:hAnsi="Times New Roman" w:cs="Times New Roman"/>
                    <w:caps/>
                    <w:lang w:val="bg-BG"/>
                  </w:rPr>
                  <w:t xml:space="preserve"> на република българия</w:t>
                </w:r>
              </w:p>
            </w:tc>
          </w:tr>
          <w:tr w:rsidR="00131C5A" w:rsidRPr="00132F96">
            <w:trPr>
              <w:trHeight w:val="1440"/>
              <w:jc w:val="center"/>
            </w:trPr>
            <w:sdt>
              <w:sdtPr>
                <w:rPr>
                  <w:rFonts w:ascii="Times New Roman" w:eastAsiaTheme="majorEastAsia" w:hAnsi="Times New Roman" w:cs="Times New Roman"/>
                  <w:color w:val="365F91" w:themeColor="accent1" w:themeShade="BF"/>
                  <w:sz w:val="56"/>
                  <w:szCs w:val="56"/>
                  <w:lang w:val="bg-BG"/>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31C5A" w:rsidRPr="00A3491F" w:rsidRDefault="00131C5A" w:rsidP="00735374">
                    <w:pPr>
                      <w:pStyle w:val="NoSpacing"/>
                      <w:spacing w:line="288" w:lineRule="auto"/>
                      <w:jc w:val="center"/>
                      <w:rPr>
                        <w:rFonts w:ascii="Times New Roman" w:eastAsiaTheme="majorEastAsia" w:hAnsi="Times New Roman" w:cs="Times New Roman"/>
                        <w:sz w:val="80"/>
                        <w:szCs w:val="80"/>
                        <w:lang w:val="bg-BG"/>
                      </w:rPr>
                    </w:pPr>
                    <w:r w:rsidRPr="00A3491F">
                      <w:rPr>
                        <w:rFonts w:ascii="Times New Roman" w:eastAsiaTheme="majorEastAsia" w:hAnsi="Times New Roman" w:cs="Times New Roman"/>
                        <w:color w:val="365F91" w:themeColor="accent1" w:themeShade="BF"/>
                        <w:sz w:val="56"/>
                        <w:szCs w:val="56"/>
                        <w:lang w:val="bg-BG"/>
                      </w:rPr>
                      <w:t xml:space="preserve">Цялостна предварителна оценка на въздействието на </w:t>
                    </w:r>
                    <w:r w:rsidR="004E649E" w:rsidRPr="00A3491F">
                      <w:rPr>
                        <w:rFonts w:ascii="Times New Roman" w:eastAsiaTheme="majorEastAsia" w:hAnsi="Times New Roman" w:cs="Times New Roman"/>
                        <w:color w:val="365F91" w:themeColor="accent1" w:themeShade="BF"/>
                        <w:sz w:val="56"/>
                        <w:szCs w:val="56"/>
                        <w:lang w:val="bg-BG"/>
                      </w:rPr>
                      <w:t xml:space="preserve">проект на </w:t>
                    </w:r>
                    <w:r w:rsidR="00A64CCE">
                      <w:rPr>
                        <w:rFonts w:ascii="Times New Roman" w:eastAsiaTheme="majorEastAsia" w:hAnsi="Times New Roman" w:cs="Times New Roman"/>
                        <w:color w:val="365F91" w:themeColor="accent1" w:themeShade="BF"/>
                        <w:sz w:val="56"/>
                        <w:szCs w:val="56"/>
                        <w:lang w:val="bg-BG"/>
                      </w:rPr>
                      <w:t>Закон за превенция от неблагоприятни климатични събития в земеделието</w:t>
                    </w:r>
                  </w:p>
                </w:tc>
              </w:sdtContent>
            </w:sdt>
          </w:tr>
          <w:tr w:rsidR="00131C5A" w:rsidRPr="00132F96">
            <w:trPr>
              <w:trHeight w:val="720"/>
              <w:jc w:val="center"/>
            </w:trPr>
            <w:sdt>
              <w:sdtPr>
                <w:rPr>
                  <w:rFonts w:ascii="Times New Roman" w:eastAsiaTheme="majorEastAsia" w:hAnsi="Times New Roman" w:cs="Times New Roman"/>
                  <w:sz w:val="36"/>
                  <w:szCs w:val="36"/>
                  <w:lang w:val="bg-BG"/>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31C5A" w:rsidRPr="00A3491F" w:rsidRDefault="00131C5A" w:rsidP="00E850DB">
                    <w:pPr>
                      <w:pStyle w:val="NoSpacing"/>
                      <w:spacing w:line="288" w:lineRule="auto"/>
                      <w:jc w:val="center"/>
                      <w:rPr>
                        <w:rFonts w:ascii="Times New Roman" w:eastAsiaTheme="majorEastAsia" w:hAnsi="Times New Roman" w:cs="Times New Roman"/>
                        <w:sz w:val="44"/>
                        <w:szCs w:val="44"/>
                        <w:lang w:val="bg-BG"/>
                      </w:rPr>
                    </w:pPr>
                    <w:r w:rsidRPr="00A3491F">
                      <w:rPr>
                        <w:rFonts w:ascii="Times New Roman" w:eastAsiaTheme="majorEastAsia" w:hAnsi="Times New Roman" w:cs="Times New Roman"/>
                        <w:sz w:val="36"/>
                        <w:szCs w:val="36"/>
                        <w:lang w:val="bg-BG"/>
                      </w:rPr>
                      <w:t>Доклад от извършена цялостна предварителна оценка на въздействието</w:t>
                    </w:r>
                  </w:p>
                </w:tc>
              </w:sdtContent>
            </w:sdt>
          </w:tr>
          <w:tr w:rsidR="00131C5A" w:rsidRPr="00132F96">
            <w:trPr>
              <w:trHeight w:val="360"/>
              <w:jc w:val="center"/>
            </w:trPr>
            <w:tc>
              <w:tcPr>
                <w:tcW w:w="5000" w:type="pct"/>
                <w:vAlign w:val="center"/>
              </w:tcPr>
              <w:p w:rsidR="00131C5A" w:rsidRPr="00A3491F" w:rsidRDefault="00131C5A" w:rsidP="00E850DB">
                <w:pPr>
                  <w:pStyle w:val="NoSpacing"/>
                  <w:spacing w:line="288" w:lineRule="auto"/>
                  <w:jc w:val="center"/>
                  <w:rPr>
                    <w:rFonts w:ascii="Times New Roman" w:hAnsi="Times New Roman" w:cs="Times New Roman"/>
                    <w:lang w:val="bg-BG"/>
                  </w:rPr>
                </w:pPr>
              </w:p>
            </w:tc>
          </w:tr>
          <w:tr w:rsidR="00131C5A" w:rsidRPr="00132F96">
            <w:trPr>
              <w:trHeight w:val="360"/>
              <w:jc w:val="center"/>
            </w:trPr>
            <w:tc>
              <w:tcPr>
                <w:tcW w:w="5000" w:type="pct"/>
                <w:vAlign w:val="center"/>
              </w:tcPr>
              <w:p w:rsidR="00131C5A" w:rsidRPr="00A3491F" w:rsidRDefault="00131C5A" w:rsidP="00E850DB">
                <w:pPr>
                  <w:pStyle w:val="NoSpacing"/>
                  <w:spacing w:line="288" w:lineRule="auto"/>
                  <w:rPr>
                    <w:rFonts w:ascii="Times New Roman" w:hAnsi="Times New Roman" w:cs="Times New Roman"/>
                    <w:b/>
                    <w:bCs/>
                    <w:lang w:val="bg-BG"/>
                  </w:rPr>
                </w:pPr>
              </w:p>
            </w:tc>
          </w:tr>
          <w:tr w:rsidR="00131C5A" w:rsidRPr="00A3491F">
            <w:trPr>
              <w:trHeight w:val="360"/>
              <w:jc w:val="center"/>
            </w:trPr>
            <w:sdt>
              <w:sdtPr>
                <w:rPr>
                  <w:rFonts w:ascii="Times New Roman" w:hAnsi="Times New Roman" w:cs="Times New Roman"/>
                  <w:b/>
                  <w:bCs/>
                  <w:lang w:val="bg-BG"/>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131C5A" w:rsidRPr="00A3491F" w:rsidRDefault="004E649E" w:rsidP="00A64CCE">
                    <w:pPr>
                      <w:pStyle w:val="NoSpacing"/>
                      <w:spacing w:line="288" w:lineRule="auto"/>
                      <w:jc w:val="center"/>
                      <w:rPr>
                        <w:rFonts w:ascii="Times New Roman" w:hAnsi="Times New Roman" w:cs="Times New Roman"/>
                        <w:b/>
                        <w:bCs/>
                        <w:lang w:val="bg-BG"/>
                      </w:rPr>
                    </w:pPr>
                    <w:r w:rsidRPr="00A3491F">
                      <w:rPr>
                        <w:rFonts w:ascii="Times New Roman" w:hAnsi="Times New Roman" w:cs="Times New Roman"/>
                        <w:b/>
                        <w:bCs/>
                        <w:lang w:val="bg-BG"/>
                      </w:rPr>
                      <w:t xml:space="preserve">София, </w:t>
                    </w:r>
                    <w:r w:rsidR="00A64CCE">
                      <w:rPr>
                        <w:rFonts w:ascii="Times New Roman" w:hAnsi="Times New Roman" w:cs="Times New Roman"/>
                        <w:b/>
                        <w:bCs/>
                        <w:lang w:val="bg-BG"/>
                      </w:rPr>
                      <w:t>март</w:t>
                    </w:r>
                    <w:r w:rsidR="003A3F7E">
                      <w:rPr>
                        <w:rFonts w:ascii="Times New Roman" w:hAnsi="Times New Roman" w:cs="Times New Roman"/>
                        <w:b/>
                        <w:bCs/>
                        <w:lang w:val="bg-BG"/>
                      </w:rPr>
                      <w:t>-май</w:t>
                    </w:r>
                    <w:r w:rsidRPr="00A3491F">
                      <w:rPr>
                        <w:rFonts w:ascii="Times New Roman" w:hAnsi="Times New Roman" w:cs="Times New Roman"/>
                        <w:b/>
                        <w:bCs/>
                        <w:lang w:val="bg-BG"/>
                      </w:rPr>
                      <w:t xml:space="preserve"> 201</w:t>
                    </w:r>
                    <w:r w:rsidR="00A64CCE">
                      <w:rPr>
                        <w:rFonts w:ascii="Times New Roman" w:hAnsi="Times New Roman" w:cs="Times New Roman"/>
                        <w:b/>
                        <w:bCs/>
                        <w:lang w:val="bg-BG"/>
                      </w:rPr>
                      <w:t>8</w:t>
                    </w:r>
                    <w:r w:rsidRPr="00A3491F">
                      <w:rPr>
                        <w:rFonts w:ascii="Times New Roman" w:hAnsi="Times New Roman" w:cs="Times New Roman"/>
                        <w:b/>
                        <w:bCs/>
                        <w:lang w:val="bg-BG"/>
                      </w:rPr>
                      <w:t xml:space="preserve"> г.</w:t>
                    </w:r>
                  </w:p>
                </w:tc>
              </w:sdtContent>
            </w:sdt>
          </w:tr>
        </w:tbl>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DC48AC" w:rsidRPr="00A3491F" w:rsidRDefault="00DC48AC" w:rsidP="00E850DB">
          <w:pPr>
            <w:spacing w:line="288" w:lineRule="auto"/>
            <w:rPr>
              <w:lang w:val="bg-BG"/>
            </w:rPr>
          </w:pPr>
        </w:p>
        <w:p w:rsidR="00DC48AC" w:rsidRPr="00A3491F" w:rsidRDefault="00DC48AC" w:rsidP="00E850DB">
          <w:pPr>
            <w:spacing w:line="288" w:lineRule="auto"/>
            <w:rPr>
              <w:lang w:val="bg-BG"/>
            </w:rPr>
          </w:pPr>
        </w:p>
        <w:p w:rsidR="00DC48AC" w:rsidRPr="00A3491F" w:rsidRDefault="00DC48AC" w:rsidP="00E850DB">
          <w:pPr>
            <w:spacing w:line="288" w:lineRule="auto"/>
            <w:rPr>
              <w:lang w:val="bg-BG"/>
            </w:rPr>
          </w:pPr>
        </w:p>
        <w:p w:rsidR="006447DD" w:rsidRPr="00A3491F" w:rsidRDefault="006447DD" w:rsidP="00E850DB">
          <w:pPr>
            <w:spacing w:line="288" w:lineRule="auto"/>
            <w:rPr>
              <w:lang w:val="bg-BG"/>
            </w:rPr>
          </w:pPr>
        </w:p>
        <w:sdt>
          <w:sdtPr>
            <w:rPr>
              <w:rFonts w:eastAsiaTheme="minorEastAsia" w:cs="Times New Roman"/>
              <w:b w:val="0"/>
              <w:bCs w:val="0"/>
              <w:color w:val="auto"/>
              <w:sz w:val="22"/>
              <w:szCs w:val="22"/>
              <w:lang w:val="bg-BG" w:eastAsia="en-US"/>
            </w:rPr>
            <w:id w:val="1343516389"/>
            <w:docPartObj>
              <w:docPartGallery w:val="Table of Contents"/>
              <w:docPartUnique/>
            </w:docPartObj>
          </w:sdtPr>
          <w:sdtEndPr>
            <w:rPr>
              <w:sz w:val="24"/>
              <w:szCs w:val="24"/>
            </w:rPr>
          </w:sdtEndPr>
          <w:sdtContent>
            <w:p w:rsidR="00131C5A" w:rsidRPr="00A3491F" w:rsidRDefault="00131C5A" w:rsidP="00E850DB">
              <w:pPr>
                <w:pStyle w:val="TOCHeading"/>
                <w:spacing w:line="288" w:lineRule="auto"/>
                <w:rPr>
                  <w:rFonts w:cs="Times New Roman"/>
                  <w:lang w:val="bg-BG"/>
                </w:rPr>
              </w:pPr>
              <w:r w:rsidRPr="00A3491F">
                <w:rPr>
                  <w:rFonts w:cs="Times New Roman"/>
                  <w:lang w:val="bg-BG"/>
                </w:rPr>
                <w:t>Съдържание</w:t>
              </w:r>
            </w:p>
            <w:p w:rsidR="002962C6" w:rsidRPr="00A3491F" w:rsidRDefault="00131C5A" w:rsidP="008633AF">
              <w:pPr>
                <w:pStyle w:val="TOC1"/>
                <w:rPr>
                  <w:sz w:val="22"/>
                  <w:lang w:val="bg-BG"/>
                </w:rPr>
              </w:pPr>
              <w:r w:rsidRPr="00A3491F">
                <w:rPr>
                  <w:szCs w:val="24"/>
                  <w:lang w:val="bg-BG"/>
                </w:rPr>
                <w:fldChar w:fldCharType="begin"/>
              </w:r>
              <w:r w:rsidRPr="00A3491F">
                <w:rPr>
                  <w:szCs w:val="24"/>
                  <w:lang w:val="bg-BG"/>
                </w:rPr>
                <w:instrText xml:space="preserve"> TOC \o "1-3" \h \z \u </w:instrText>
              </w:r>
              <w:r w:rsidRPr="00A3491F">
                <w:rPr>
                  <w:szCs w:val="24"/>
                  <w:lang w:val="bg-BG"/>
                </w:rPr>
                <w:fldChar w:fldCharType="separate"/>
              </w:r>
              <w:hyperlink w:anchor="_Toc496709932" w:history="1">
                <w:r w:rsidR="002962C6" w:rsidRPr="00A3491F">
                  <w:rPr>
                    <w:rStyle w:val="Hyperlink"/>
                    <w:lang w:val="bg-BG"/>
                  </w:rPr>
                  <w:t>I. Въведение</w:t>
                </w:r>
                <w:r w:rsidR="002962C6" w:rsidRPr="00A3491F">
                  <w:rPr>
                    <w:webHidden/>
                    <w:lang w:val="bg-BG"/>
                  </w:rPr>
                  <w:tab/>
                </w:r>
                <w:r w:rsidR="008633AF">
                  <w:rPr>
                    <w:webHidden/>
                  </w:rPr>
                  <w:t>...</w:t>
                </w:r>
                <w:r w:rsidR="002962C6" w:rsidRPr="00A3491F">
                  <w:rPr>
                    <w:webHidden/>
                    <w:lang w:val="bg-BG"/>
                  </w:rPr>
                  <w:fldChar w:fldCharType="begin"/>
                </w:r>
                <w:r w:rsidR="002962C6" w:rsidRPr="00A3491F">
                  <w:rPr>
                    <w:webHidden/>
                    <w:lang w:val="bg-BG"/>
                  </w:rPr>
                  <w:instrText xml:space="preserve"> PAGEREF _Toc496709932 \h </w:instrText>
                </w:r>
                <w:r w:rsidR="002962C6" w:rsidRPr="00A3491F">
                  <w:rPr>
                    <w:webHidden/>
                    <w:lang w:val="bg-BG"/>
                  </w:rPr>
                </w:r>
                <w:r w:rsidR="002962C6" w:rsidRPr="00A3491F">
                  <w:rPr>
                    <w:webHidden/>
                    <w:lang w:val="bg-BG"/>
                  </w:rPr>
                  <w:fldChar w:fldCharType="separate"/>
                </w:r>
                <w:r w:rsidR="00B52477">
                  <w:rPr>
                    <w:noProof/>
                    <w:webHidden/>
                    <w:lang w:val="bg-BG"/>
                  </w:rPr>
                  <w:t>3</w:t>
                </w:r>
                <w:r w:rsidR="002962C6" w:rsidRPr="00A3491F">
                  <w:rPr>
                    <w:webHidden/>
                    <w:lang w:val="bg-BG"/>
                  </w:rPr>
                  <w:fldChar w:fldCharType="end"/>
                </w:r>
              </w:hyperlink>
            </w:p>
            <w:p w:rsidR="002962C6" w:rsidRPr="00A3491F" w:rsidRDefault="0074083E">
              <w:pPr>
                <w:pStyle w:val="TOC2"/>
                <w:rPr>
                  <w:sz w:val="22"/>
                  <w:lang w:val="bg-BG"/>
                </w:rPr>
              </w:pPr>
              <w:hyperlink w:anchor="_Toc496709933" w:history="1">
                <w:r w:rsidR="002962C6" w:rsidRPr="00A3491F">
                  <w:rPr>
                    <w:rStyle w:val="Hyperlink"/>
                    <w:lang w:val="bg-BG"/>
                  </w:rPr>
                  <w:t>I.1. Обща рамка</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_Toc496709933 \h </w:instrText>
                </w:r>
                <w:r w:rsidR="002962C6" w:rsidRPr="00A3491F">
                  <w:rPr>
                    <w:webHidden/>
                    <w:lang w:val="bg-BG"/>
                  </w:rPr>
                </w:r>
                <w:r w:rsidR="002962C6" w:rsidRPr="00A3491F">
                  <w:rPr>
                    <w:webHidden/>
                    <w:lang w:val="bg-BG"/>
                  </w:rPr>
                  <w:fldChar w:fldCharType="separate"/>
                </w:r>
                <w:r w:rsidR="00B52477">
                  <w:rPr>
                    <w:noProof/>
                    <w:webHidden/>
                    <w:lang w:val="bg-BG"/>
                  </w:rPr>
                  <w:t>3</w:t>
                </w:r>
                <w:r w:rsidR="002962C6" w:rsidRPr="00A3491F">
                  <w:rPr>
                    <w:webHidden/>
                    <w:lang w:val="bg-BG"/>
                  </w:rPr>
                  <w:fldChar w:fldCharType="end"/>
                </w:r>
              </w:hyperlink>
            </w:p>
            <w:p w:rsidR="002962C6" w:rsidRPr="00A3491F" w:rsidRDefault="0074083E">
              <w:pPr>
                <w:pStyle w:val="TOC2"/>
                <w:rPr>
                  <w:sz w:val="22"/>
                  <w:lang w:val="bg-BG"/>
                </w:rPr>
              </w:pPr>
              <w:hyperlink w:anchor="_Toc496709934" w:history="1">
                <w:r w:rsidR="002962C6" w:rsidRPr="00A3491F">
                  <w:rPr>
                    <w:rStyle w:val="Hyperlink"/>
                    <w:lang w:val="bg-BG"/>
                  </w:rPr>
                  <w:t xml:space="preserve">I.2. Проект на </w:t>
                </w:r>
                <w:r w:rsidR="009A56D1">
                  <w:rPr>
                    <w:rStyle w:val="Hyperlink"/>
                    <w:lang w:val="bg-BG"/>
                  </w:rPr>
                  <w:t>З</w:t>
                </w:r>
                <w:r w:rsidR="002962C6" w:rsidRPr="00A3491F">
                  <w:rPr>
                    <w:rStyle w:val="Hyperlink"/>
                    <w:lang w:val="bg-BG"/>
                  </w:rPr>
                  <w:t xml:space="preserve">акон за </w:t>
                </w:r>
                <w:r w:rsidR="003A3F7E">
                  <w:rPr>
                    <w:rStyle w:val="Hyperlink"/>
                    <w:lang w:val="bg-BG"/>
                  </w:rPr>
                  <w:t>превенция от неблагоприятни климатични събития в земеделието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_Toc496709934 \h </w:instrText>
                </w:r>
                <w:r w:rsidR="002962C6" w:rsidRPr="00A3491F">
                  <w:rPr>
                    <w:webHidden/>
                    <w:lang w:val="bg-BG"/>
                  </w:rPr>
                </w:r>
                <w:r w:rsidR="002962C6" w:rsidRPr="00A3491F">
                  <w:rPr>
                    <w:webHidden/>
                    <w:lang w:val="bg-BG"/>
                  </w:rPr>
                  <w:fldChar w:fldCharType="separate"/>
                </w:r>
                <w:r w:rsidR="00B52477">
                  <w:rPr>
                    <w:noProof/>
                    <w:webHidden/>
                    <w:lang w:val="bg-BG"/>
                  </w:rPr>
                  <w:t>3</w:t>
                </w:r>
                <w:r w:rsidR="002962C6" w:rsidRPr="00A3491F">
                  <w:rPr>
                    <w:webHidden/>
                    <w:lang w:val="bg-BG"/>
                  </w:rPr>
                  <w:fldChar w:fldCharType="end"/>
                </w:r>
              </w:hyperlink>
            </w:p>
            <w:p w:rsidR="002962C6" w:rsidRPr="00A3491F" w:rsidRDefault="0074083E">
              <w:pPr>
                <w:pStyle w:val="TOC2"/>
                <w:rPr>
                  <w:sz w:val="22"/>
                  <w:lang w:val="bg-BG"/>
                </w:rPr>
              </w:pPr>
              <w:hyperlink w:anchor="_Toc496709935" w:history="1">
                <w:r w:rsidR="002962C6" w:rsidRPr="00A3491F">
                  <w:rPr>
                    <w:rStyle w:val="Hyperlink"/>
                    <w:lang w:val="bg-BG"/>
                  </w:rPr>
                  <w:t>I.3. Методологична рамка на цялостната предварителна оценка на въздействието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_Toc496709935 \h </w:instrText>
                </w:r>
                <w:r w:rsidR="002962C6" w:rsidRPr="00A3491F">
                  <w:rPr>
                    <w:webHidden/>
                    <w:lang w:val="bg-BG"/>
                  </w:rPr>
                </w:r>
                <w:r w:rsidR="002962C6" w:rsidRPr="00A3491F">
                  <w:rPr>
                    <w:webHidden/>
                    <w:lang w:val="bg-BG"/>
                  </w:rPr>
                  <w:fldChar w:fldCharType="separate"/>
                </w:r>
                <w:r w:rsidR="00B52477">
                  <w:rPr>
                    <w:noProof/>
                    <w:webHidden/>
                    <w:lang w:val="bg-BG"/>
                  </w:rPr>
                  <w:t>4</w:t>
                </w:r>
                <w:r w:rsidR="002962C6" w:rsidRPr="00A3491F">
                  <w:rPr>
                    <w:webHidden/>
                    <w:lang w:val="bg-BG"/>
                  </w:rPr>
                  <w:fldChar w:fldCharType="end"/>
                </w:r>
              </w:hyperlink>
            </w:p>
            <w:p w:rsidR="002962C6" w:rsidRPr="00A3491F" w:rsidRDefault="0074083E">
              <w:pPr>
                <w:pStyle w:val="TOC2"/>
                <w:rPr>
                  <w:sz w:val="22"/>
                  <w:lang w:val="bg-BG"/>
                </w:rPr>
              </w:pPr>
              <w:hyperlink w:anchor="_Toc496709936" w:history="1">
                <w:r w:rsidR="002962C6" w:rsidRPr="00A3491F">
                  <w:rPr>
                    <w:rStyle w:val="Hyperlink"/>
                    <w:lang w:val="bg-BG"/>
                  </w:rPr>
                  <w:t>I.4. Етапи и източници на информация</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_Toc496709936 \h </w:instrText>
                </w:r>
                <w:r w:rsidR="002962C6" w:rsidRPr="00A3491F">
                  <w:rPr>
                    <w:webHidden/>
                    <w:lang w:val="bg-BG"/>
                  </w:rPr>
                </w:r>
                <w:r w:rsidR="002962C6" w:rsidRPr="00A3491F">
                  <w:rPr>
                    <w:webHidden/>
                    <w:lang w:val="bg-BG"/>
                  </w:rPr>
                  <w:fldChar w:fldCharType="separate"/>
                </w:r>
                <w:r w:rsidR="00B52477">
                  <w:rPr>
                    <w:noProof/>
                    <w:webHidden/>
                    <w:lang w:val="bg-BG"/>
                  </w:rPr>
                  <w:t>5</w:t>
                </w:r>
                <w:r w:rsidR="002962C6" w:rsidRPr="00A3491F">
                  <w:rPr>
                    <w:webHidden/>
                    <w:lang w:val="bg-BG"/>
                  </w:rPr>
                  <w:fldChar w:fldCharType="end"/>
                </w:r>
              </w:hyperlink>
            </w:p>
            <w:p w:rsidR="002962C6" w:rsidRPr="00A3491F" w:rsidRDefault="0074083E" w:rsidP="008633AF">
              <w:pPr>
                <w:pStyle w:val="TOC1"/>
                <w:rPr>
                  <w:sz w:val="22"/>
                  <w:lang w:val="bg-BG"/>
                </w:rPr>
              </w:pPr>
              <w:hyperlink w:anchor="_Toc496709937" w:history="1">
                <w:r w:rsidR="002962C6" w:rsidRPr="00A3491F">
                  <w:rPr>
                    <w:rStyle w:val="Hyperlink"/>
                    <w:lang w:val="bg-BG"/>
                  </w:rPr>
                  <w:t>II. Определяне на проблемите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_Toc496709937 \h </w:instrText>
                </w:r>
                <w:r w:rsidR="002962C6" w:rsidRPr="00A3491F">
                  <w:rPr>
                    <w:webHidden/>
                    <w:lang w:val="bg-BG"/>
                  </w:rPr>
                </w:r>
                <w:r w:rsidR="002962C6" w:rsidRPr="00A3491F">
                  <w:rPr>
                    <w:webHidden/>
                    <w:lang w:val="bg-BG"/>
                  </w:rPr>
                  <w:fldChar w:fldCharType="separate"/>
                </w:r>
                <w:r w:rsidR="00B52477">
                  <w:rPr>
                    <w:noProof/>
                    <w:webHidden/>
                    <w:lang w:val="bg-BG"/>
                  </w:rPr>
                  <w:t>7</w:t>
                </w:r>
                <w:r w:rsidR="002962C6" w:rsidRPr="00A3491F">
                  <w:rPr>
                    <w:webHidden/>
                    <w:lang w:val="bg-BG"/>
                  </w:rPr>
                  <w:fldChar w:fldCharType="end"/>
                </w:r>
              </w:hyperlink>
            </w:p>
            <w:p w:rsidR="002962C6" w:rsidRPr="00A3491F" w:rsidRDefault="0074083E">
              <w:pPr>
                <w:pStyle w:val="TOC2"/>
                <w:rPr>
                  <w:sz w:val="22"/>
                  <w:lang w:val="bg-BG"/>
                </w:rPr>
              </w:pPr>
              <w:hyperlink w:anchor="_Toc496709938" w:history="1">
                <w:r w:rsidR="002962C6" w:rsidRPr="00A3491F">
                  <w:rPr>
                    <w:rStyle w:val="Hyperlink"/>
                    <w:lang w:val="bg-BG"/>
                  </w:rPr>
                  <w:t>II.1. Основен проблем</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_Toc496709938 \h </w:instrText>
                </w:r>
                <w:r w:rsidR="002962C6" w:rsidRPr="00A3491F">
                  <w:rPr>
                    <w:webHidden/>
                    <w:lang w:val="bg-BG"/>
                  </w:rPr>
                </w:r>
                <w:r w:rsidR="002962C6" w:rsidRPr="00A3491F">
                  <w:rPr>
                    <w:webHidden/>
                    <w:lang w:val="bg-BG"/>
                  </w:rPr>
                  <w:fldChar w:fldCharType="separate"/>
                </w:r>
                <w:r w:rsidR="00B52477">
                  <w:rPr>
                    <w:noProof/>
                    <w:webHidden/>
                    <w:lang w:val="bg-BG"/>
                  </w:rPr>
                  <w:t>7</w:t>
                </w:r>
                <w:r w:rsidR="002962C6" w:rsidRPr="00A3491F">
                  <w:rPr>
                    <w:webHidden/>
                    <w:lang w:val="bg-BG"/>
                  </w:rPr>
                  <w:fldChar w:fldCharType="end"/>
                </w:r>
              </w:hyperlink>
            </w:p>
            <w:p w:rsidR="002962C6" w:rsidRPr="00A3491F" w:rsidRDefault="0074083E">
              <w:pPr>
                <w:pStyle w:val="TOC2"/>
                <w:rPr>
                  <w:sz w:val="22"/>
                  <w:lang w:val="bg-BG"/>
                </w:rPr>
              </w:pPr>
              <w:hyperlink w:anchor="_Toc496709939" w:history="1">
                <w:r w:rsidR="002962C6" w:rsidRPr="00A3491F">
                  <w:rPr>
                    <w:rStyle w:val="Hyperlink"/>
                    <w:lang w:val="bg-BG"/>
                  </w:rPr>
                  <w:t>II.2. Специфични проблеми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_Toc496709939 \h </w:instrText>
                </w:r>
                <w:r w:rsidR="002962C6" w:rsidRPr="00A3491F">
                  <w:rPr>
                    <w:webHidden/>
                    <w:lang w:val="bg-BG"/>
                  </w:rPr>
                </w:r>
                <w:r w:rsidR="002962C6" w:rsidRPr="00A3491F">
                  <w:rPr>
                    <w:webHidden/>
                    <w:lang w:val="bg-BG"/>
                  </w:rPr>
                  <w:fldChar w:fldCharType="separate"/>
                </w:r>
                <w:r w:rsidR="00B52477">
                  <w:rPr>
                    <w:noProof/>
                    <w:webHidden/>
                    <w:lang w:val="bg-BG"/>
                  </w:rPr>
                  <w:t>9</w:t>
                </w:r>
                <w:r w:rsidR="002962C6" w:rsidRPr="00A3491F">
                  <w:rPr>
                    <w:webHidden/>
                    <w:lang w:val="bg-BG"/>
                  </w:rPr>
                  <w:fldChar w:fldCharType="end"/>
                </w:r>
              </w:hyperlink>
            </w:p>
            <w:p w:rsidR="002962C6" w:rsidRPr="00A3491F" w:rsidRDefault="00FB6A54" w:rsidP="008633AF">
              <w:pPr>
                <w:pStyle w:val="TOC1"/>
                <w:rPr>
                  <w:sz w:val="22"/>
                  <w:lang w:val="bg-BG"/>
                </w:rPr>
              </w:pPr>
              <w:hyperlink w:anchor="_Toc496709940" w:history="1">
                <w:r w:rsidR="002962C6" w:rsidRPr="00A3491F">
                  <w:rPr>
                    <w:rStyle w:val="Hyperlink"/>
                    <w:lang w:val="bg-BG"/>
                  </w:rPr>
                  <w:t>III. Заинтересовани страни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_Toc496709940 \h </w:instrText>
                </w:r>
                <w:r w:rsidR="002962C6" w:rsidRPr="00A3491F">
                  <w:rPr>
                    <w:webHidden/>
                    <w:lang w:val="bg-BG"/>
                  </w:rPr>
                </w:r>
                <w:r w:rsidR="002962C6" w:rsidRPr="00A3491F">
                  <w:rPr>
                    <w:webHidden/>
                    <w:lang w:val="bg-BG"/>
                  </w:rPr>
                  <w:fldChar w:fldCharType="separate"/>
                </w:r>
                <w:r w:rsidR="00B52477">
                  <w:rPr>
                    <w:noProof/>
                    <w:webHidden/>
                    <w:lang w:val="bg-BG"/>
                  </w:rPr>
                  <w:t>11</w:t>
                </w:r>
                <w:r w:rsidR="002962C6" w:rsidRPr="00A3491F">
                  <w:rPr>
                    <w:webHidden/>
                    <w:lang w:val="bg-BG"/>
                  </w:rPr>
                  <w:fldChar w:fldCharType="end"/>
                </w:r>
              </w:hyperlink>
            </w:p>
            <w:p w:rsidR="002962C6" w:rsidRPr="00A3491F" w:rsidRDefault="0074083E">
              <w:pPr>
                <w:pStyle w:val="TOC2"/>
                <w:rPr>
                  <w:sz w:val="22"/>
                  <w:lang w:val="bg-BG"/>
                </w:rPr>
              </w:pPr>
              <w:hyperlink w:anchor="_Toc496709941" w:history="1">
                <w:r w:rsidR="002962C6" w:rsidRPr="00A3491F">
                  <w:rPr>
                    <w:rStyle w:val="Hyperlink"/>
                    <w:lang w:val="bg-BG"/>
                  </w:rPr>
                  <w:t xml:space="preserve">III.1. </w:t>
                </w:r>
                <w:r w:rsidR="003A3F7E">
                  <w:rPr>
                    <w:rStyle w:val="Hyperlink"/>
                    <w:lang w:val="bg-BG"/>
                  </w:rPr>
                  <w:t>Земеделски стопани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_Toc496709941 \h </w:instrText>
                </w:r>
                <w:r w:rsidR="002962C6" w:rsidRPr="00A3491F">
                  <w:rPr>
                    <w:webHidden/>
                    <w:lang w:val="bg-BG"/>
                  </w:rPr>
                </w:r>
                <w:r w:rsidR="002962C6" w:rsidRPr="00A3491F">
                  <w:rPr>
                    <w:webHidden/>
                    <w:lang w:val="bg-BG"/>
                  </w:rPr>
                  <w:fldChar w:fldCharType="separate"/>
                </w:r>
                <w:r w:rsidR="00B52477">
                  <w:rPr>
                    <w:noProof/>
                    <w:webHidden/>
                    <w:lang w:val="bg-BG"/>
                  </w:rPr>
                  <w:t>13</w:t>
                </w:r>
                <w:r w:rsidR="002962C6" w:rsidRPr="00A3491F">
                  <w:rPr>
                    <w:webHidden/>
                    <w:lang w:val="bg-BG"/>
                  </w:rPr>
                  <w:fldChar w:fldCharType="end"/>
                </w:r>
              </w:hyperlink>
            </w:p>
            <w:p w:rsidR="002962C6" w:rsidRPr="00A3491F" w:rsidRDefault="0074083E">
              <w:pPr>
                <w:pStyle w:val="TOC2"/>
                <w:rPr>
                  <w:sz w:val="22"/>
                  <w:lang w:val="bg-BG"/>
                </w:rPr>
              </w:pPr>
              <w:hyperlink w:anchor="_Toc496709942" w:history="1">
                <w:r w:rsidR="002962C6" w:rsidRPr="00A3491F">
                  <w:rPr>
                    <w:rStyle w:val="Hyperlink"/>
                    <w:lang w:val="bg-BG"/>
                  </w:rPr>
                  <w:t xml:space="preserve">III.2. </w:t>
                </w:r>
                <w:r w:rsidR="003A3F7E">
                  <w:rPr>
                    <w:rStyle w:val="Hyperlink"/>
                    <w:lang w:val="bg-BG"/>
                  </w:rPr>
                  <w:t>Застрахователни компании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_Toc496709942 \h </w:instrText>
                </w:r>
                <w:r w:rsidR="002962C6" w:rsidRPr="00A3491F">
                  <w:rPr>
                    <w:webHidden/>
                    <w:lang w:val="bg-BG"/>
                  </w:rPr>
                </w:r>
                <w:r w:rsidR="002962C6" w:rsidRPr="00A3491F">
                  <w:rPr>
                    <w:webHidden/>
                    <w:lang w:val="bg-BG"/>
                  </w:rPr>
                  <w:fldChar w:fldCharType="separate"/>
                </w:r>
                <w:r w:rsidR="00B52477">
                  <w:rPr>
                    <w:noProof/>
                    <w:webHidden/>
                    <w:lang w:val="bg-BG"/>
                  </w:rPr>
                  <w:t>13</w:t>
                </w:r>
                <w:r w:rsidR="002962C6" w:rsidRPr="00A3491F">
                  <w:rPr>
                    <w:webHidden/>
                    <w:lang w:val="bg-BG"/>
                  </w:rPr>
                  <w:fldChar w:fldCharType="end"/>
                </w:r>
              </w:hyperlink>
            </w:p>
            <w:p w:rsidR="002962C6" w:rsidRPr="00A3491F" w:rsidRDefault="0074083E">
              <w:pPr>
                <w:pStyle w:val="TOC2"/>
                <w:rPr>
                  <w:sz w:val="22"/>
                  <w:lang w:val="bg-BG"/>
                </w:rPr>
              </w:pPr>
              <w:hyperlink w:anchor="_Toc496709943" w:history="1">
                <w:r w:rsidR="002962C6" w:rsidRPr="00A3491F">
                  <w:rPr>
                    <w:rStyle w:val="Hyperlink"/>
                    <w:lang w:val="bg-BG"/>
                  </w:rPr>
                  <w:t xml:space="preserve">III.3. </w:t>
                </w:r>
                <w:r w:rsidR="003A3F7E">
                  <w:rPr>
                    <w:rStyle w:val="Hyperlink"/>
                    <w:lang w:val="bg-BG"/>
                  </w:rPr>
                  <w:t>Държавни институции, отговорни за прилагането на закона</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_Toc496709943 \h </w:instrText>
                </w:r>
                <w:r w:rsidR="002962C6" w:rsidRPr="00A3491F">
                  <w:rPr>
                    <w:webHidden/>
                    <w:lang w:val="bg-BG"/>
                  </w:rPr>
                </w:r>
                <w:r w:rsidR="002962C6" w:rsidRPr="00A3491F">
                  <w:rPr>
                    <w:webHidden/>
                    <w:lang w:val="bg-BG"/>
                  </w:rPr>
                  <w:fldChar w:fldCharType="separate"/>
                </w:r>
                <w:r w:rsidR="00B52477">
                  <w:rPr>
                    <w:noProof/>
                    <w:webHidden/>
                    <w:lang w:val="bg-BG"/>
                  </w:rPr>
                  <w:t>15</w:t>
                </w:r>
                <w:r w:rsidR="002962C6" w:rsidRPr="00A3491F">
                  <w:rPr>
                    <w:webHidden/>
                    <w:lang w:val="bg-BG"/>
                  </w:rPr>
                  <w:fldChar w:fldCharType="end"/>
                </w:r>
              </w:hyperlink>
            </w:p>
            <w:p w:rsidR="002962C6" w:rsidRPr="00A3491F" w:rsidRDefault="0074083E" w:rsidP="008633AF">
              <w:pPr>
                <w:pStyle w:val="TOC1"/>
                <w:rPr>
                  <w:sz w:val="22"/>
                  <w:lang w:val="bg-BG"/>
                </w:rPr>
              </w:pPr>
              <w:hyperlink w:anchor="_Toc496709947" w:history="1">
                <w:r w:rsidR="002962C6" w:rsidRPr="00A3491F">
                  <w:rPr>
                    <w:rStyle w:val="Hyperlink"/>
                    <w:lang w:val="bg-BG"/>
                  </w:rPr>
                  <w:t xml:space="preserve">IV. </w:t>
                </w:r>
                <w:r w:rsidR="003A3F7E">
                  <w:rPr>
                    <w:rStyle w:val="Hyperlink"/>
                    <w:lang w:val="bg-BG"/>
                  </w:rPr>
                  <w:t>Ц</w:t>
                </w:r>
                <w:r w:rsidR="002962C6" w:rsidRPr="00A3491F">
                  <w:rPr>
                    <w:rStyle w:val="Hyperlink"/>
                    <w:lang w:val="bg-BG"/>
                  </w:rPr>
                  <w:t xml:space="preserve">ели </w:t>
                </w:r>
                <w:r w:rsidR="003A3F7E">
                  <w:rPr>
                    <w:rStyle w:val="Hyperlink"/>
                    <w:lang w:val="bg-BG"/>
                  </w:rPr>
                  <w:t>на законопроекта</w:t>
                </w:r>
                <w:r w:rsidR="002962C6" w:rsidRPr="00A3491F">
                  <w:rPr>
                    <w:rStyle w:val="Hyperlink"/>
                    <w:lang w:val="bg-BG"/>
                  </w:rPr>
                  <w:t xml:space="preserve"> </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_Toc496709947 \h </w:instrText>
                </w:r>
                <w:r w:rsidR="002962C6" w:rsidRPr="00A3491F">
                  <w:rPr>
                    <w:webHidden/>
                    <w:lang w:val="bg-BG"/>
                  </w:rPr>
                </w:r>
                <w:r w:rsidR="002962C6" w:rsidRPr="00A3491F">
                  <w:rPr>
                    <w:webHidden/>
                    <w:lang w:val="bg-BG"/>
                  </w:rPr>
                  <w:fldChar w:fldCharType="separate"/>
                </w:r>
                <w:r w:rsidR="00B52477">
                  <w:rPr>
                    <w:noProof/>
                    <w:webHidden/>
                    <w:lang w:val="bg-BG"/>
                  </w:rPr>
                  <w:t>15</w:t>
                </w:r>
                <w:r w:rsidR="002962C6" w:rsidRPr="00A3491F">
                  <w:rPr>
                    <w:webHidden/>
                    <w:lang w:val="bg-BG"/>
                  </w:rPr>
                  <w:fldChar w:fldCharType="end"/>
                </w:r>
              </w:hyperlink>
            </w:p>
            <w:p w:rsidR="002962C6" w:rsidRPr="00A3491F" w:rsidRDefault="0074083E">
              <w:pPr>
                <w:pStyle w:val="TOC2"/>
                <w:rPr>
                  <w:sz w:val="22"/>
                  <w:lang w:val="bg-BG"/>
                </w:rPr>
              </w:pPr>
              <w:hyperlink w:anchor="_Toc496709948" w:history="1">
                <w:r w:rsidR="002962C6" w:rsidRPr="00A3491F">
                  <w:rPr>
                    <w:rStyle w:val="Hyperlink"/>
                    <w:lang w:val="bg-BG"/>
                  </w:rPr>
                  <w:t>IV.1. Обща цел</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_Toc496709948 \h </w:instrText>
                </w:r>
                <w:r w:rsidR="002962C6" w:rsidRPr="00A3491F">
                  <w:rPr>
                    <w:webHidden/>
                    <w:lang w:val="bg-BG"/>
                  </w:rPr>
                </w:r>
                <w:r w:rsidR="002962C6" w:rsidRPr="00A3491F">
                  <w:rPr>
                    <w:webHidden/>
                    <w:lang w:val="bg-BG"/>
                  </w:rPr>
                  <w:fldChar w:fldCharType="separate"/>
                </w:r>
                <w:r w:rsidR="00B52477">
                  <w:rPr>
                    <w:noProof/>
                    <w:webHidden/>
                    <w:lang w:val="bg-BG"/>
                  </w:rPr>
                  <w:t>15</w:t>
                </w:r>
                <w:r w:rsidR="002962C6" w:rsidRPr="00A3491F">
                  <w:rPr>
                    <w:webHidden/>
                    <w:lang w:val="bg-BG"/>
                  </w:rPr>
                  <w:fldChar w:fldCharType="end"/>
                </w:r>
              </w:hyperlink>
            </w:p>
            <w:p w:rsidR="002962C6" w:rsidRPr="00A3491F" w:rsidRDefault="0074083E">
              <w:pPr>
                <w:pStyle w:val="TOC2"/>
                <w:rPr>
                  <w:sz w:val="22"/>
                  <w:lang w:val="bg-BG"/>
                </w:rPr>
              </w:pPr>
              <w:hyperlink w:anchor="_Toc496709949" w:history="1">
                <w:r w:rsidR="002962C6" w:rsidRPr="00A3491F">
                  <w:rPr>
                    <w:rStyle w:val="Hyperlink"/>
                    <w:lang w:val="bg-BG"/>
                  </w:rPr>
                  <w:t>IV.2. Специфични цели</w:t>
                </w:r>
                <w:r w:rsidR="002962C6" w:rsidRPr="00A3491F">
                  <w:rPr>
                    <w:webHidden/>
                    <w:lang w:val="bg-BG"/>
                  </w:rPr>
                  <w:tab/>
                </w:r>
              </w:hyperlink>
              <w:r w:rsidR="003A3F7E">
                <w:rPr>
                  <w:lang w:val="bg-BG"/>
                </w:rPr>
                <w:t>15</w:t>
              </w:r>
            </w:p>
            <w:p w:rsidR="002962C6" w:rsidRPr="00A3491F" w:rsidRDefault="0074083E">
              <w:pPr>
                <w:pStyle w:val="TOC2"/>
                <w:rPr>
                  <w:sz w:val="22"/>
                  <w:lang w:val="bg-BG"/>
                </w:rPr>
              </w:pPr>
              <w:hyperlink w:anchor="_Toc496709950" w:history="1">
                <w:r w:rsidR="002962C6" w:rsidRPr="00A3491F">
                  <w:rPr>
                    <w:rStyle w:val="Hyperlink"/>
                    <w:lang w:val="bg-BG"/>
                  </w:rPr>
                  <w:t>IV.3.Времеви график за постигане на целите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_Toc496709950 \h </w:instrText>
                </w:r>
                <w:r w:rsidR="002962C6" w:rsidRPr="00A3491F">
                  <w:rPr>
                    <w:webHidden/>
                    <w:lang w:val="bg-BG"/>
                  </w:rPr>
                </w:r>
                <w:r w:rsidR="002962C6" w:rsidRPr="00A3491F">
                  <w:rPr>
                    <w:webHidden/>
                    <w:lang w:val="bg-BG"/>
                  </w:rPr>
                  <w:fldChar w:fldCharType="separate"/>
                </w:r>
                <w:r w:rsidR="00B52477">
                  <w:rPr>
                    <w:noProof/>
                    <w:webHidden/>
                    <w:lang w:val="bg-BG"/>
                  </w:rPr>
                  <w:t>16</w:t>
                </w:r>
                <w:r w:rsidR="002962C6" w:rsidRPr="00A3491F">
                  <w:rPr>
                    <w:webHidden/>
                    <w:lang w:val="bg-BG"/>
                  </w:rPr>
                  <w:fldChar w:fldCharType="end"/>
                </w:r>
              </w:hyperlink>
            </w:p>
            <w:p w:rsidR="002962C6" w:rsidRPr="00A3491F" w:rsidRDefault="0074083E" w:rsidP="008633AF">
              <w:pPr>
                <w:pStyle w:val="TOC1"/>
                <w:rPr>
                  <w:sz w:val="22"/>
                  <w:lang w:val="bg-BG"/>
                </w:rPr>
              </w:pPr>
              <w:hyperlink w:anchor="_Toc496709951" w:history="1">
                <w:r w:rsidR="002962C6" w:rsidRPr="00A3491F">
                  <w:rPr>
                    <w:rStyle w:val="Hyperlink"/>
                    <w:lang w:val="bg-BG"/>
                  </w:rPr>
                  <w:t>V. Определяне на възможните варианти за действие за постигане на целите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_Toc496709951 \h </w:instrText>
                </w:r>
                <w:r w:rsidR="002962C6" w:rsidRPr="00A3491F">
                  <w:rPr>
                    <w:webHidden/>
                    <w:lang w:val="bg-BG"/>
                  </w:rPr>
                </w:r>
                <w:r w:rsidR="002962C6" w:rsidRPr="00A3491F">
                  <w:rPr>
                    <w:webHidden/>
                    <w:lang w:val="bg-BG"/>
                  </w:rPr>
                  <w:fldChar w:fldCharType="separate"/>
                </w:r>
                <w:r w:rsidR="00B52477">
                  <w:rPr>
                    <w:noProof/>
                    <w:webHidden/>
                    <w:lang w:val="bg-BG"/>
                  </w:rPr>
                  <w:t>16</w:t>
                </w:r>
                <w:r w:rsidR="002962C6" w:rsidRPr="00A3491F">
                  <w:rPr>
                    <w:webHidden/>
                    <w:lang w:val="bg-BG"/>
                  </w:rPr>
                  <w:fldChar w:fldCharType="end"/>
                </w:r>
              </w:hyperlink>
            </w:p>
            <w:p w:rsidR="002962C6" w:rsidRPr="00A3491F" w:rsidRDefault="0074083E">
              <w:pPr>
                <w:pStyle w:val="TOC2"/>
                <w:rPr>
                  <w:sz w:val="22"/>
                  <w:lang w:val="bg-BG"/>
                </w:rPr>
              </w:pPr>
              <w:hyperlink w:anchor="_Toc496709952" w:history="1">
                <w:r w:rsidR="002962C6" w:rsidRPr="00A3491F">
                  <w:rPr>
                    <w:rStyle w:val="Hyperlink"/>
                    <w:lang w:val="bg-BG"/>
                  </w:rPr>
                  <w:t>V.1. Вариант 1: Без действие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_Toc496709952 \h </w:instrText>
                </w:r>
                <w:r w:rsidR="002962C6" w:rsidRPr="00A3491F">
                  <w:rPr>
                    <w:webHidden/>
                    <w:lang w:val="bg-BG"/>
                  </w:rPr>
                </w:r>
                <w:r w:rsidR="002962C6" w:rsidRPr="00A3491F">
                  <w:rPr>
                    <w:webHidden/>
                    <w:lang w:val="bg-BG"/>
                  </w:rPr>
                  <w:fldChar w:fldCharType="separate"/>
                </w:r>
                <w:r w:rsidR="00B52477">
                  <w:rPr>
                    <w:noProof/>
                    <w:webHidden/>
                    <w:lang w:val="bg-BG"/>
                  </w:rPr>
                  <w:t>17</w:t>
                </w:r>
                <w:r w:rsidR="002962C6" w:rsidRPr="00A3491F">
                  <w:rPr>
                    <w:webHidden/>
                    <w:lang w:val="bg-BG"/>
                  </w:rPr>
                  <w:fldChar w:fldCharType="end"/>
                </w:r>
              </w:hyperlink>
            </w:p>
            <w:p w:rsidR="002962C6" w:rsidRPr="00A3491F" w:rsidRDefault="0074083E">
              <w:pPr>
                <w:pStyle w:val="TOC2"/>
                <w:rPr>
                  <w:sz w:val="22"/>
                  <w:lang w:val="bg-BG"/>
                </w:rPr>
              </w:pPr>
              <w:hyperlink w:anchor="_Toc496709953" w:history="1">
                <w:r w:rsidR="002962C6" w:rsidRPr="00A3491F">
                  <w:rPr>
                    <w:rStyle w:val="Hyperlink"/>
                    <w:lang w:val="bg-BG"/>
                  </w:rPr>
                  <w:t xml:space="preserve">V.2. Вариант 2: </w:t>
                </w:r>
                <w:r w:rsidR="009A56D1">
                  <w:rPr>
                    <w:rStyle w:val="Hyperlink"/>
                    <w:lang w:val="bg-BG"/>
                  </w:rPr>
                  <w:t>Приемане на проект на З</w:t>
                </w:r>
                <w:r w:rsidR="00C05E45">
                  <w:rPr>
                    <w:rStyle w:val="Hyperlink"/>
                    <w:lang w:val="bg-BG"/>
                  </w:rPr>
                  <w:t>акон за превенция от неблагоприятни климатични събития в зем</w:t>
                </w:r>
                <w:r w:rsidR="009A56D1">
                  <w:rPr>
                    <w:rStyle w:val="Hyperlink"/>
                    <w:lang w:val="bg-BG"/>
                  </w:rPr>
                  <w:t>е</w:t>
                </w:r>
                <w:r w:rsidR="00C05E45">
                  <w:rPr>
                    <w:rStyle w:val="Hyperlink"/>
                    <w:lang w:val="bg-BG"/>
                  </w:rPr>
                  <w:t>делието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_Toc496709953 \h </w:instrText>
                </w:r>
                <w:r w:rsidR="002962C6" w:rsidRPr="00A3491F">
                  <w:rPr>
                    <w:webHidden/>
                    <w:lang w:val="bg-BG"/>
                  </w:rPr>
                </w:r>
                <w:r w:rsidR="002962C6" w:rsidRPr="00A3491F">
                  <w:rPr>
                    <w:webHidden/>
                    <w:lang w:val="bg-BG"/>
                  </w:rPr>
                  <w:fldChar w:fldCharType="separate"/>
                </w:r>
                <w:r w:rsidR="00B52477">
                  <w:rPr>
                    <w:noProof/>
                    <w:webHidden/>
                    <w:lang w:val="bg-BG"/>
                  </w:rPr>
                  <w:t>18</w:t>
                </w:r>
                <w:r w:rsidR="002962C6" w:rsidRPr="00A3491F">
                  <w:rPr>
                    <w:webHidden/>
                    <w:lang w:val="bg-BG"/>
                  </w:rPr>
                  <w:fldChar w:fldCharType="end"/>
                </w:r>
              </w:hyperlink>
            </w:p>
            <w:p w:rsidR="002962C6" w:rsidRPr="00A3491F" w:rsidRDefault="0074083E">
              <w:pPr>
                <w:pStyle w:val="TOC2"/>
                <w:rPr>
                  <w:sz w:val="22"/>
                  <w:lang w:val="bg-BG"/>
                </w:rPr>
              </w:pPr>
              <w:hyperlink w:anchor="_Toc496709954" w:history="1">
                <w:r w:rsidR="002962C6" w:rsidRPr="00A3491F">
                  <w:rPr>
                    <w:rStyle w:val="Hyperlink"/>
                    <w:lang w:val="bg-BG"/>
                  </w:rPr>
                  <w:t xml:space="preserve">V.3. Вариант 3: </w:t>
                </w:r>
                <w:r w:rsidR="00564666">
                  <w:rPr>
                    <w:rStyle w:val="Hyperlink"/>
                    <w:lang w:val="bg-BG"/>
                  </w:rPr>
                  <w:t>Промяна на съществуващата подзаконова нормативна уредба при запазване на сегашния статут</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_Toc496709954 \h </w:instrText>
                </w:r>
                <w:r w:rsidR="002962C6" w:rsidRPr="00A3491F">
                  <w:rPr>
                    <w:webHidden/>
                    <w:lang w:val="bg-BG"/>
                  </w:rPr>
                </w:r>
                <w:r w:rsidR="002962C6" w:rsidRPr="00A3491F">
                  <w:rPr>
                    <w:webHidden/>
                    <w:lang w:val="bg-BG"/>
                  </w:rPr>
                  <w:fldChar w:fldCharType="separate"/>
                </w:r>
                <w:r w:rsidR="00B52477">
                  <w:rPr>
                    <w:noProof/>
                    <w:webHidden/>
                    <w:lang w:val="bg-BG"/>
                  </w:rPr>
                  <w:t>21</w:t>
                </w:r>
                <w:r w:rsidR="002962C6" w:rsidRPr="00A3491F">
                  <w:rPr>
                    <w:webHidden/>
                    <w:lang w:val="bg-BG"/>
                  </w:rPr>
                  <w:fldChar w:fldCharType="end"/>
                </w:r>
              </w:hyperlink>
            </w:p>
            <w:p w:rsidR="002962C6" w:rsidRPr="00A3491F" w:rsidRDefault="0074083E" w:rsidP="008633AF">
              <w:pPr>
                <w:pStyle w:val="TOC1"/>
                <w:rPr>
                  <w:sz w:val="22"/>
                  <w:lang w:val="bg-BG"/>
                </w:rPr>
              </w:pPr>
              <w:hyperlink w:anchor="_Toc496709955" w:history="1">
                <w:r w:rsidR="002962C6" w:rsidRPr="00A3491F">
                  <w:rPr>
                    <w:rStyle w:val="Hyperlink"/>
                    <w:rFonts w:eastAsia="Times New Roman"/>
                    <w:lang w:val="bg-BG"/>
                  </w:rPr>
                  <w:t>VI.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_Toc496709955 \h </w:instrText>
                </w:r>
                <w:r w:rsidR="002962C6" w:rsidRPr="00A3491F">
                  <w:rPr>
                    <w:webHidden/>
                    <w:lang w:val="bg-BG"/>
                  </w:rPr>
                </w:r>
                <w:r w:rsidR="002962C6" w:rsidRPr="00A3491F">
                  <w:rPr>
                    <w:webHidden/>
                    <w:lang w:val="bg-BG"/>
                  </w:rPr>
                  <w:fldChar w:fldCharType="separate"/>
                </w:r>
                <w:r w:rsidR="00B52477">
                  <w:rPr>
                    <w:noProof/>
                    <w:webHidden/>
                    <w:lang w:val="bg-BG"/>
                  </w:rPr>
                  <w:t>22</w:t>
                </w:r>
                <w:r w:rsidR="002962C6" w:rsidRPr="00A3491F">
                  <w:rPr>
                    <w:webHidden/>
                    <w:lang w:val="bg-BG"/>
                  </w:rPr>
                  <w:fldChar w:fldCharType="end"/>
                </w:r>
              </w:hyperlink>
            </w:p>
            <w:p w:rsidR="002962C6" w:rsidRPr="00A3491F" w:rsidRDefault="0074083E">
              <w:pPr>
                <w:pStyle w:val="TOC2"/>
                <w:rPr>
                  <w:sz w:val="22"/>
                  <w:lang w:val="bg-BG"/>
                </w:rPr>
              </w:pPr>
              <w:hyperlink w:anchor="_Toc496709956" w:history="1">
                <w:r w:rsidR="002962C6" w:rsidRPr="00A3491F">
                  <w:rPr>
                    <w:rStyle w:val="Hyperlink"/>
                    <w:rFonts w:eastAsia="Times New Roman"/>
                    <w:lang w:val="bg-BG"/>
                  </w:rPr>
                  <w:t>VI.1. Вариант 1: Без действие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_Toc496709956 \h </w:instrText>
                </w:r>
                <w:r w:rsidR="002962C6" w:rsidRPr="00A3491F">
                  <w:rPr>
                    <w:webHidden/>
                    <w:lang w:val="bg-BG"/>
                  </w:rPr>
                </w:r>
                <w:r w:rsidR="002962C6" w:rsidRPr="00A3491F">
                  <w:rPr>
                    <w:webHidden/>
                    <w:lang w:val="bg-BG"/>
                  </w:rPr>
                  <w:fldChar w:fldCharType="separate"/>
                </w:r>
                <w:r w:rsidR="00B52477">
                  <w:rPr>
                    <w:noProof/>
                    <w:webHidden/>
                    <w:lang w:val="bg-BG"/>
                  </w:rPr>
                  <w:t>22</w:t>
                </w:r>
                <w:r w:rsidR="002962C6" w:rsidRPr="00A3491F">
                  <w:rPr>
                    <w:webHidden/>
                    <w:lang w:val="bg-BG"/>
                  </w:rPr>
                  <w:fldChar w:fldCharType="end"/>
                </w:r>
              </w:hyperlink>
            </w:p>
            <w:p w:rsidR="002962C6" w:rsidRPr="00A3491F" w:rsidRDefault="0074083E">
              <w:pPr>
                <w:pStyle w:val="TOC2"/>
                <w:rPr>
                  <w:sz w:val="22"/>
                  <w:lang w:val="bg-BG"/>
                </w:rPr>
              </w:pPr>
              <w:hyperlink w:anchor="_Toc496709957" w:history="1">
                <w:r w:rsidR="002962C6" w:rsidRPr="00564666">
                  <w:rPr>
                    <w:rStyle w:val="Hyperlink"/>
                    <w:rFonts w:eastAsia="Times New Roman"/>
                    <w:lang w:val="bg-BG"/>
                  </w:rPr>
                  <w:t xml:space="preserve">VI.2. </w:t>
                </w:r>
                <w:r w:rsidR="00564666" w:rsidRPr="00564666">
                  <w:rPr>
                    <w:rStyle w:val="Hyperlink"/>
                    <w:rFonts w:eastAsia="Times New Roman"/>
                    <w:lang w:val="bg-BG"/>
                  </w:rPr>
                  <w:t xml:space="preserve">Вариант 2: Приемане на проект на </w:t>
                </w:r>
                <w:r w:rsidR="009A56D1">
                  <w:rPr>
                    <w:rStyle w:val="Hyperlink"/>
                    <w:rFonts w:eastAsia="Times New Roman"/>
                    <w:lang w:val="bg-BG"/>
                  </w:rPr>
                  <w:t>З</w:t>
                </w:r>
                <w:r w:rsidR="00564666" w:rsidRPr="00564666">
                  <w:rPr>
                    <w:rStyle w:val="Hyperlink"/>
                    <w:rFonts w:eastAsia="Times New Roman"/>
                    <w:lang w:val="bg-BG"/>
                  </w:rPr>
                  <w:t>акон за превенция от неблагоприятни климатични събития в зем</w:t>
                </w:r>
                <w:r w:rsidR="009A56D1">
                  <w:rPr>
                    <w:rStyle w:val="Hyperlink"/>
                    <w:rFonts w:eastAsia="Times New Roman"/>
                    <w:lang w:val="bg-BG"/>
                  </w:rPr>
                  <w:t>е</w:t>
                </w:r>
                <w:r w:rsidR="00564666" w:rsidRPr="00564666">
                  <w:rPr>
                    <w:rStyle w:val="Hyperlink"/>
                    <w:rFonts w:eastAsia="Times New Roman"/>
                    <w:lang w:val="bg-BG"/>
                  </w:rPr>
                  <w:t>делието</w:t>
                </w:r>
                <w:r w:rsidR="002962C6" w:rsidRPr="00564666">
                  <w:rPr>
                    <w:rStyle w:val="Hyperlink"/>
                    <w:webHidden/>
                    <w:lang w:val="bg-BG"/>
                  </w:rPr>
                  <w:tab/>
                </w:r>
                <w:r w:rsidR="002962C6" w:rsidRPr="00564666">
                  <w:rPr>
                    <w:rStyle w:val="Hyperlink"/>
                    <w:webHidden/>
                    <w:lang w:val="bg-BG"/>
                  </w:rPr>
                  <w:fldChar w:fldCharType="begin"/>
                </w:r>
                <w:r w:rsidR="002962C6" w:rsidRPr="00564666">
                  <w:rPr>
                    <w:rStyle w:val="Hyperlink"/>
                    <w:webHidden/>
                    <w:lang w:val="bg-BG"/>
                  </w:rPr>
                  <w:instrText xml:space="preserve"> PAGEREF _Toc496709957 \h </w:instrText>
                </w:r>
                <w:r w:rsidR="002962C6" w:rsidRPr="00564666">
                  <w:rPr>
                    <w:rStyle w:val="Hyperlink"/>
                    <w:webHidden/>
                    <w:lang w:val="bg-BG"/>
                  </w:rPr>
                </w:r>
                <w:r w:rsidR="002962C6" w:rsidRPr="00564666">
                  <w:rPr>
                    <w:rStyle w:val="Hyperlink"/>
                    <w:webHidden/>
                    <w:lang w:val="bg-BG"/>
                  </w:rPr>
                  <w:fldChar w:fldCharType="separate"/>
                </w:r>
                <w:r w:rsidR="00B52477">
                  <w:rPr>
                    <w:rStyle w:val="Hyperlink"/>
                    <w:noProof/>
                    <w:webHidden/>
                    <w:lang w:val="bg-BG"/>
                  </w:rPr>
                  <w:t>22</w:t>
                </w:r>
                <w:r w:rsidR="002962C6" w:rsidRPr="00564666">
                  <w:rPr>
                    <w:rStyle w:val="Hyperlink"/>
                    <w:webHidden/>
                    <w:lang w:val="bg-BG"/>
                  </w:rPr>
                  <w:fldChar w:fldCharType="end"/>
                </w:r>
              </w:hyperlink>
            </w:p>
            <w:p w:rsidR="002962C6" w:rsidRPr="00A3491F" w:rsidRDefault="0074083E">
              <w:pPr>
                <w:pStyle w:val="TOC2"/>
                <w:rPr>
                  <w:sz w:val="22"/>
                  <w:lang w:val="bg-BG"/>
                </w:rPr>
              </w:pPr>
              <w:hyperlink w:anchor="_Toc496709958" w:history="1">
                <w:r w:rsidR="002962C6" w:rsidRPr="00564666">
                  <w:rPr>
                    <w:rStyle w:val="Hyperlink"/>
                    <w:rFonts w:eastAsia="Times New Roman"/>
                    <w:lang w:val="bg-BG"/>
                  </w:rPr>
                  <w:t xml:space="preserve">VI.3. </w:t>
                </w:r>
                <w:r w:rsidR="00564666" w:rsidRPr="00564666">
                  <w:rPr>
                    <w:rStyle w:val="Hyperlink"/>
                    <w:rFonts w:eastAsia="Times New Roman"/>
                    <w:lang w:val="bg-BG"/>
                  </w:rPr>
                  <w:t>Вариант 3: Промяна на съществуващата подзаконова нормативна уредба при запазване на сегашния статут</w:t>
                </w:r>
                <w:r w:rsidR="002962C6" w:rsidRPr="00564666">
                  <w:rPr>
                    <w:rStyle w:val="Hyperlink"/>
                    <w:webHidden/>
                    <w:lang w:val="bg-BG"/>
                  </w:rPr>
                  <w:tab/>
                </w:r>
                <w:r w:rsidR="002962C6" w:rsidRPr="00564666">
                  <w:rPr>
                    <w:rStyle w:val="Hyperlink"/>
                    <w:webHidden/>
                    <w:lang w:val="bg-BG"/>
                  </w:rPr>
                  <w:fldChar w:fldCharType="begin"/>
                </w:r>
                <w:r w:rsidR="002962C6" w:rsidRPr="00564666">
                  <w:rPr>
                    <w:rStyle w:val="Hyperlink"/>
                    <w:webHidden/>
                    <w:lang w:val="bg-BG"/>
                  </w:rPr>
                  <w:instrText xml:space="preserve"> PAGEREF _Toc496709958 \h </w:instrText>
                </w:r>
                <w:r w:rsidR="002962C6" w:rsidRPr="00564666">
                  <w:rPr>
                    <w:rStyle w:val="Hyperlink"/>
                    <w:webHidden/>
                    <w:lang w:val="bg-BG"/>
                  </w:rPr>
                </w:r>
                <w:r w:rsidR="002962C6" w:rsidRPr="00564666">
                  <w:rPr>
                    <w:rStyle w:val="Hyperlink"/>
                    <w:webHidden/>
                    <w:lang w:val="bg-BG"/>
                  </w:rPr>
                  <w:fldChar w:fldCharType="separate"/>
                </w:r>
                <w:r w:rsidR="00B52477">
                  <w:rPr>
                    <w:rStyle w:val="Hyperlink"/>
                    <w:noProof/>
                    <w:webHidden/>
                    <w:lang w:val="bg-BG"/>
                  </w:rPr>
                  <w:t>24</w:t>
                </w:r>
                <w:r w:rsidR="002962C6" w:rsidRPr="00564666">
                  <w:rPr>
                    <w:rStyle w:val="Hyperlink"/>
                    <w:webHidden/>
                    <w:lang w:val="bg-BG"/>
                  </w:rPr>
                  <w:fldChar w:fldCharType="end"/>
                </w:r>
              </w:hyperlink>
            </w:p>
            <w:p w:rsidR="002962C6" w:rsidRPr="00A3491F" w:rsidRDefault="0074083E" w:rsidP="008633AF">
              <w:pPr>
                <w:pStyle w:val="TOC1"/>
                <w:rPr>
                  <w:sz w:val="22"/>
                  <w:lang w:val="bg-BG"/>
                </w:rPr>
              </w:pPr>
              <w:hyperlink w:anchor="_Toc496709959" w:history="1">
                <w:r w:rsidR="002962C6" w:rsidRPr="00564666">
                  <w:rPr>
                    <w:rStyle w:val="Hyperlink"/>
                    <w:rFonts w:eastAsia="Times New Roman"/>
                    <w:lang w:val="bg-BG"/>
                  </w:rPr>
                  <w:t xml:space="preserve">VII. </w:t>
                </w:r>
                <w:r w:rsidR="00564666" w:rsidRPr="00564666">
                  <w:rPr>
                    <w:rStyle w:val="Hyperlink"/>
                    <w:rFonts w:eastAsia="Times New Roman"/>
                    <w:lang w:val="bg-BG"/>
                  </w:rPr>
                  <w:t xml:space="preserve">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w:t>
                </w:r>
                <w:r w:rsidR="00564666">
                  <w:rPr>
                    <w:rStyle w:val="Hyperlink"/>
                    <w:rFonts w:eastAsia="Times New Roman"/>
                    <w:lang w:val="bg-BG"/>
                  </w:rPr>
                  <w:t>разходи</w:t>
                </w:r>
                <w:r w:rsidR="00564666" w:rsidRPr="00564666">
                  <w:rPr>
                    <w:rStyle w:val="Hyperlink"/>
                    <w:rFonts w:eastAsia="Times New Roman"/>
                    <w:lang w:val="bg-BG"/>
                  </w:rPr>
                  <w:t>,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2962C6" w:rsidRPr="00564666">
                  <w:rPr>
                    <w:rStyle w:val="Hyperlink"/>
                    <w:webHidden/>
                    <w:lang w:val="bg-BG"/>
                  </w:rPr>
                  <w:tab/>
                </w:r>
                <w:r w:rsidR="002962C6" w:rsidRPr="00564666">
                  <w:rPr>
                    <w:rStyle w:val="Hyperlink"/>
                    <w:webHidden/>
                    <w:lang w:val="bg-BG"/>
                  </w:rPr>
                  <w:fldChar w:fldCharType="begin"/>
                </w:r>
                <w:r w:rsidR="002962C6" w:rsidRPr="00564666">
                  <w:rPr>
                    <w:rStyle w:val="Hyperlink"/>
                    <w:webHidden/>
                    <w:lang w:val="bg-BG"/>
                  </w:rPr>
                  <w:instrText xml:space="preserve"> PAGEREF _Toc496709959 \h </w:instrText>
                </w:r>
                <w:r w:rsidR="002962C6" w:rsidRPr="00564666">
                  <w:rPr>
                    <w:rStyle w:val="Hyperlink"/>
                    <w:webHidden/>
                    <w:lang w:val="bg-BG"/>
                  </w:rPr>
                </w:r>
                <w:r w:rsidR="002962C6" w:rsidRPr="00564666">
                  <w:rPr>
                    <w:rStyle w:val="Hyperlink"/>
                    <w:webHidden/>
                    <w:lang w:val="bg-BG"/>
                  </w:rPr>
                  <w:fldChar w:fldCharType="separate"/>
                </w:r>
                <w:r w:rsidR="00B52477">
                  <w:rPr>
                    <w:rStyle w:val="Hyperlink"/>
                    <w:noProof/>
                    <w:webHidden/>
                    <w:lang w:val="bg-BG"/>
                  </w:rPr>
                  <w:t>24</w:t>
                </w:r>
                <w:r w:rsidR="002962C6" w:rsidRPr="00564666">
                  <w:rPr>
                    <w:rStyle w:val="Hyperlink"/>
                    <w:webHidden/>
                    <w:lang w:val="bg-BG"/>
                  </w:rPr>
                  <w:fldChar w:fldCharType="end"/>
                </w:r>
              </w:hyperlink>
            </w:p>
            <w:p w:rsidR="002962C6" w:rsidRPr="00C53587" w:rsidRDefault="00A77283">
              <w:pPr>
                <w:pStyle w:val="TOC2"/>
                <w:rPr>
                  <w:sz w:val="22"/>
                  <w:lang w:val="ru-RU"/>
                </w:rPr>
              </w:pPr>
              <w:hyperlink w:anchor="_Toc496709960" w:history="1">
                <w:r w:rsidR="002962C6" w:rsidRPr="00A3491F">
                  <w:rPr>
                    <w:rStyle w:val="Hyperlink"/>
                    <w:rFonts w:eastAsia="Times New Roman"/>
                    <w:lang w:val="bg-BG"/>
                  </w:rPr>
                  <w:t>VII.1. Вариант 1: Без действие</w:t>
                </w:r>
                <w:r w:rsidR="002962C6" w:rsidRPr="00A3491F">
                  <w:rPr>
                    <w:webHidden/>
                    <w:lang w:val="bg-BG"/>
                  </w:rPr>
                  <w:tab/>
                </w:r>
              </w:hyperlink>
              <w:r w:rsidR="00564666">
                <w:rPr>
                  <w:lang w:val="bg-BG"/>
                </w:rPr>
                <w:t>2</w:t>
              </w:r>
              <w:r w:rsidR="008633AF" w:rsidRPr="00C53587">
                <w:rPr>
                  <w:lang w:val="ru-RU"/>
                </w:rPr>
                <w:t>5</w:t>
              </w:r>
            </w:p>
            <w:p w:rsidR="002962C6" w:rsidRPr="00A3491F" w:rsidRDefault="00A77283">
              <w:pPr>
                <w:pStyle w:val="TOC2"/>
                <w:rPr>
                  <w:sz w:val="22"/>
                  <w:lang w:val="bg-BG"/>
                </w:rPr>
              </w:pPr>
              <w:hyperlink w:anchor="_Toc496709961" w:history="1">
                <w:r w:rsidR="002962C6" w:rsidRPr="00564666">
                  <w:rPr>
                    <w:rStyle w:val="Hyperlink"/>
                    <w:rFonts w:eastAsia="Times New Roman"/>
                    <w:lang w:val="bg-BG"/>
                  </w:rPr>
                  <w:t xml:space="preserve">VII.2. </w:t>
                </w:r>
                <w:r w:rsidR="00564666" w:rsidRPr="00564666">
                  <w:rPr>
                    <w:rStyle w:val="Hyperlink"/>
                    <w:rFonts w:eastAsia="Times New Roman"/>
                    <w:lang w:val="bg-BG"/>
                  </w:rPr>
                  <w:t xml:space="preserve">Вариант 2: </w:t>
                </w:r>
                <w:r w:rsidR="009A56D1">
                  <w:rPr>
                    <w:rStyle w:val="Hyperlink"/>
                    <w:rFonts w:eastAsia="Times New Roman"/>
                    <w:lang w:val="bg-BG"/>
                  </w:rPr>
                  <w:t>Приемане на проект на З</w:t>
                </w:r>
                <w:r w:rsidR="00564666" w:rsidRPr="00564666">
                  <w:rPr>
                    <w:rStyle w:val="Hyperlink"/>
                    <w:rFonts w:eastAsia="Times New Roman"/>
                    <w:lang w:val="bg-BG"/>
                  </w:rPr>
                  <w:t>акон за превенция от неблагоприятни климатични събития в зем</w:t>
                </w:r>
                <w:r w:rsidR="009A56D1">
                  <w:rPr>
                    <w:rStyle w:val="Hyperlink"/>
                    <w:rFonts w:eastAsia="Times New Roman"/>
                    <w:lang w:val="bg-BG"/>
                  </w:rPr>
                  <w:t>е</w:t>
                </w:r>
                <w:r w:rsidR="00564666" w:rsidRPr="00564666">
                  <w:rPr>
                    <w:rStyle w:val="Hyperlink"/>
                    <w:rFonts w:eastAsia="Times New Roman"/>
                    <w:lang w:val="bg-BG"/>
                  </w:rPr>
                  <w:t>делието</w:t>
                </w:r>
                <w:r w:rsidR="002962C6" w:rsidRPr="00564666">
                  <w:rPr>
                    <w:rStyle w:val="Hyperlink"/>
                    <w:webHidden/>
                    <w:lang w:val="bg-BG"/>
                  </w:rPr>
                  <w:tab/>
                </w:r>
              </w:hyperlink>
              <w:r w:rsidR="00564666">
                <w:rPr>
                  <w:lang w:val="bg-BG"/>
                </w:rPr>
                <w:t>26</w:t>
              </w:r>
            </w:p>
            <w:p w:rsidR="002962C6" w:rsidRDefault="00A77283">
              <w:pPr>
                <w:pStyle w:val="TOC2"/>
                <w:rPr>
                  <w:lang w:val="bg-BG"/>
                </w:rPr>
              </w:pPr>
              <w:hyperlink w:anchor="_Toc496709962" w:history="1">
                <w:r w:rsidR="002962C6" w:rsidRPr="00564666">
                  <w:rPr>
                    <w:rStyle w:val="Hyperlink"/>
                    <w:rFonts w:eastAsia="Times New Roman"/>
                    <w:lang w:val="bg-BG"/>
                  </w:rPr>
                  <w:t xml:space="preserve">VII.3. </w:t>
                </w:r>
                <w:r w:rsidR="00564666" w:rsidRPr="00564666">
                  <w:rPr>
                    <w:rStyle w:val="Hyperlink"/>
                    <w:rFonts w:eastAsia="Times New Roman"/>
                    <w:lang w:val="bg-BG"/>
                  </w:rPr>
                  <w:t>Вариант 3: Промяна на съществуващата подзаконова нормативна уредба при запазване на сегашния статут</w:t>
                </w:r>
                <w:r w:rsidR="002962C6" w:rsidRPr="00564666">
                  <w:rPr>
                    <w:rStyle w:val="Hyperlink"/>
                    <w:webHidden/>
                    <w:lang w:val="bg-BG"/>
                  </w:rPr>
                  <w:tab/>
                </w:r>
                <w:r w:rsidR="002962C6" w:rsidRPr="00564666">
                  <w:rPr>
                    <w:rStyle w:val="Hyperlink"/>
                    <w:webHidden/>
                    <w:lang w:val="bg-BG"/>
                  </w:rPr>
                  <w:fldChar w:fldCharType="begin"/>
                </w:r>
                <w:r w:rsidR="002962C6" w:rsidRPr="00564666">
                  <w:rPr>
                    <w:rStyle w:val="Hyperlink"/>
                    <w:webHidden/>
                    <w:lang w:val="bg-BG"/>
                  </w:rPr>
                  <w:instrText xml:space="preserve"> PAGEREF _Toc496709962 \h </w:instrText>
                </w:r>
                <w:r w:rsidR="002962C6" w:rsidRPr="00564666">
                  <w:rPr>
                    <w:rStyle w:val="Hyperlink"/>
                    <w:webHidden/>
                    <w:lang w:val="bg-BG"/>
                  </w:rPr>
                </w:r>
                <w:r w:rsidR="002962C6" w:rsidRPr="00564666">
                  <w:rPr>
                    <w:rStyle w:val="Hyperlink"/>
                    <w:webHidden/>
                    <w:lang w:val="bg-BG"/>
                  </w:rPr>
                  <w:fldChar w:fldCharType="separate"/>
                </w:r>
                <w:r w:rsidR="00B52477">
                  <w:rPr>
                    <w:rStyle w:val="Hyperlink"/>
                    <w:noProof/>
                    <w:webHidden/>
                    <w:lang w:val="bg-BG"/>
                  </w:rPr>
                  <w:t>35</w:t>
                </w:r>
                <w:r w:rsidR="002962C6" w:rsidRPr="00564666">
                  <w:rPr>
                    <w:rStyle w:val="Hyperlink"/>
                    <w:webHidden/>
                    <w:lang w:val="bg-BG"/>
                  </w:rPr>
                  <w:fldChar w:fldCharType="end"/>
                </w:r>
              </w:hyperlink>
              <w:r w:rsidR="00564666">
                <w:rPr>
                  <w:lang w:val="bg-BG"/>
                </w:rPr>
                <w:t>1</w:t>
              </w:r>
            </w:p>
            <w:p w:rsidR="00564666" w:rsidRDefault="00564666" w:rsidP="00564666">
              <w:pPr>
                <w:rPr>
                  <w:lang w:val="bg-BG"/>
                </w:rPr>
              </w:pPr>
              <w:r>
                <w:t>VIII</w:t>
              </w:r>
              <w:r w:rsidRPr="00C53587">
                <w:rPr>
                  <w:lang w:val="ru-RU"/>
                </w:rPr>
                <w:t xml:space="preserve">. </w:t>
              </w:r>
              <w:r>
                <w:rPr>
                  <w:lang w:val="bg-BG"/>
                </w:rPr>
                <w:t>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регистри………32</w:t>
              </w:r>
            </w:p>
            <w:p w:rsidR="00564666" w:rsidRDefault="00564666" w:rsidP="00564666">
              <w:pPr>
                <w:rPr>
                  <w:lang w:val="bg-BG"/>
                </w:rPr>
              </w:pPr>
              <w:r>
                <w:t>VIII</w:t>
              </w:r>
              <w:r w:rsidRPr="00C53587">
                <w:rPr>
                  <w:lang w:val="ru-RU"/>
                </w:rPr>
                <w:t>.1. Вариант 1: Без действие</w:t>
              </w:r>
              <w:r>
                <w:rPr>
                  <w:lang w:val="bg-BG"/>
                </w:rPr>
                <w:t>……………………………………………………………………..32</w:t>
              </w:r>
            </w:p>
            <w:p w:rsidR="00564666" w:rsidRDefault="00564666" w:rsidP="00564666">
              <w:pPr>
                <w:rPr>
                  <w:lang w:val="bg-BG"/>
                </w:rPr>
              </w:pPr>
              <w:r w:rsidRPr="00564666">
                <w:t>VIII</w:t>
              </w:r>
              <w:r w:rsidRPr="00C53587">
                <w:rPr>
                  <w:lang w:val="ru-RU"/>
                </w:rPr>
                <w:t>.</w:t>
              </w:r>
              <w:r>
                <w:rPr>
                  <w:lang w:val="bg-BG"/>
                </w:rPr>
                <w:t>2</w:t>
              </w:r>
              <w:r w:rsidRPr="00C53587">
                <w:rPr>
                  <w:lang w:val="ru-RU"/>
                </w:rPr>
                <w:t xml:space="preserve">. Вариант </w:t>
              </w:r>
              <w:r>
                <w:rPr>
                  <w:lang w:val="bg-BG"/>
                </w:rPr>
                <w:t>2</w:t>
              </w:r>
              <w:r w:rsidRPr="00C53587">
                <w:rPr>
                  <w:lang w:val="ru-RU"/>
                </w:rPr>
                <w:t xml:space="preserve">: Приемане на проект на </w:t>
              </w:r>
              <w:r w:rsidR="009A56D1">
                <w:rPr>
                  <w:lang w:val="bg-BG"/>
                </w:rPr>
                <w:t>З</w:t>
              </w:r>
              <w:r w:rsidRPr="00C53587">
                <w:rPr>
                  <w:lang w:val="ru-RU"/>
                </w:rPr>
                <w:t>акон за превенция от неблагоприятни климатични събития в зем</w:t>
              </w:r>
              <w:r w:rsidR="009A56D1">
                <w:rPr>
                  <w:lang w:val="bg-BG"/>
                </w:rPr>
                <w:t>е</w:t>
              </w:r>
              <w:r w:rsidRPr="00C53587">
                <w:rPr>
                  <w:lang w:val="ru-RU"/>
                </w:rPr>
                <w:t>делието</w:t>
              </w:r>
              <w:r>
                <w:rPr>
                  <w:lang w:val="bg-BG"/>
                </w:rPr>
                <w:t>……………………………………………………………………………..32</w:t>
              </w:r>
            </w:p>
            <w:p w:rsidR="00564666" w:rsidRPr="00564666" w:rsidRDefault="00564666" w:rsidP="00564666">
              <w:pPr>
                <w:rPr>
                  <w:lang w:val="bg-BG"/>
                </w:rPr>
              </w:pPr>
              <w:r w:rsidRPr="00564666">
                <w:t>VIII</w:t>
              </w:r>
              <w:r w:rsidRPr="00C53587">
                <w:rPr>
                  <w:lang w:val="ru-RU"/>
                </w:rPr>
                <w:t>.</w:t>
              </w:r>
              <w:r>
                <w:rPr>
                  <w:lang w:val="bg-BG"/>
                </w:rPr>
                <w:t>3</w:t>
              </w:r>
              <w:r w:rsidRPr="00C53587">
                <w:rPr>
                  <w:lang w:val="ru-RU"/>
                </w:rPr>
                <w:t xml:space="preserve">. Вариант </w:t>
              </w:r>
              <w:r>
                <w:rPr>
                  <w:lang w:val="bg-BG"/>
                </w:rPr>
                <w:t>3</w:t>
              </w:r>
              <w:r w:rsidRPr="00C53587">
                <w:rPr>
                  <w:lang w:val="ru-RU"/>
                </w:rPr>
                <w:t>: Промяна на съществуващата подзаконова нормативна уредба при запазване на сегашния статут</w:t>
              </w:r>
              <w:r>
                <w:rPr>
                  <w:lang w:val="bg-BG"/>
                </w:rPr>
                <w:t>…………………………………………………………………………………33</w:t>
              </w:r>
            </w:p>
            <w:p w:rsidR="002962C6" w:rsidRPr="00A3491F" w:rsidRDefault="00FB6A54" w:rsidP="008633AF">
              <w:pPr>
                <w:pStyle w:val="TOC1"/>
                <w:rPr>
                  <w:sz w:val="22"/>
                  <w:lang w:val="bg-BG"/>
                </w:rPr>
              </w:pPr>
              <w:hyperlink w:anchor="_Toc496709963" w:history="1">
                <w:r w:rsidR="002962C6" w:rsidRPr="00A3491F">
                  <w:rPr>
                    <w:rStyle w:val="Hyperlink"/>
                    <w:rFonts w:eastAsia="Times New Roman"/>
                    <w:lang w:val="bg-BG"/>
                  </w:rPr>
                  <w:t>I</w:t>
                </w:r>
                <w:r w:rsidR="00EA7BE6">
                  <w:rPr>
                    <w:rStyle w:val="Hyperlink"/>
                    <w:rFonts w:eastAsia="Times New Roman"/>
                  </w:rPr>
                  <w:t>X</w:t>
                </w:r>
                <w:r w:rsidR="002962C6" w:rsidRPr="00A3491F">
                  <w:rPr>
                    <w:rStyle w:val="Hyperlink"/>
                    <w:rFonts w:eastAsia="Times New Roman"/>
                    <w:lang w:val="bg-BG"/>
                  </w:rPr>
                  <w:t>. Oписание на негативните (разходите) и положителните (ползите) въздействия за всяка от заинтересованите страни, за всеки от вариантите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_Toc496709963 \h </w:instrText>
                </w:r>
                <w:r w:rsidR="002962C6" w:rsidRPr="00A3491F">
                  <w:rPr>
                    <w:webHidden/>
                    <w:lang w:val="bg-BG"/>
                  </w:rPr>
                </w:r>
                <w:r w:rsidR="002962C6" w:rsidRPr="00A3491F">
                  <w:rPr>
                    <w:webHidden/>
                    <w:lang w:val="bg-BG"/>
                  </w:rPr>
                  <w:fldChar w:fldCharType="separate"/>
                </w:r>
                <w:r w:rsidR="00B52477">
                  <w:rPr>
                    <w:noProof/>
                    <w:webHidden/>
                    <w:lang w:val="bg-BG"/>
                  </w:rPr>
                  <w:t>35</w:t>
                </w:r>
                <w:r w:rsidR="002962C6" w:rsidRPr="00A3491F">
                  <w:rPr>
                    <w:webHidden/>
                    <w:lang w:val="bg-BG"/>
                  </w:rPr>
                  <w:fldChar w:fldCharType="end"/>
                </w:r>
              </w:hyperlink>
            </w:p>
            <w:p w:rsidR="002962C6" w:rsidRPr="00A3491F" w:rsidRDefault="00FB6A54">
              <w:pPr>
                <w:pStyle w:val="TOC2"/>
                <w:rPr>
                  <w:sz w:val="22"/>
                  <w:lang w:val="bg-BG"/>
                </w:rPr>
              </w:pPr>
              <w:hyperlink w:anchor="_Toc496709964" w:history="1">
                <w:r w:rsidR="00EA7BE6" w:rsidRPr="00EA7BE6">
                  <w:rPr>
                    <w:rStyle w:val="Hyperlink"/>
                    <w:rFonts w:eastAsia="Times New Roman"/>
                    <w:lang w:val="bg-BG"/>
                  </w:rPr>
                  <w:t>IX</w:t>
                </w:r>
                <w:r w:rsidR="002962C6" w:rsidRPr="00EA7BE6">
                  <w:rPr>
                    <w:rStyle w:val="Hyperlink"/>
                    <w:rFonts w:eastAsia="Times New Roman"/>
                    <w:lang w:val="bg-BG"/>
                  </w:rPr>
                  <w:t>.1. Вариант 1: Без действие</w:t>
                </w:r>
                <w:r w:rsidR="002962C6" w:rsidRPr="00EA7BE6">
                  <w:rPr>
                    <w:rStyle w:val="Hyperlink"/>
                    <w:webHidden/>
                    <w:lang w:val="bg-BG"/>
                  </w:rPr>
                  <w:tab/>
                </w:r>
                <w:r w:rsidR="002962C6" w:rsidRPr="00EA7BE6">
                  <w:rPr>
                    <w:rStyle w:val="Hyperlink"/>
                    <w:webHidden/>
                    <w:lang w:val="bg-BG"/>
                  </w:rPr>
                  <w:fldChar w:fldCharType="begin"/>
                </w:r>
                <w:r w:rsidR="002962C6" w:rsidRPr="00EA7BE6">
                  <w:rPr>
                    <w:rStyle w:val="Hyperlink"/>
                    <w:webHidden/>
                    <w:lang w:val="bg-BG"/>
                  </w:rPr>
                  <w:instrText xml:space="preserve"> PAGEREF _Toc496709964 \h </w:instrText>
                </w:r>
                <w:r w:rsidR="002962C6" w:rsidRPr="00EA7BE6">
                  <w:rPr>
                    <w:rStyle w:val="Hyperlink"/>
                    <w:webHidden/>
                    <w:lang w:val="bg-BG"/>
                  </w:rPr>
                </w:r>
                <w:r w:rsidR="002962C6" w:rsidRPr="00EA7BE6">
                  <w:rPr>
                    <w:rStyle w:val="Hyperlink"/>
                    <w:webHidden/>
                    <w:lang w:val="bg-BG"/>
                  </w:rPr>
                  <w:fldChar w:fldCharType="separate"/>
                </w:r>
                <w:r w:rsidR="00B52477">
                  <w:rPr>
                    <w:rStyle w:val="Hyperlink"/>
                    <w:noProof/>
                    <w:webHidden/>
                    <w:lang w:val="bg-BG"/>
                  </w:rPr>
                  <w:t>35</w:t>
                </w:r>
                <w:r w:rsidR="002962C6" w:rsidRPr="00EA7BE6">
                  <w:rPr>
                    <w:rStyle w:val="Hyperlink"/>
                    <w:webHidden/>
                    <w:lang w:val="bg-BG"/>
                  </w:rPr>
                  <w:fldChar w:fldCharType="end"/>
                </w:r>
              </w:hyperlink>
            </w:p>
            <w:p w:rsidR="002962C6" w:rsidRPr="00EA7BE6" w:rsidRDefault="00FB6A54">
              <w:pPr>
                <w:pStyle w:val="TOC2"/>
                <w:rPr>
                  <w:sz w:val="22"/>
                </w:rPr>
              </w:pPr>
              <w:hyperlink w:anchor="_Toc496709965" w:history="1">
                <w:r w:rsidR="00EA7BE6" w:rsidRPr="00EA7BE6">
                  <w:rPr>
                    <w:rStyle w:val="Hyperlink"/>
                    <w:rFonts w:eastAsia="Times New Roman"/>
                    <w:lang w:val="bg-BG"/>
                  </w:rPr>
                  <w:t>IX</w:t>
                </w:r>
                <w:r w:rsidR="002962C6" w:rsidRPr="00EA7BE6">
                  <w:rPr>
                    <w:rStyle w:val="Hyperlink"/>
                    <w:rFonts w:eastAsia="Times New Roman"/>
                    <w:lang w:val="bg-BG"/>
                  </w:rPr>
                  <w:t xml:space="preserve">.2. </w:t>
                </w:r>
                <w:r w:rsidR="00EA7BE6" w:rsidRPr="00EA7BE6">
                  <w:rPr>
                    <w:rStyle w:val="Hyperlink"/>
                    <w:rFonts w:eastAsia="Times New Roman"/>
                  </w:rPr>
                  <w:t xml:space="preserve">Вариант </w:t>
                </w:r>
                <w:r w:rsidR="00EA7BE6" w:rsidRPr="00EA7BE6">
                  <w:rPr>
                    <w:rStyle w:val="Hyperlink"/>
                    <w:rFonts w:eastAsia="Times New Roman"/>
                    <w:lang w:val="bg-BG"/>
                  </w:rPr>
                  <w:t>2</w:t>
                </w:r>
                <w:r w:rsidR="00EA7BE6" w:rsidRPr="00EA7BE6">
                  <w:rPr>
                    <w:rStyle w:val="Hyperlink"/>
                    <w:rFonts w:eastAsia="Times New Roman"/>
                  </w:rPr>
                  <w:t xml:space="preserve">: Приемане на проект на </w:t>
                </w:r>
                <w:r w:rsidR="009A56D1">
                  <w:rPr>
                    <w:rStyle w:val="Hyperlink"/>
                    <w:rFonts w:eastAsia="Times New Roman"/>
                    <w:lang w:val="bg-BG"/>
                  </w:rPr>
                  <w:t>З</w:t>
                </w:r>
                <w:r w:rsidR="00EA7BE6" w:rsidRPr="00EA7BE6">
                  <w:rPr>
                    <w:rStyle w:val="Hyperlink"/>
                    <w:rFonts w:eastAsia="Times New Roman"/>
                  </w:rPr>
                  <w:t>акон за превенция от неблагоприятни климатични събития в зем</w:t>
                </w:r>
                <w:r w:rsidR="009A56D1">
                  <w:rPr>
                    <w:rStyle w:val="Hyperlink"/>
                    <w:rFonts w:eastAsia="Times New Roman"/>
                    <w:lang w:val="bg-BG"/>
                  </w:rPr>
                  <w:t>е</w:t>
                </w:r>
                <w:r w:rsidR="00EA7BE6" w:rsidRPr="00EA7BE6">
                  <w:rPr>
                    <w:rStyle w:val="Hyperlink"/>
                    <w:rFonts w:eastAsia="Times New Roman"/>
                  </w:rPr>
                  <w:t>делието</w:t>
                </w:r>
                <w:r w:rsidR="002962C6" w:rsidRPr="00EA7BE6">
                  <w:rPr>
                    <w:rStyle w:val="Hyperlink"/>
                    <w:webHidden/>
                    <w:lang w:val="bg-BG"/>
                  </w:rPr>
                  <w:tab/>
                </w:r>
                <w:r w:rsidR="002962C6" w:rsidRPr="00EA7BE6">
                  <w:rPr>
                    <w:rStyle w:val="Hyperlink"/>
                    <w:webHidden/>
                    <w:lang w:val="bg-BG"/>
                  </w:rPr>
                  <w:fldChar w:fldCharType="begin"/>
                </w:r>
                <w:r w:rsidR="002962C6" w:rsidRPr="00EA7BE6">
                  <w:rPr>
                    <w:rStyle w:val="Hyperlink"/>
                    <w:webHidden/>
                    <w:lang w:val="bg-BG"/>
                  </w:rPr>
                  <w:instrText xml:space="preserve"> PAGEREF _Toc496709965 \h </w:instrText>
                </w:r>
                <w:r w:rsidR="002962C6" w:rsidRPr="00EA7BE6">
                  <w:rPr>
                    <w:rStyle w:val="Hyperlink"/>
                    <w:webHidden/>
                    <w:lang w:val="bg-BG"/>
                  </w:rPr>
                </w:r>
                <w:r w:rsidR="002962C6" w:rsidRPr="00EA7BE6">
                  <w:rPr>
                    <w:rStyle w:val="Hyperlink"/>
                    <w:webHidden/>
                    <w:lang w:val="bg-BG"/>
                  </w:rPr>
                  <w:fldChar w:fldCharType="separate"/>
                </w:r>
                <w:r w:rsidR="00B52477">
                  <w:rPr>
                    <w:rStyle w:val="Hyperlink"/>
                    <w:noProof/>
                    <w:webHidden/>
                    <w:lang w:val="bg-BG"/>
                  </w:rPr>
                  <w:t>35</w:t>
                </w:r>
                <w:r w:rsidR="002962C6" w:rsidRPr="00EA7BE6">
                  <w:rPr>
                    <w:rStyle w:val="Hyperlink"/>
                    <w:webHidden/>
                    <w:lang w:val="bg-BG"/>
                  </w:rPr>
                  <w:fldChar w:fldCharType="end"/>
                </w:r>
              </w:hyperlink>
              <w:r w:rsidR="00EA7BE6">
                <w:t>5</w:t>
              </w:r>
            </w:p>
            <w:p w:rsidR="002962C6" w:rsidRPr="00A3491F" w:rsidRDefault="00FB6A54">
              <w:pPr>
                <w:pStyle w:val="TOC2"/>
                <w:rPr>
                  <w:sz w:val="22"/>
                  <w:lang w:val="bg-BG"/>
                </w:rPr>
              </w:pPr>
              <w:hyperlink w:anchor="_Toc496709966" w:history="1">
                <w:r w:rsidR="00EA7BE6" w:rsidRPr="00EA7BE6">
                  <w:rPr>
                    <w:rStyle w:val="Hyperlink"/>
                    <w:rFonts w:eastAsia="Times New Roman"/>
                    <w:lang w:val="bg-BG"/>
                  </w:rPr>
                  <w:t>IX</w:t>
                </w:r>
                <w:r w:rsidR="002962C6" w:rsidRPr="00EA7BE6">
                  <w:rPr>
                    <w:rStyle w:val="Hyperlink"/>
                    <w:rFonts w:eastAsia="Times New Roman"/>
                    <w:lang w:val="bg-BG"/>
                  </w:rPr>
                  <w:t xml:space="preserve">.3. </w:t>
                </w:r>
                <w:r w:rsidR="00EA7BE6" w:rsidRPr="00EA7BE6">
                  <w:rPr>
                    <w:rStyle w:val="Hyperlink"/>
                    <w:rFonts w:eastAsia="Times New Roman"/>
                  </w:rPr>
                  <w:t xml:space="preserve">Вариант </w:t>
                </w:r>
                <w:r w:rsidR="00EA7BE6" w:rsidRPr="00EA7BE6">
                  <w:rPr>
                    <w:rStyle w:val="Hyperlink"/>
                    <w:rFonts w:eastAsia="Times New Roman"/>
                    <w:lang w:val="bg-BG"/>
                  </w:rPr>
                  <w:t>3</w:t>
                </w:r>
                <w:r w:rsidR="00EA7BE6" w:rsidRPr="00EA7BE6">
                  <w:rPr>
                    <w:rStyle w:val="Hyperlink"/>
                    <w:rFonts w:eastAsia="Times New Roman"/>
                  </w:rPr>
                  <w:t>: Промяна на съществуващата подзаконова нормативна уредба при запазване на сегашния статут</w:t>
                </w:r>
                <w:r w:rsidR="002962C6" w:rsidRPr="00EA7BE6">
                  <w:rPr>
                    <w:rStyle w:val="Hyperlink"/>
                    <w:webHidden/>
                    <w:lang w:val="bg-BG"/>
                  </w:rPr>
                  <w:tab/>
                </w:r>
                <w:r w:rsidR="002962C6" w:rsidRPr="00EA7BE6">
                  <w:rPr>
                    <w:rStyle w:val="Hyperlink"/>
                    <w:webHidden/>
                    <w:lang w:val="bg-BG"/>
                  </w:rPr>
                  <w:fldChar w:fldCharType="begin"/>
                </w:r>
                <w:r w:rsidR="002962C6" w:rsidRPr="00EA7BE6">
                  <w:rPr>
                    <w:rStyle w:val="Hyperlink"/>
                    <w:webHidden/>
                    <w:lang w:val="bg-BG"/>
                  </w:rPr>
                  <w:instrText xml:space="preserve"> PAGEREF _Toc496709966 \h </w:instrText>
                </w:r>
                <w:r w:rsidR="002962C6" w:rsidRPr="00EA7BE6">
                  <w:rPr>
                    <w:rStyle w:val="Hyperlink"/>
                    <w:webHidden/>
                    <w:lang w:val="bg-BG"/>
                  </w:rPr>
                </w:r>
                <w:r w:rsidR="002962C6" w:rsidRPr="00EA7BE6">
                  <w:rPr>
                    <w:rStyle w:val="Hyperlink"/>
                    <w:webHidden/>
                    <w:lang w:val="bg-BG"/>
                  </w:rPr>
                  <w:fldChar w:fldCharType="separate"/>
                </w:r>
                <w:r w:rsidR="00B52477">
                  <w:rPr>
                    <w:rStyle w:val="Hyperlink"/>
                    <w:noProof/>
                    <w:webHidden/>
                    <w:lang w:val="bg-BG"/>
                  </w:rPr>
                  <w:t>37</w:t>
                </w:r>
                <w:r w:rsidR="002962C6" w:rsidRPr="00EA7BE6">
                  <w:rPr>
                    <w:rStyle w:val="Hyperlink"/>
                    <w:webHidden/>
                    <w:lang w:val="bg-BG"/>
                  </w:rPr>
                  <w:fldChar w:fldCharType="end"/>
                </w:r>
              </w:hyperlink>
            </w:p>
            <w:p w:rsidR="002962C6" w:rsidRPr="00A3491F" w:rsidRDefault="00FB6A54" w:rsidP="008633AF">
              <w:pPr>
                <w:pStyle w:val="TOC1"/>
                <w:rPr>
                  <w:sz w:val="22"/>
                  <w:lang w:val="bg-BG"/>
                </w:rPr>
              </w:pPr>
              <w:hyperlink w:anchor="_Toc496709967" w:history="1">
                <w:r w:rsidR="002962C6" w:rsidRPr="00A3491F">
                  <w:rPr>
                    <w:rStyle w:val="Hyperlink"/>
                    <w:lang w:val="bg-BG"/>
                  </w:rPr>
                  <w:t>X. Сравнение на вариантите въз основа на посочените изчисления и данни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_Toc496709967 \h </w:instrText>
                </w:r>
                <w:r w:rsidR="002962C6" w:rsidRPr="00A3491F">
                  <w:rPr>
                    <w:webHidden/>
                    <w:lang w:val="bg-BG"/>
                  </w:rPr>
                </w:r>
                <w:r w:rsidR="002962C6" w:rsidRPr="00A3491F">
                  <w:rPr>
                    <w:webHidden/>
                    <w:lang w:val="bg-BG"/>
                  </w:rPr>
                  <w:fldChar w:fldCharType="separate"/>
                </w:r>
                <w:r w:rsidR="00B52477">
                  <w:rPr>
                    <w:noProof/>
                    <w:webHidden/>
                    <w:lang w:val="bg-BG"/>
                  </w:rPr>
                  <w:t>39</w:t>
                </w:r>
                <w:r w:rsidR="002962C6" w:rsidRPr="00A3491F">
                  <w:rPr>
                    <w:webHidden/>
                    <w:lang w:val="bg-BG"/>
                  </w:rPr>
                  <w:fldChar w:fldCharType="end"/>
                </w:r>
              </w:hyperlink>
            </w:p>
            <w:p w:rsidR="002962C6" w:rsidRPr="00A3491F" w:rsidRDefault="00FB6A54" w:rsidP="008633AF">
              <w:pPr>
                <w:pStyle w:val="TOC1"/>
                <w:rPr>
                  <w:sz w:val="22"/>
                  <w:lang w:val="bg-BG"/>
                </w:rPr>
              </w:pPr>
              <w:hyperlink w:anchor="_Toc496709968" w:history="1">
                <w:r w:rsidR="002962C6" w:rsidRPr="00A3491F">
                  <w:rPr>
                    <w:rStyle w:val="Hyperlink"/>
                    <w:lang w:val="bg-BG"/>
                  </w:rPr>
                  <w:t>X</w:t>
                </w:r>
                <w:r w:rsidR="00EA7BE6">
                  <w:rPr>
                    <w:rStyle w:val="Hyperlink"/>
                  </w:rPr>
                  <w:t>I</w:t>
                </w:r>
                <w:r w:rsidR="002962C6" w:rsidRPr="00A3491F">
                  <w:rPr>
                    <w:rStyle w:val="Hyperlink"/>
                    <w:lang w:val="bg-BG"/>
                  </w:rPr>
                  <w:t>. Обобщение на резултатите от проведените предварителни консултации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_Toc496709968 \h </w:instrText>
                </w:r>
                <w:r w:rsidR="002962C6" w:rsidRPr="00A3491F">
                  <w:rPr>
                    <w:webHidden/>
                    <w:lang w:val="bg-BG"/>
                  </w:rPr>
                </w:r>
                <w:r w:rsidR="002962C6" w:rsidRPr="00A3491F">
                  <w:rPr>
                    <w:webHidden/>
                    <w:lang w:val="bg-BG"/>
                  </w:rPr>
                  <w:fldChar w:fldCharType="separate"/>
                </w:r>
                <w:r w:rsidR="00B52477">
                  <w:rPr>
                    <w:noProof/>
                    <w:webHidden/>
                    <w:lang w:val="bg-BG"/>
                  </w:rPr>
                  <w:t>40</w:t>
                </w:r>
                <w:r w:rsidR="002962C6" w:rsidRPr="00A3491F">
                  <w:rPr>
                    <w:webHidden/>
                    <w:lang w:val="bg-BG"/>
                  </w:rPr>
                  <w:fldChar w:fldCharType="end"/>
                </w:r>
              </w:hyperlink>
            </w:p>
            <w:p w:rsidR="002962C6" w:rsidRPr="00A3491F" w:rsidRDefault="00FB6A54">
              <w:pPr>
                <w:pStyle w:val="TOC2"/>
                <w:rPr>
                  <w:sz w:val="22"/>
                  <w:lang w:val="bg-BG"/>
                </w:rPr>
              </w:pPr>
              <w:hyperlink w:anchor="_Toc496709969" w:history="1">
                <w:r w:rsidR="002962C6" w:rsidRPr="00A3491F">
                  <w:rPr>
                    <w:rStyle w:val="Hyperlink"/>
                    <w:lang w:val="bg-BG"/>
                  </w:rPr>
                  <w:t>X</w:t>
                </w:r>
                <w:r w:rsidR="00EA7BE6">
                  <w:rPr>
                    <w:rStyle w:val="Hyperlink"/>
                  </w:rPr>
                  <w:t>I</w:t>
                </w:r>
                <w:r w:rsidR="002962C6" w:rsidRPr="00A3491F">
                  <w:rPr>
                    <w:rStyle w:val="Hyperlink"/>
                    <w:lang w:val="bg-BG"/>
                  </w:rPr>
                  <w:t>.1. Основни въпроси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_Toc496709969 \h </w:instrText>
                </w:r>
                <w:r w:rsidR="002962C6" w:rsidRPr="00A3491F">
                  <w:rPr>
                    <w:webHidden/>
                    <w:lang w:val="bg-BG"/>
                  </w:rPr>
                </w:r>
                <w:r w:rsidR="002962C6" w:rsidRPr="00A3491F">
                  <w:rPr>
                    <w:webHidden/>
                    <w:lang w:val="bg-BG"/>
                  </w:rPr>
                  <w:fldChar w:fldCharType="separate"/>
                </w:r>
                <w:r w:rsidR="00B52477">
                  <w:rPr>
                    <w:noProof/>
                    <w:webHidden/>
                    <w:lang w:val="bg-BG"/>
                  </w:rPr>
                  <w:t>41</w:t>
                </w:r>
                <w:r w:rsidR="002962C6" w:rsidRPr="00A3491F">
                  <w:rPr>
                    <w:webHidden/>
                    <w:lang w:val="bg-BG"/>
                  </w:rPr>
                  <w:fldChar w:fldCharType="end"/>
                </w:r>
              </w:hyperlink>
            </w:p>
            <w:p w:rsidR="002962C6" w:rsidRPr="00A3491F" w:rsidRDefault="00FB6A54">
              <w:pPr>
                <w:pStyle w:val="TOC2"/>
                <w:rPr>
                  <w:sz w:val="22"/>
                  <w:lang w:val="bg-BG"/>
                </w:rPr>
              </w:pPr>
              <w:hyperlink w:anchor="_Toc496709970" w:history="1">
                <w:r w:rsidR="002962C6" w:rsidRPr="00A3491F">
                  <w:rPr>
                    <w:rStyle w:val="Hyperlink"/>
                    <w:lang w:val="bg-BG"/>
                  </w:rPr>
                  <w:t>X</w:t>
                </w:r>
                <w:r w:rsidR="00EA7BE6">
                  <w:rPr>
                    <w:rStyle w:val="Hyperlink"/>
                  </w:rPr>
                  <w:t>I</w:t>
                </w:r>
                <w:r w:rsidR="002962C6" w:rsidRPr="00A3491F">
                  <w:rPr>
                    <w:rStyle w:val="Hyperlink"/>
                    <w:lang w:val="bg-BG"/>
                  </w:rPr>
                  <w:t>.2. Приети предложения и обосновка за неприетите становища и предложения на заинтересованите страни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_Toc496709970 \h </w:instrText>
                </w:r>
                <w:r w:rsidR="002962C6" w:rsidRPr="00A3491F">
                  <w:rPr>
                    <w:webHidden/>
                    <w:lang w:val="bg-BG"/>
                  </w:rPr>
                </w:r>
                <w:r w:rsidR="002962C6" w:rsidRPr="00A3491F">
                  <w:rPr>
                    <w:webHidden/>
                    <w:lang w:val="bg-BG"/>
                  </w:rPr>
                  <w:fldChar w:fldCharType="separate"/>
                </w:r>
                <w:r w:rsidR="00B52477">
                  <w:rPr>
                    <w:noProof/>
                    <w:webHidden/>
                    <w:lang w:val="bg-BG"/>
                  </w:rPr>
                  <w:t>41</w:t>
                </w:r>
                <w:r w:rsidR="002962C6" w:rsidRPr="00A3491F">
                  <w:rPr>
                    <w:webHidden/>
                    <w:lang w:val="bg-BG"/>
                  </w:rPr>
                  <w:fldChar w:fldCharType="end"/>
                </w:r>
              </w:hyperlink>
            </w:p>
            <w:p w:rsidR="002962C6" w:rsidRPr="00A3491F" w:rsidRDefault="00FB6A54" w:rsidP="008633AF">
              <w:pPr>
                <w:pStyle w:val="TOC1"/>
                <w:rPr>
                  <w:sz w:val="22"/>
                  <w:lang w:val="bg-BG"/>
                </w:rPr>
              </w:pPr>
              <w:hyperlink w:anchor="_Toc496709971" w:history="1">
                <w:r w:rsidR="002962C6" w:rsidRPr="00A3491F">
                  <w:rPr>
                    <w:rStyle w:val="Hyperlink"/>
                    <w:lang w:val="bg-BG"/>
                  </w:rPr>
                  <w:t>X</w:t>
                </w:r>
                <w:r w:rsidR="00EA7BE6">
                  <w:rPr>
                    <w:rStyle w:val="Hyperlink"/>
                  </w:rPr>
                  <w:t>I</w:t>
                </w:r>
                <w:r w:rsidR="002962C6" w:rsidRPr="00A3491F">
                  <w:rPr>
                    <w:rStyle w:val="Hyperlink"/>
                    <w:lang w:val="bg-BG"/>
                  </w:rPr>
                  <w:t>I. Препоръчителен вариант и обосновка към него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_Toc496709971 \h </w:instrText>
                </w:r>
                <w:r w:rsidR="002962C6" w:rsidRPr="00A3491F">
                  <w:rPr>
                    <w:webHidden/>
                    <w:lang w:val="bg-BG"/>
                  </w:rPr>
                </w:r>
                <w:r w:rsidR="002962C6" w:rsidRPr="00A3491F">
                  <w:rPr>
                    <w:webHidden/>
                    <w:lang w:val="bg-BG"/>
                  </w:rPr>
                  <w:fldChar w:fldCharType="separate"/>
                </w:r>
                <w:r w:rsidR="00B52477">
                  <w:rPr>
                    <w:noProof/>
                    <w:webHidden/>
                    <w:lang w:val="bg-BG"/>
                  </w:rPr>
                  <w:t>41</w:t>
                </w:r>
                <w:r w:rsidR="002962C6" w:rsidRPr="00A3491F">
                  <w:rPr>
                    <w:webHidden/>
                    <w:lang w:val="bg-BG"/>
                  </w:rPr>
                  <w:fldChar w:fldCharType="end"/>
                </w:r>
              </w:hyperlink>
            </w:p>
            <w:p w:rsidR="002962C6" w:rsidRPr="00A3491F" w:rsidRDefault="00FB6A54" w:rsidP="008633AF">
              <w:pPr>
                <w:pStyle w:val="TOC1"/>
                <w:rPr>
                  <w:sz w:val="22"/>
                  <w:lang w:val="bg-BG"/>
                </w:rPr>
              </w:pPr>
              <w:hyperlink w:anchor="_Toc496709972" w:history="1">
                <w:r w:rsidR="002962C6" w:rsidRPr="00A3491F">
                  <w:rPr>
                    <w:rStyle w:val="Hyperlink"/>
                    <w:lang w:val="bg-BG"/>
                  </w:rPr>
                  <w:t>XI</w:t>
                </w:r>
                <w:r w:rsidR="00EA7BE6">
                  <w:rPr>
                    <w:rStyle w:val="Hyperlink"/>
                  </w:rPr>
                  <w:t>I</w:t>
                </w:r>
                <w:r w:rsidR="002962C6" w:rsidRPr="00A3491F">
                  <w:rPr>
                    <w:rStyle w:val="Hyperlink"/>
                    <w:lang w:val="bg-BG"/>
                  </w:rPr>
                  <w:t>I. Варианти за потенциални въздействия върху МСП</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_Toc496709972 \h </w:instrText>
                </w:r>
                <w:r w:rsidR="002962C6" w:rsidRPr="00A3491F">
                  <w:rPr>
                    <w:webHidden/>
                    <w:lang w:val="bg-BG"/>
                  </w:rPr>
                </w:r>
                <w:r w:rsidR="002962C6" w:rsidRPr="00A3491F">
                  <w:rPr>
                    <w:webHidden/>
                    <w:lang w:val="bg-BG"/>
                  </w:rPr>
                  <w:fldChar w:fldCharType="separate"/>
                </w:r>
                <w:r w:rsidR="00B52477">
                  <w:rPr>
                    <w:noProof/>
                    <w:webHidden/>
                    <w:lang w:val="bg-BG"/>
                  </w:rPr>
                  <w:t>42</w:t>
                </w:r>
                <w:r w:rsidR="002962C6" w:rsidRPr="00A3491F">
                  <w:rPr>
                    <w:webHidden/>
                    <w:lang w:val="bg-BG"/>
                  </w:rPr>
                  <w:fldChar w:fldCharType="end"/>
                </w:r>
              </w:hyperlink>
            </w:p>
            <w:p w:rsidR="002962C6" w:rsidRPr="00A3491F" w:rsidRDefault="00FB6A54" w:rsidP="008633AF">
              <w:pPr>
                <w:pStyle w:val="TOC1"/>
                <w:rPr>
                  <w:sz w:val="22"/>
                  <w:lang w:val="bg-BG"/>
                </w:rPr>
              </w:pPr>
              <w:hyperlink w:anchor="_Toc496709973" w:history="1">
                <w:r w:rsidR="00EA7BE6">
                  <w:rPr>
                    <w:rStyle w:val="Hyperlink"/>
                    <w:lang w:val="bg-BG"/>
                  </w:rPr>
                  <w:t>XI</w:t>
                </w:r>
                <w:r w:rsidR="00EA7BE6">
                  <w:rPr>
                    <w:rStyle w:val="Hyperlink"/>
                  </w:rPr>
                  <w:t>V</w:t>
                </w:r>
                <w:r w:rsidR="002962C6" w:rsidRPr="00A3491F">
                  <w:rPr>
                    <w:rStyle w:val="Hyperlink"/>
                    <w:lang w:val="bg-BG"/>
                  </w:rPr>
                  <w:t>. Препоръчителен срок за извършване на последващата оценка на въздействието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_Toc496709973 \h </w:instrText>
                </w:r>
                <w:r w:rsidR="002962C6" w:rsidRPr="00A3491F">
                  <w:rPr>
                    <w:webHidden/>
                    <w:lang w:val="bg-BG"/>
                  </w:rPr>
                </w:r>
                <w:r w:rsidR="002962C6" w:rsidRPr="00A3491F">
                  <w:rPr>
                    <w:webHidden/>
                    <w:lang w:val="bg-BG"/>
                  </w:rPr>
                  <w:fldChar w:fldCharType="separate"/>
                </w:r>
                <w:r w:rsidR="00B52477">
                  <w:rPr>
                    <w:noProof/>
                    <w:webHidden/>
                    <w:lang w:val="bg-BG"/>
                  </w:rPr>
                  <w:t>44</w:t>
                </w:r>
                <w:r w:rsidR="002962C6" w:rsidRPr="00A3491F">
                  <w:rPr>
                    <w:webHidden/>
                    <w:lang w:val="bg-BG"/>
                  </w:rPr>
                  <w:fldChar w:fldCharType="end"/>
                </w:r>
              </w:hyperlink>
            </w:p>
            <w:p w:rsidR="00131C5A" w:rsidRPr="00A3491F" w:rsidRDefault="00131C5A" w:rsidP="00775B30">
              <w:pPr>
                <w:spacing w:line="288" w:lineRule="auto"/>
                <w:rPr>
                  <w:szCs w:val="24"/>
                  <w:lang w:val="bg-BG"/>
                </w:rPr>
              </w:pPr>
              <w:r w:rsidRPr="00A3491F">
                <w:rPr>
                  <w:b/>
                  <w:bCs/>
                  <w:szCs w:val="24"/>
                  <w:lang w:val="bg-BG"/>
                </w:rPr>
                <w:fldChar w:fldCharType="end"/>
              </w:r>
            </w:p>
          </w:sdtContent>
        </w:sdt>
        <w:p w:rsidR="00131C5A" w:rsidRPr="00A3491F" w:rsidRDefault="00131C5A" w:rsidP="00E850DB">
          <w:pPr>
            <w:spacing w:line="288" w:lineRule="auto"/>
            <w:rPr>
              <w:lang w:val="bg-BG"/>
            </w:rPr>
          </w:pPr>
        </w:p>
        <w:p w:rsidR="00365FD5" w:rsidRPr="00A3491F" w:rsidRDefault="00365FD5">
          <w:pPr>
            <w:jc w:val="left"/>
            <w:rPr>
              <w:b/>
              <w:bCs/>
              <w:szCs w:val="24"/>
              <w:lang w:val="bg-BG"/>
            </w:rPr>
          </w:pPr>
          <w:r w:rsidRPr="00A3491F">
            <w:rPr>
              <w:b/>
              <w:bCs/>
              <w:szCs w:val="24"/>
              <w:lang w:val="bg-BG"/>
            </w:rPr>
            <w:br w:type="page"/>
          </w:r>
        </w:p>
        <w:p w:rsidR="00061BD0" w:rsidRPr="00A3491F" w:rsidRDefault="0074083E" w:rsidP="00E850DB">
          <w:pPr>
            <w:spacing w:line="288" w:lineRule="auto"/>
            <w:rPr>
              <w:b/>
              <w:bCs/>
              <w:szCs w:val="24"/>
              <w:lang w:val="bg-BG"/>
            </w:rPr>
          </w:pPr>
        </w:p>
      </w:sdtContent>
    </w:sdt>
    <w:p w:rsidR="00CA75E2" w:rsidRPr="00EA7BE6" w:rsidRDefault="00E47E10" w:rsidP="006B3BB7">
      <w:pPr>
        <w:pStyle w:val="Heading1"/>
        <w:spacing w:after="120"/>
        <w:rPr>
          <w:rFonts w:cs="Times New Roman"/>
          <w:sz w:val="22"/>
          <w:szCs w:val="22"/>
          <w:lang w:val="bg-BG"/>
        </w:rPr>
      </w:pPr>
      <w:bookmarkStart w:id="1" w:name="_Toc496709932"/>
      <w:r w:rsidRPr="00EA7BE6">
        <w:rPr>
          <w:rFonts w:cs="Times New Roman"/>
          <w:sz w:val="22"/>
          <w:szCs w:val="22"/>
          <w:lang w:val="bg-BG"/>
        </w:rPr>
        <w:t xml:space="preserve">I. </w:t>
      </w:r>
      <w:r w:rsidR="00785242" w:rsidRPr="00EA7BE6">
        <w:rPr>
          <w:rFonts w:cs="Times New Roman"/>
          <w:sz w:val="22"/>
          <w:szCs w:val="22"/>
          <w:lang w:val="bg-BG"/>
        </w:rPr>
        <w:t>Въведение</w:t>
      </w:r>
      <w:bookmarkEnd w:id="1"/>
    </w:p>
    <w:p w:rsidR="00CA75E2" w:rsidRPr="00EA7BE6" w:rsidRDefault="00E47E10" w:rsidP="006B3BB7">
      <w:pPr>
        <w:pStyle w:val="Heading2"/>
        <w:spacing w:after="120"/>
        <w:rPr>
          <w:rFonts w:cs="Times New Roman"/>
          <w:sz w:val="22"/>
          <w:szCs w:val="22"/>
          <w:lang w:val="bg-BG"/>
        </w:rPr>
      </w:pPr>
      <w:bookmarkStart w:id="2" w:name="_Toc496709933"/>
      <w:r w:rsidRPr="00EA7BE6">
        <w:rPr>
          <w:rFonts w:cs="Times New Roman"/>
          <w:sz w:val="22"/>
          <w:szCs w:val="22"/>
          <w:lang w:val="bg-BG"/>
        </w:rPr>
        <w:t xml:space="preserve">I.1. </w:t>
      </w:r>
      <w:r w:rsidR="00785242" w:rsidRPr="00EA7BE6">
        <w:rPr>
          <w:rFonts w:cs="Times New Roman"/>
          <w:sz w:val="22"/>
          <w:szCs w:val="22"/>
          <w:lang w:val="bg-BG"/>
        </w:rPr>
        <w:t>Обща рамка</w:t>
      </w:r>
      <w:bookmarkEnd w:id="2"/>
    </w:p>
    <w:p w:rsidR="00054931"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С приетите изменения на Закона з</w:t>
      </w:r>
      <w:r w:rsidR="00C70518" w:rsidRPr="00EA7BE6">
        <w:rPr>
          <w:color w:val="000000" w:themeColor="text1"/>
          <w:sz w:val="22"/>
          <w:lang w:val="bg-BG"/>
        </w:rPr>
        <w:t>а нормативните актове (обн. в ДВ</w:t>
      </w:r>
      <w:r w:rsidRPr="00EA7BE6">
        <w:rPr>
          <w:color w:val="000000" w:themeColor="text1"/>
          <w:sz w:val="22"/>
          <w:lang w:val="bg-BG"/>
        </w:rPr>
        <w:t xml:space="preserve"> бр. </w:t>
      </w:r>
      <w:r w:rsidR="00D653D5" w:rsidRPr="00EA7BE6">
        <w:rPr>
          <w:color w:val="000000" w:themeColor="text1"/>
          <w:sz w:val="22"/>
          <w:lang w:val="bg-BG"/>
        </w:rPr>
        <w:t xml:space="preserve">34 </w:t>
      </w:r>
      <w:r w:rsidRPr="00EA7BE6">
        <w:rPr>
          <w:color w:val="000000" w:themeColor="text1"/>
          <w:sz w:val="22"/>
          <w:lang w:val="bg-BG"/>
        </w:rPr>
        <w:t>от 3 Май 2016</w:t>
      </w:r>
      <w:r w:rsidR="002073BC" w:rsidRPr="00EA7BE6">
        <w:rPr>
          <w:color w:val="000000" w:themeColor="text1"/>
          <w:sz w:val="22"/>
          <w:lang w:val="bg-BG"/>
        </w:rPr>
        <w:t xml:space="preserve"> </w:t>
      </w:r>
      <w:r w:rsidRPr="00EA7BE6">
        <w:rPr>
          <w:color w:val="000000" w:themeColor="text1"/>
          <w:sz w:val="22"/>
          <w:lang w:val="bg-BG"/>
        </w:rPr>
        <w:t xml:space="preserve">г., в сила от 04.11.2016 г.), </w:t>
      </w:r>
      <w:r w:rsidR="00731D4C" w:rsidRPr="00EA7BE6">
        <w:rPr>
          <w:color w:val="000000" w:themeColor="text1"/>
          <w:sz w:val="22"/>
          <w:lang w:val="bg-BG"/>
        </w:rPr>
        <w:t>се въведе задължение за съставителите</w:t>
      </w:r>
      <w:r w:rsidRPr="00EA7BE6">
        <w:rPr>
          <w:color w:val="000000" w:themeColor="text1"/>
          <w:sz w:val="22"/>
          <w:lang w:val="bg-BG"/>
        </w:rPr>
        <w:t xml:space="preserve"> на проект</w:t>
      </w:r>
      <w:r w:rsidR="00731D4C" w:rsidRPr="00EA7BE6">
        <w:rPr>
          <w:color w:val="000000" w:themeColor="text1"/>
          <w:sz w:val="22"/>
          <w:lang w:val="bg-BG"/>
        </w:rPr>
        <w:t>и</w:t>
      </w:r>
      <w:r w:rsidRPr="00EA7BE6">
        <w:rPr>
          <w:color w:val="000000" w:themeColor="text1"/>
          <w:sz w:val="22"/>
          <w:lang w:val="bg-BG"/>
        </w:rPr>
        <w:t xml:space="preserve"> на норматив</w:t>
      </w:r>
      <w:r w:rsidR="00731D4C" w:rsidRPr="00EA7BE6">
        <w:rPr>
          <w:color w:val="000000" w:themeColor="text1"/>
          <w:sz w:val="22"/>
          <w:lang w:val="bg-BG"/>
        </w:rPr>
        <w:t>ни</w:t>
      </w:r>
      <w:r w:rsidRPr="00EA7BE6">
        <w:rPr>
          <w:color w:val="000000" w:themeColor="text1"/>
          <w:sz w:val="22"/>
          <w:lang w:val="bg-BG"/>
        </w:rPr>
        <w:t xml:space="preserve"> акт</w:t>
      </w:r>
      <w:r w:rsidR="00731D4C" w:rsidRPr="00EA7BE6">
        <w:rPr>
          <w:color w:val="000000" w:themeColor="text1"/>
          <w:sz w:val="22"/>
          <w:lang w:val="bg-BG"/>
        </w:rPr>
        <w:t>ове да</w:t>
      </w:r>
      <w:r w:rsidRPr="00EA7BE6">
        <w:rPr>
          <w:color w:val="000000" w:themeColor="text1"/>
          <w:sz w:val="22"/>
          <w:lang w:val="bg-BG"/>
        </w:rPr>
        <w:t xml:space="preserve"> извършва</w:t>
      </w:r>
      <w:r w:rsidR="00731D4C" w:rsidRPr="00EA7BE6">
        <w:rPr>
          <w:color w:val="000000" w:themeColor="text1"/>
          <w:sz w:val="22"/>
          <w:lang w:val="bg-BG"/>
        </w:rPr>
        <w:t>т</w:t>
      </w:r>
      <w:r w:rsidRPr="00EA7BE6">
        <w:rPr>
          <w:color w:val="000000" w:themeColor="text1"/>
          <w:sz w:val="22"/>
          <w:lang w:val="bg-BG"/>
        </w:rPr>
        <w:t xml:space="preserve"> </w:t>
      </w:r>
      <w:r w:rsidR="00731D4C" w:rsidRPr="00EA7BE6">
        <w:rPr>
          <w:color w:val="000000" w:themeColor="text1"/>
          <w:sz w:val="22"/>
          <w:lang w:val="bg-BG"/>
        </w:rPr>
        <w:t xml:space="preserve">предварителна </w:t>
      </w:r>
      <w:r w:rsidRPr="00EA7BE6">
        <w:rPr>
          <w:color w:val="000000" w:themeColor="text1"/>
          <w:sz w:val="22"/>
          <w:lang w:val="bg-BG"/>
        </w:rPr>
        <w:t xml:space="preserve">оценка на въздействието на нормативния акт. При изработване на нови закони и кодекси се изисква </w:t>
      </w:r>
      <w:r w:rsidR="00941D7F" w:rsidRPr="00EA7BE6">
        <w:rPr>
          <w:color w:val="000000" w:themeColor="text1"/>
          <w:sz w:val="22"/>
          <w:lang w:val="bg-BG"/>
        </w:rPr>
        <w:t>тази оценка да бъде цялостна.</w:t>
      </w:r>
    </w:p>
    <w:p w:rsidR="00731D4C" w:rsidRPr="00EA7BE6" w:rsidRDefault="00941D7F" w:rsidP="006B3BB7">
      <w:pPr>
        <w:spacing w:after="120"/>
        <w:rPr>
          <w:bCs/>
          <w:color w:val="000000" w:themeColor="text1"/>
          <w:sz w:val="22"/>
          <w:lang w:val="bg-BG"/>
        </w:rPr>
      </w:pPr>
      <w:r w:rsidRPr="00EA7BE6">
        <w:rPr>
          <w:sz w:val="22"/>
          <w:lang w:val="bg-BG"/>
        </w:rPr>
        <w:t>Предварителната о</w:t>
      </w:r>
      <w:r w:rsidR="00731D4C" w:rsidRPr="00EA7BE6">
        <w:rPr>
          <w:sz w:val="22"/>
          <w:lang w:val="bg-BG"/>
        </w:rPr>
        <w:t xml:space="preserve">ценка на въздействието изследва съотношението между формулираните цели и очакваните резултати от реализацията на промените. </w:t>
      </w:r>
      <w:r w:rsidR="00731D4C" w:rsidRPr="00EA7BE6">
        <w:rPr>
          <w:bCs/>
          <w:color w:val="000000" w:themeColor="text1"/>
          <w:sz w:val="22"/>
          <w:lang w:val="bg-BG"/>
        </w:rPr>
        <w:t>Тя представлява</w:t>
      </w:r>
      <w:r w:rsidR="009977FB" w:rsidRPr="00EA7BE6">
        <w:rPr>
          <w:bCs/>
          <w:color w:val="000000" w:themeColor="text1"/>
          <w:sz w:val="22"/>
          <w:lang w:val="bg-BG"/>
        </w:rPr>
        <w:t xml:space="preserve"> процес на събиране на факти и данни </w:t>
      </w:r>
      <w:r w:rsidR="00054931" w:rsidRPr="00EA7BE6">
        <w:rPr>
          <w:bCs/>
          <w:color w:val="000000" w:themeColor="text1"/>
          <w:sz w:val="22"/>
          <w:lang w:val="bg-BG"/>
        </w:rPr>
        <w:t>по</w:t>
      </w:r>
      <w:r w:rsidR="009977FB" w:rsidRPr="00EA7BE6">
        <w:rPr>
          <w:bCs/>
          <w:color w:val="000000" w:themeColor="text1"/>
          <w:sz w:val="22"/>
          <w:lang w:val="bg-BG"/>
        </w:rPr>
        <w:t xml:space="preserve">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w:t>
      </w:r>
    </w:p>
    <w:p w:rsidR="00731D4C" w:rsidRPr="00EA7BE6" w:rsidRDefault="00731D4C" w:rsidP="006B3BB7">
      <w:pPr>
        <w:widowControl w:val="0"/>
        <w:autoSpaceDE w:val="0"/>
        <w:autoSpaceDN w:val="0"/>
        <w:adjustRightInd w:val="0"/>
        <w:spacing w:after="120"/>
        <w:rPr>
          <w:sz w:val="22"/>
          <w:lang w:val="bg-BG"/>
        </w:rPr>
      </w:pPr>
      <w:r w:rsidRPr="00EA7BE6">
        <w:rPr>
          <w:color w:val="000000" w:themeColor="text1"/>
          <w:sz w:val="22"/>
          <w:lang w:val="bg-BG"/>
        </w:rPr>
        <w:t>Наредбата за обхвата и методологията за извършване на оценка на въздействието</w:t>
      </w:r>
      <w:r w:rsidR="009D1B11" w:rsidRPr="00EA7BE6">
        <w:rPr>
          <w:color w:val="000000" w:themeColor="text1"/>
          <w:sz w:val="22"/>
          <w:lang w:val="bg-BG"/>
        </w:rPr>
        <w:t xml:space="preserve"> (</w:t>
      </w:r>
      <w:r w:rsidR="00925EF2" w:rsidRPr="00EA7BE6">
        <w:rPr>
          <w:color w:val="000000" w:themeColor="text1"/>
          <w:sz w:val="22"/>
          <w:lang w:val="bg-BG"/>
        </w:rPr>
        <w:t>п</w:t>
      </w:r>
      <w:r w:rsidR="009D1B11" w:rsidRPr="00EA7BE6">
        <w:rPr>
          <w:color w:val="000000" w:themeColor="text1"/>
          <w:sz w:val="22"/>
          <w:lang w:val="bg-BG"/>
        </w:rPr>
        <w:t xml:space="preserve">риета с ПМС № 301 от 14.11.2016 </w:t>
      </w:r>
      <w:r w:rsidR="00C70518" w:rsidRPr="00EA7BE6">
        <w:rPr>
          <w:color w:val="000000" w:themeColor="text1"/>
          <w:sz w:val="22"/>
          <w:lang w:val="bg-BG"/>
        </w:rPr>
        <w:t>г., обн. ДВ</w:t>
      </w:r>
      <w:r w:rsidR="009D1B11" w:rsidRPr="00EA7BE6">
        <w:rPr>
          <w:color w:val="000000" w:themeColor="text1"/>
          <w:sz w:val="22"/>
          <w:lang w:val="bg-BG"/>
        </w:rPr>
        <w:t xml:space="preserve"> бр. 91 от 18.11.2016 г., в сила от 18.11.2016 г.)</w:t>
      </w:r>
      <w:r w:rsidRPr="00EA7BE6">
        <w:rPr>
          <w:color w:val="000000" w:themeColor="text1"/>
          <w:sz w:val="22"/>
          <w:lang w:val="bg-BG"/>
        </w:rPr>
        <w:t xml:space="preserve"> определя </w:t>
      </w:r>
      <w:r w:rsidRPr="00EA7BE6">
        <w:rPr>
          <w:sz w:val="22"/>
          <w:lang w:val="bg-BG"/>
        </w:rPr>
        <w:t xml:space="preserve">условията и реда за планиране и </w:t>
      </w:r>
      <w:r w:rsidR="001A5E24" w:rsidRPr="00EA7BE6">
        <w:rPr>
          <w:sz w:val="22"/>
          <w:lang w:val="bg-BG"/>
        </w:rPr>
        <w:t>изготвяне</w:t>
      </w:r>
      <w:r w:rsidRPr="00EA7BE6">
        <w:rPr>
          <w:sz w:val="22"/>
          <w:lang w:val="bg-BG"/>
        </w:rPr>
        <w:t xml:space="preserve"> на оценка на въздействието на проектите на нормативни актове на Министерски съвет.</w:t>
      </w:r>
    </w:p>
    <w:p w:rsidR="001A5E24" w:rsidRPr="00EA7BE6" w:rsidRDefault="00731D4C" w:rsidP="006B3BB7">
      <w:pPr>
        <w:widowControl w:val="0"/>
        <w:autoSpaceDE w:val="0"/>
        <w:autoSpaceDN w:val="0"/>
        <w:adjustRightInd w:val="0"/>
        <w:spacing w:after="120"/>
        <w:rPr>
          <w:bCs/>
          <w:color w:val="000000" w:themeColor="text1"/>
          <w:sz w:val="22"/>
          <w:lang w:val="bg-BG"/>
        </w:rPr>
      </w:pPr>
      <w:r w:rsidRPr="00EA7BE6">
        <w:rPr>
          <w:bCs/>
          <w:color w:val="000000" w:themeColor="text1"/>
          <w:sz w:val="22"/>
          <w:lang w:val="bg-BG"/>
        </w:rPr>
        <w:t xml:space="preserve">В Устройствения правилник на Министерския съвет и неговата администрация е предвидено </w:t>
      </w:r>
      <w:r w:rsidR="000B5BBE" w:rsidRPr="00EA7BE6">
        <w:rPr>
          <w:bCs/>
          <w:color w:val="000000" w:themeColor="text1"/>
          <w:sz w:val="22"/>
          <w:lang w:val="bg-BG"/>
        </w:rPr>
        <w:t xml:space="preserve">преди започване на междуведомствената съгласувателна процедура, уредена в правилника, </w:t>
      </w:r>
      <w:r w:rsidR="00294109" w:rsidRPr="00EA7BE6">
        <w:rPr>
          <w:bCs/>
          <w:color w:val="000000" w:themeColor="text1"/>
          <w:sz w:val="22"/>
          <w:lang w:val="bg-BG"/>
        </w:rPr>
        <w:t>в</w:t>
      </w:r>
      <w:r w:rsidR="000B5BBE" w:rsidRPr="00EA7BE6">
        <w:rPr>
          <w:bCs/>
          <w:color w:val="000000" w:themeColor="text1"/>
          <w:sz w:val="22"/>
          <w:lang w:val="bg-BG"/>
        </w:rPr>
        <w:t>носителят на проекта на нормативен акт</w:t>
      </w:r>
      <w:r w:rsidR="00382A42" w:rsidRPr="00EA7BE6">
        <w:rPr>
          <w:bCs/>
          <w:color w:val="000000" w:themeColor="text1"/>
          <w:sz w:val="22"/>
          <w:lang w:val="bg-BG"/>
        </w:rPr>
        <w:t xml:space="preserve"> </w:t>
      </w:r>
      <w:r w:rsidR="000B5BBE" w:rsidRPr="00EA7BE6">
        <w:rPr>
          <w:bCs/>
          <w:color w:val="000000" w:themeColor="text1"/>
          <w:sz w:val="22"/>
          <w:lang w:val="bg-BG"/>
        </w:rPr>
        <w:t>да съгласува с дирекция „Модернизация на администрацията</w:t>
      </w:r>
      <w:r w:rsidR="00294109" w:rsidRPr="00EA7BE6">
        <w:rPr>
          <w:bCs/>
          <w:color w:val="000000" w:themeColor="text1"/>
          <w:sz w:val="22"/>
          <w:lang w:val="bg-BG"/>
        </w:rPr>
        <w:t>“</w:t>
      </w:r>
      <w:r w:rsidR="000B5BBE" w:rsidRPr="00EA7BE6">
        <w:rPr>
          <w:bCs/>
          <w:color w:val="000000" w:themeColor="text1"/>
          <w:sz w:val="22"/>
          <w:lang w:val="bg-BG"/>
        </w:rPr>
        <w:t xml:space="preserve"> цялостната предварителна оценка на въздействието на проекта.</w:t>
      </w:r>
      <w:r w:rsidR="00382A42" w:rsidRPr="00EA7BE6">
        <w:rPr>
          <w:bCs/>
          <w:color w:val="000000" w:themeColor="text1"/>
          <w:sz w:val="22"/>
          <w:lang w:val="bg-BG"/>
        </w:rPr>
        <w:t xml:space="preserve"> Настоящата цялостна предварителна оценка на въздействието е изготвена при изработването на проекта на нов закон, съгласно чл</w:t>
      </w:r>
      <w:r w:rsidR="002D3F4C" w:rsidRPr="00EA7BE6">
        <w:rPr>
          <w:bCs/>
          <w:color w:val="000000" w:themeColor="text1"/>
          <w:sz w:val="22"/>
          <w:lang w:val="bg-BG"/>
        </w:rPr>
        <w:t>.</w:t>
      </w:r>
      <w:r w:rsidR="00382A42" w:rsidRPr="00EA7BE6">
        <w:rPr>
          <w:bCs/>
          <w:color w:val="000000" w:themeColor="text1"/>
          <w:sz w:val="22"/>
          <w:lang w:val="bg-BG"/>
        </w:rPr>
        <w:t xml:space="preserve"> 20, ал. 3 от Закона за нормативните актове и преди неговото внасяне за съгласуване с дирекция „Модернизация на администрацията“. </w:t>
      </w:r>
    </w:p>
    <w:p w:rsidR="009977FB" w:rsidRPr="00EA7BE6" w:rsidRDefault="00731D4C" w:rsidP="006B3BB7">
      <w:pPr>
        <w:widowControl w:val="0"/>
        <w:autoSpaceDE w:val="0"/>
        <w:autoSpaceDN w:val="0"/>
        <w:adjustRightInd w:val="0"/>
        <w:spacing w:after="120"/>
        <w:rPr>
          <w:bCs/>
          <w:color w:val="000000" w:themeColor="text1"/>
          <w:sz w:val="22"/>
          <w:lang w:val="bg-BG"/>
        </w:rPr>
      </w:pPr>
      <w:r w:rsidRPr="00EA7BE6">
        <w:rPr>
          <w:bCs/>
          <w:color w:val="000000" w:themeColor="text1"/>
          <w:sz w:val="22"/>
          <w:lang w:val="bg-BG"/>
        </w:rPr>
        <w:t>Изв</w:t>
      </w:r>
      <w:r w:rsidR="001A5E24" w:rsidRPr="00EA7BE6">
        <w:rPr>
          <w:bCs/>
          <w:color w:val="000000" w:themeColor="text1"/>
          <w:sz w:val="22"/>
          <w:lang w:val="bg-BG"/>
        </w:rPr>
        <w:t>ъ</w:t>
      </w:r>
      <w:r w:rsidRPr="00EA7BE6">
        <w:rPr>
          <w:bCs/>
          <w:color w:val="000000" w:themeColor="text1"/>
          <w:sz w:val="22"/>
          <w:lang w:val="bg-BG"/>
        </w:rPr>
        <w:t>ршената цялостна предварителна</w:t>
      </w:r>
      <w:r w:rsidR="009977FB" w:rsidRPr="00EA7BE6">
        <w:rPr>
          <w:bCs/>
          <w:color w:val="000000" w:themeColor="text1"/>
          <w:sz w:val="22"/>
          <w:lang w:val="bg-BG"/>
        </w:rPr>
        <w:t xml:space="preserve"> оценка на въздействието </w:t>
      </w:r>
      <w:r w:rsidR="00294109" w:rsidRPr="00EA7BE6">
        <w:rPr>
          <w:bCs/>
          <w:color w:val="000000" w:themeColor="text1"/>
          <w:sz w:val="22"/>
          <w:lang w:val="bg-BG"/>
        </w:rPr>
        <w:t xml:space="preserve">на проекта на Закон за </w:t>
      </w:r>
      <w:r w:rsidR="002073BC" w:rsidRPr="00EA7BE6">
        <w:rPr>
          <w:bCs/>
          <w:color w:val="000000" w:themeColor="text1"/>
          <w:sz w:val="22"/>
          <w:lang w:val="bg-BG"/>
        </w:rPr>
        <w:t>превенция от неблагоприятни климатични събития в земеделието</w:t>
      </w:r>
      <w:r w:rsidR="00294109" w:rsidRPr="00EA7BE6">
        <w:rPr>
          <w:bCs/>
          <w:color w:val="000000" w:themeColor="text1"/>
          <w:sz w:val="22"/>
          <w:lang w:val="bg-BG"/>
        </w:rPr>
        <w:t xml:space="preserve"> </w:t>
      </w:r>
      <w:r w:rsidR="009977FB" w:rsidRPr="00EA7BE6">
        <w:rPr>
          <w:bCs/>
          <w:color w:val="000000" w:themeColor="text1"/>
          <w:sz w:val="22"/>
          <w:lang w:val="bg-BG"/>
        </w:rPr>
        <w:t>следва</w:t>
      </w:r>
      <w:r w:rsidR="00294109" w:rsidRPr="00EA7BE6">
        <w:rPr>
          <w:bCs/>
          <w:color w:val="000000" w:themeColor="text1"/>
          <w:sz w:val="22"/>
          <w:lang w:val="bg-BG"/>
        </w:rPr>
        <w:t xml:space="preserve"> както горепосочената нормативна база, така</w:t>
      </w:r>
      <w:r w:rsidR="009977FB" w:rsidRPr="00EA7BE6">
        <w:rPr>
          <w:bCs/>
          <w:color w:val="000000" w:themeColor="text1"/>
          <w:sz w:val="22"/>
          <w:lang w:val="bg-BG"/>
        </w:rPr>
        <w:t xml:space="preserve"> </w:t>
      </w:r>
      <w:r w:rsidRPr="00EA7BE6">
        <w:rPr>
          <w:bCs/>
          <w:color w:val="000000" w:themeColor="text1"/>
          <w:sz w:val="22"/>
          <w:lang w:val="bg-BG"/>
        </w:rPr>
        <w:t xml:space="preserve">и </w:t>
      </w:r>
      <w:r w:rsidR="009977FB" w:rsidRPr="00EA7BE6">
        <w:rPr>
          <w:bCs/>
          <w:color w:val="000000" w:themeColor="text1"/>
          <w:sz w:val="22"/>
          <w:lang w:val="bg-BG"/>
        </w:rPr>
        <w:t>указанията в документ</w:t>
      </w:r>
      <w:r w:rsidR="000B5BBE" w:rsidRPr="00EA7BE6">
        <w:rPr>
          <w:bCs/>
          <w:color w:val="000000" w:themeColor="text1"/>
          <w:sz w:val="22"/>
          <w:lang w:val="bg-BG"/>
        </w:rPr>
        <w:t>ите</w:t>
      </w:r>
      <w:r w:rsidR="009977FB" w:rsidRPr="00EA7BE6">
        <w:rPr>
          <w:bCs/>
          <w:color w:val="000000" w:themeColor="text1"/>
          <w:sz w:val="22"/>
          <w:lang w:val="bg-BG"/>
        </w:rPr>
        <w:t xml:space="preserve"> </w:t>
      </w:r>
      <w:r w:rsidR="000B5BBE" w:rsidRPr="00EA7BE6">
        <w:rPr>
          <w:bCs/>
          <w:color w:val="000000" w:themeColor="text1"/>
          <w:sz w:val="22"/>
          <w:lang w:val="bg-BG"/>
        </w:rPr>
        <w:t>„Ръководство за изготвяне на оценка на въздействието на законодателството“ на Министерски</w:t>
      </w:r>
      <w:r w:rsidR="009A56D1">
        <w:rPr>
          <w:bCs/>
          <w:color w:val="000000" w:themeColor="text1"/>
          <w:sz w:val="22"/>
          <w:lang w:val="bg-BG"/>
        </w:rPr>
        <w:t>я</w:t>
      </w:r>
      <w:r w:rsidR="000B5BBE" w:rsidRPr="00EA7BE6">
        <w:rPr>
          <w:bCs/>
          <w:color w:val="000000" w:themeColor="text1"/>
          <w:sz w:val="22"/>
          <w:lang w:val="bg-BG"/>
        </w:rPr>
        <w:t xml:space="preserve"> съвет и </w:t>
      </w:r>
      <w:r w:rsidR="00054931" w:rsidRPr="00EA7BE6">
        <w:rPr>
          <w:bCs/>
          <w:color w:val="000000" w:themeColor="text1"/>
          <w:sz w:val="22"/>
          <w:lang w:val="bg-BG"/>
        </w:rPr>
        <w:t>„Насоки за по-добро регулиране“</w:t>
      </w:r>
      <w:r w:rsidR="009977FB" w:rsidRPr="00EA7BE6">
        <w:rPr>
          <w:bCs/>
          <w:color w:val="000000" w:themeColor="text1"/>
          <w:sz w:val="22"/>
          <w:lang w:val="bg-BG"/>
        </w:rPr>
        <w:t xml:space="preserve"> </w:t>
      </w:r>
      <w:r w:rsidR="000B5BBE" w:rsidRPr="00EA7BE6">
        <w:rPr>
          <w:bCs/>
          <w:color w:val="000000" w:themeColor="text1"/>
          <w:sz w:val="22"/>
          <w:lang w:val="bg-BG"/>
        </w:rPr>
        <w:t xml:space="preserve">на Европейската комисия </w:t>
      </w:r>
      <w:r w:rsidR="009977FB" w:rsidRPr="00EA7BE6">
        <w:rPr>
          <w:bCs/>
          <w:color w:val="000000" w:themeColor="text1"/>
          <w:sz w:val="22"/>
          <w:lang w:val="bg-BG"/>
        </w:rPr>
        <w:t>и приложените методически указания и инструменти.</w:t>
      </w:r>
    </w:p>
    <w:p w:rsidR="00054931" w:rsidRPr="00EA7BE6" w:rsidRDefault="00054931" w:rsidP="006B3BB7">
      <w:pPr>
        <w:widowControl w:val="0"/>
        <w:autoSpaceDE w:val="0"/>
        <w:autoSpaceDN w:val="0"/>
        <w:adjustRightInd w:val="0"/>
        <w:spacing w:after="120"/>
        <w:rPr>
          <w:bCs/>
          <w:color w:val="000000" w:themeColor="text1"/>
          <w:sz w:val="22"/>
          <w:lang w:val="bg-BG"/>
        </w:rPr>
      </w:pPr>
      <w:r w:rsidRPr="00EA7BE6">
        <w:rPr>
          <w:bCs/>
          <w:color w:val="000000" w:themeColor="text1"/>
          <w:sz w:val="22"/>
          <w:lang w:val="bg-BG"/>
        </w:rPr>
        <w:t>Настоящия</w:t>
      </w:r>
      <w:r w:rsidR="000B5BBE" w:rsidRPr="00EA7BE6">
        <w:rPr>
          <w:bCs/>
          <w:color w:val="000000" w:themeColor="text1"/>
          <w:sz w:val="22"/>
          <w:lang w:val="bg-BG"/>
        </w:rPr>
        <w:t>т</w:t>
      </w:r>
      <w:r w:rsidRPr="00EA7BE6">
        <w:rPr>
          <w:bCs/>
          <w:color w:val="000000" w:themeColor="text1"/>
          <w:sz w:val="22"/>
          <w:lang w:val="bg-BG"/>
        </w:rPr>
        <w:t xml:space="preserve"> доклад има за цел да обобщи резултатите и изводите от </w:t>
      </w:r>
      <w:r w:rsidR="001A5E24" w:rsidRPr="00EA7BE6">
        <w:rPr>
          <w:bCs/>
          <w:color w:val="000000" w:themeColor="text1"/>
          <w:sz w:val="22"/>
          <w:lang w:val="bg-BG"/>
        </w:rPr>
        <w:t xml:space="preserve">така </w:t>
      </w:r>
      <w:r w:rsidRPr="00EA7BE6">
        <w:rPr>
          <w:bCs/>
          <w:color w:val="000000" w:themeColor="text1"/>
          <w:sz w:val="22"/>
          <w:lang w:val="bg-BG"/>
        </w:rPr>
        <w:t xml:space="preserve">извършената цялостна </w:t>
      </w:r>
      <w:r w:rsidR="00941D7F" w:rsidRPr="00EA7BE6">
        <w:rPr>
          <w:bCs/>
          <w:color w:val="000000" w:themeColor="text1"/>
          <w:sz w:val="22"/>
          <w:lang w:val="bg-BG"/>
        </w:rPr>
        <w:t xml:space="preserve">предварителна </w:t>
      </w:r>
      <w:r w:rsidRPr="00EA7BE6">
        <w:rPr>
          <w:bCs/>
          <w:color w:val="000000" w:themeColor="text1"/>
          <w:sz w:val="22"/>
          <w:lang w:val="bg-BG"/>
        </w:rPr>
        <w:t>оцен</w:t>
      </w:r>
      <w:r w:rsidR="00941D7F" w:rsidRPr="00EA7BE6">
        <w:rPr>
          <w:bCs/>
          <w:color w:val="000000" w:themeColor="text1"/>
          <w:sz w:val="22"/>
          <w:lang w:val="bg-BG"/>
        </w:rPr>
        <w:t>ка на въздействието на проекта н</w:t>
      </w:r>
      <w:r w:rsidRPr="00EA7BE6">
        <w:rPr>
          <w:bCs/>
          <w:color w:val="000000" w:themeColor="text1"/>
          <w:sz w:val="22"/>
          <w:lang w:val="bg-BG"/>
        </w:rPr>
        <w:t xml:space="preserve">а </w:t>
      </w:r>
      <w:r w:rsidR="002073BC" w:rsidRPr="00EA7BE6">
        <w:rPr>
          <w:bCs/>
          <w:color w:val="000000" w:themeColor="text1"/>
          <w:sz w:val="22"/>
          <w:lang w:val="bg-BG"/>
        </w:rPr>
        <w:t>Закон за превенция от неблагоприятни климатични събития в земеделието</w:t>
      </w:r>
      <w:r w:rsidRPr="00EA7BE6">
        <w:rPr>
          <w:bCs/>
          <w:color w:val="000000" w:themeColor="text1"/>
          <w:sz w:val="22"/>
          <w:lang w:val="bg-BG"/>
        </w:rPr>
        <w:t xml:space="preserve">. </w:t>
      </w:r>
    </w:p>
    <w:p w:rsidR="00111D67" w:rsidRPr="00EA7BE6" w:rsidRDefault="00111D67" w:rsidP="006B3BB7">
      <w:pPr>
        <w:widowControl w:val="0"/>
        <w:autoSpaceDE w:val="0"/>
        <w:autoSpaceDN w:val="0"/>
        <w:adjustRightInd w:val="0"/>
        <w:spacing w:after="120"/>
        <w:rPr>
          <w:bCs/>
          <w:color w:val="000000" w:themeColor="text1"/>
          <w:sz w:val="22"/>
          <w:lang w:val="bg-BG"/>
        </w:rPr>
      </w:pPr>
      <w:r w:rsidRPr="00EA7BE6">
        <w:rPr>
          <w:bCs/>
          <w:color w:val="000000" w:themeColor="text1"/>
          <w:sz w:val="22"/>
          <w:lang w:val="bg-BG"/>
        </w:rPr>
        <w:t xml:space="preserve">Настоящият доклад е изготвен от </w:t>
      </w:r>
      <w:r w:rsidR="002073BC" w:rsidRPr="00EA7BE6">
        <w:rPr>
          <w:bCs/>
          <w:color w:val="000000" w:themeColor="text1"/>
          <w:sz w:val="22"/>
          <w:lang w:val="bg-BG"/>
        </w:rPr>
        <w:t xml:space="preserve">дирекция „Правна“ на </w:t>
      </w:r>
      <w:r w:rsidRPr="00EA7BE6">
        <w:rPr>
          <w:bCs/>
          <w:color w:val="000000" w:themeColor="text1"/>
          <w:sz w:val="22"/>
          <w:lang w:val="bg-BG"/>
        </w:rPr>
        <w:t>Министерство на земеделието, храните и горите</w:t>
      </w:r>
      <w:r w:rsidR="002073BC" w:rsidRPr="00EA7BE6">
        <w:rPr>
          <w:bCs/>
          <w:color w:val="000000" w:themeColor="text1"/>
          <w:sz w:val="22"/>
          <w:lang w:val="bg-BG"/>
        </w:rPr>
        <w:t>.</w:t>
      </w:r>
    </w:p>
    <w:p w:rsidR="00CA75E2" w:rsidRPr="00EA7BE6" w:rsidRDefault="00E47E10" w:rsidP="006B3BB7">
      <w:pPr>
        <w:pStyle w:val="Heading2"/>
        <w:spacing w:before="240" w:after="120"/>
        <w:rPr>
          <w:rFonts w:cs="Times New Roman"/>
          <w:sz w:val="22"/>
          <w:szCs w:val="22"/>
          <w:lang w:val="bg-BG"/>
        </w:rPr>
      </w:pPr>
      <w:bookmarkStart w:id="3" w:name="_Toc496709934"/>
      <w:r w:rsidRPr="00EA7BE6">
        <w:rPr>
          <w:rFonts w:cs="Times New Roman"/>
          <w:sz w:val="22"/>
          <w:szCs w:val="22"/>
          <w:lang w:val="bg-BG"/>
        </w:rPr>
        <w:t xml:space="preserve">I.2. </w:t>
      </w:r>
      <w:r w:rsidR="00785242" w:rsidRPr="00EA7BE6">
        <w:rPr>
          <w:rFonts w:cs="Times New Roman"/>
          <w:sz w:val="22"/>
          <w:szCs w:val="22"/>
          <w:lang w:val="bg-BG"/>
        </w:rPr>
        <w:t xml:space="preserve">Проект на </w:t>
      </w:r>
      <w:bookmarkEnd w:id="3"/>
      <w:r w:rsidR="00AB1441" w:rsidRPr="00EA7BE6">
        <w:rPr>
          <w:rFonts w:cs="Times New Roman"/>
          <w:sz w:val="22"/>
          <w:szCs w:val="22"/>
          <w:lang w:val="bg-BG"/>
        </w:rPr>
        <w:t>З</w:t>
      </w:r>
      <w:r w:rsidR="00414FFF" w:rsidRPr="00EA7BE6">
        <w:rPr>
          <w:rFonts w:cs="Times New Roman"/>
          <w:sz w:val="22"/>
          <w:szCs w:val="22"/>
          <w:lang w:val="bg-BG"/>
        </w:rPr>
        <w:t>акон за превенция от неблагоприятни климатични събития в земеделието</w:t>
      </w:r>
    </w:p>
    <w:p w:rsidR="007E75C3" w:rsidRPr="00EA7BE6" w:rsidRDefault="006E52A8" w:rsidP="007E75C3">
      <w:pPr>
        <w:widowControl w:val="0"/>
        <w:autoSpaceDE w:val="0"/>
        <w:autoSpaceDN w:val="0"/>
        <w:adjustRightInd w:val="0"/>
        <w:spacing w:after="120"/>
        <w:rPr>
          <w:bCs/>
          <w:sz w:val="22"/>
          <w:lang w:val="bg-BG"/>
        </w:rPr>
      </w:pPr>
      <w:r w:rsidRPr="00EA7BE6">
        <w:rPr>
          <w:bCs/>
          <w:sz w:val="22"/>
          <w:lang w:val="bg-BG"/>
        </w:rPr>
        <w:t xml:space="preserve">Проектът на </w:t>
      </w:r>
      <w:r w:rsidR="00AB1441" w:rsidRPr="00EA7BE6">
        <w:rPr>
          <w:bCs/>
          <w:sz w:val="22"/>
          <w:lang w:val="bg-BG"/>
        </w:rPr>
        <w:t>Закон за превенция от неблагоприятни климатични събития в земеделието</w:t>
      </w:r>
      <w:r w:rsidRPr="00EA7BE6">
        <w:rPr>
          <w:bCs/>
          <w:sz w:val="22"/>
          <w:lang w:val="bg-BG"/>
        </w:rPr>
        <w:t xml:space="preserve"> е разработен от </w:t>
      </w:r>
      <w:r w:rsidR="00AB1441" w:rsidRPr="00EA7BE6">
        <w:rPr>
          <w:bCs/>
          <w:sz w:val="22"/>
          <w:lang w:val="bg-BG"/>
        </w:rPr>
        <w:t xml:space="preserve">дирекция „Правна“ на </w:t>
      </w:r>
      <w:r w:rsidRPr="00EA7BE6">
        <w:rPr>
          <w:bCs/>
          <w:sz w:val="22"/>
          <w:lang w:val="bg-BG"/>
        </w:rPr>
        <w:t>Министерство на земеделието, храните и горите.</w:t>
      </w:r>
      <w:r w:rsidR="00A52BF0" w:rsidRPr="00EA7BE6">
        <w:rPr>
          <w:bCs/>
          <w:sz w:val="22"/>
          <w:lang w:val="bg-BG"/>
        </w:rPr>
        <w:t xml:space="preserve"> През 2015 г. в Министерство на земеделието и храните започва разработването на нов модел за управление на риска в земеделието. През май 2016 г. е проведена среща между представители на министерството и на организациите на земеделските производители и застрахователи на тема: „Възможности за развитие на системата за превенция срещу градушки и други неблагоприятни климатични явления“ в град Велико Търново. По </w:t>
      </w:r>
      <w:r w:rsidR="00A52BF0" w:rsidRPr="00EA7BE6">
        <w:rPr>
          <w:bCs/>
          <w:sz w:val="22"/>
          <w:lang w:val="bg-BG"/>
        </w:rPr>
        <w:lastRenderedPageBreak/>
        <w:t xml:space="preserve">време на събитието са дискутирани развитието, усъвършенстването и разширяването на  системата за противоградова защита в страната. Участниците в срещата са запознати и с опита на Окръжна служба за борба с градушките, окръг </w:t>
      </w:r>
      <w:proofErr w:type="spellStart"/>
      <w:r w:rsidR="00A52BF0" w:rsidRPr="00EA7BE6">
        <w:rPr>
          <w:bCs/>
          <w:sz w:val="22"/>
          <w:lang w:val="bg-BG"/>
        </w:rPr>
        <w:t>Розенхайм</w:t>
      </w:r>
      <w:proofErr w:type="spellEnd"/>
      <w:r w:rsidR="00A52BF0" w:rsidRPr="00EA7BE6">
        <w:rPr>
          <w:bCs/>
          <w:sz w:val="22"/>
          <w:lang w:val="bg-BG"/>
        </w:rPr>
        <w:t>, Германия в използване на авиацията за борба с градушките.</w:t>
      </w:r>
      <w:r w:rsidR="007E75C3" w:rsidRPr="00EA7BE6">
        <w:rPr>
          <w:bCs/>
          <w:sz w:val="22"/>
          <w:lang w:val="bg-BG"/>
        </w:rPr>
        <w:t xml:space="preserve"> </w:t>
      </w:r>
    </w:p>
    <w:p w:rsidR="007E75C3" w:rsidRPr="00EA7BE6" w:rsidRDefault="007E75C3" w:rsidP="007E75C3">
      <w:pPr>
        <w:widowControl w:val="0"/>
        <w:autoSpaceDE w:val="0"/>
        <w:autoSpaceDN w:val="0"/>
        <w:adjustRightInd w:val="0"/>
        <w:spacing w:after="120"/>
        <w:rPr>
          <w:bCs/>
          <w:sz w:val="22"/>
          <w:lang w:val="bg-BG"/>
        </w:rPr>
      </w:pPr>
      <w:r w:rsidRPr="00EA7BE6">
        <w:rPr>
          <w:bCs/>
          <w:sz w:val="22"/>
          <w:lang w:val="bg-BG"/>
        </w:rPr>
        <w:t>През юли месец 2017 г. е проведена среща между представители на Министерството на земеделието, храните и го</w:t>
      </w:r>
      <w:r w:rsidR="00F75FF1" w:rsidRPr="00EA7BE6">
        <w:rPr>
          <w:bCs/>
          <w:sz w:val="22"/>
          <w:lang w:val="bg-BG"/>
        </w:rPr>
        <w:t>рите и представители на общини, застрахователи и земеделски производители, на която е обсъдена възможността моделът на борба с градушките да бъде финансиран не само от държавата, но и от земеделските производители, застрахователите и общините. По време на срещата е представена презентация на тема „</w:t>
      </w:r>
      <w:proofErr w:type="spellStart"/>
      <w:r w:rsidR="00F75FF1" w:rsidRPr="00EA7BE6">
        <w:rPr>
          <w:bCs/>
          <w:sz w:val="22"/>
          <w:lang w:val="bg-BG"/>
        </w:rPr>
        <w:t>Противоградова</w:t>
      </w:r>
      <w:proofErr w:type="spellEnd"/>
      <w:r w:rsidR="00F75FF1" w:rsidRPr="00EA7BE6">
        <w:rPr>
          <w:bCs/>
          <w:sz w:val="22"/>
          <w:lang w:val="bg-BG"/>
        </w:rPr>
        <w:t xml:space="preserve"> защита в България – състояние и перспективи“. В нея се посочва, че целта на мерките е максимално да се защити обработваемата земя, трайни насаждания и смесено ползване и да достигнат 90 % покритие на земеделските площи, както и 60% в урбанизираните територии, като това би могло да бъде постигнато с разширяване на системата и защитаваната територия постепенно чрез използване на два способа – ракетен и самолетен. Направено е предложение за доизграждане на системата с 4 допълнителни радарни станции</w:t>
      </w:r>
      <w:r w:rsidR="009A56D1">
        <w:rPr>
          <w:bCs/>
          <w:sz w:val="22"/>
          <w:lang w:val="bg-BG"/>
        </w:rPr>
        <w:t>,</w:t>
      </w:r>
      <w:r w:rsidR="00F75FF1" w:rsidRPr="00EA7BE6">
        <w:rPr>
          <w:bCs/>
          <w:sz w:val="22"/>
          <w:lang w:val="bg-BG"/>
        </w:rPr>
        <w:t xml:space="preserve"> </w:t>
      </w:r>
      <w:r w:rsidR="009A56D1">
        <w:rPr>
          <w:bCs/>
          <w:sz w:val="22"/>
          <w:lang w:val="bg-BG"/>
        </w:rPr>
        <w:t>а р</w:t>
      </w:r>
      <w:r w:rsidR="00F75FF1" w:rsidRPr="00EA7BE6">
        <w:rPr>
          <w:bCs/>
          <w:sz w:val="22"/>
          <w:lang w:val="bg-BG"/>
        </w:rPr>
        <w:t>акетният способ до 2020 година да бъде разширен с изграждане на 63 нови ракетни площадки и 2 командни пункта в с. Тъжа и Любимец.</w:t>
      </w:r>
    </w:p>
    <w:p w:rsidR="00D83F51" w:rsidRPr="00EA7BE6" w:rsidRDefault="00D83F51" w:rsidP="007E75C3">
      <w:pPr>
        <w:widowControl w:val="0"/>
        <w:autoSpaceDE w:val="0"/>
        <w:autoSpaceDN w:val="0"/>
        <w:adjustRightInd w:val="0"/>
        <w:spacing w:after="120"/>
        <w:rPr>
          <w:bCs/>
          <w:sz w:val="22"/>
          <w:lang w:val="bg-BG"/>
        </w:rPr>
      </w:pPr>
      <w:r w:rsidRPr="00EA7BE6">
        <w:rPr>
          <w:bCs/>
          <w:sz w:val="22"/>
          <w:lang w:val="bg-BG"/>
        </w:rPr>
        <w:t xml:space="preserve">На 8 февруари 2018 г. е проведена среща между представители на </w:t>
      </w:r>
      <w:r w:rsidR="009A56D1" w:rsidRPr="009A56D1">
        <w:rPr>
          <w:bCs/>
          <w:sz w:val="22"/>
          <w:lang w:val="bg-BG"/>
        </w:rPr>
        <w:t>Министерството на земеделието, храните и горите</w:t>
      </w:r>
      <w:r w:rsidRPr="00EA7BE6">
        <w:rPr>
          <w:bCs/>
          <w:sz w:val="22"/>
          <w:lang w:val="bg-BG"/>
        </w:rPr>
        <w:t xml:space="preserve"> и представители на застрахователните дружества в страната. На срещата е представена преработената визия на министерството за създаване на модел за превенция от природни бедствия и неблагоприятни климатични събития в земеделието, като бе обсъдена възможността дейността по превенция да се съфинансира и със задължителни вноски от застрахователните компании.</w:t>
      </w:r>
    </w:p>
    <w:p w:rsidR="00D83F51" w:rsidRPr="00EA7BE6" w:rsidRDefault="00992564" w:rsidP="007E75C3">
      <w:pPr>
        <w:widowControl w:val="0"/>
        <w:autoSpaceDE w:val="0"/>
        <w:autoSpaceDN w:val="0"/>
        <w:adjustRightInd w:val="0"/>
        <w:spacing w:after="120"/>
        <w:rPr>
          <w:bCs/>
          <w:sz w:val="22"/>
          <w:lang w:val="bg-BG"/>
        </w:rPr>
      </w:pPr>
      <w:r w:rsidRPr="00EA7BE6">
        <w:rPr>
          <w:bCs/>
          <w:sz w:val="22"/>
          <w:lang w:val="bg-BG"/>
        </w:rPr>
        <w:t>По време на „Шеста национална среща на земеделските производители в България“, проведена в периода от 14 до 16 февруари 2018 г., и на земеделските производители е представена преработената визия на министерството за създаване на модел за превенция от природни бедствия и неблагоприятни климатични събития в земеделието, като е обсъдена възможността дейността по превенция да се съфинансира и със задължителни вноски от земеделските стопани.</w:t>
      </w:r>
    </w:p>
    <w:p w:rsidR="000A4423" w:rsidRPr="00EA7BE6" w:rsidRDefault="00294109" w:rsidP="000A4423">
      <w:pPr>
        <w:widowControl w:val="0"/>
        <w:autoSpaceDE w:val="0"/>
        <w:autoSpaceDN w:val="0"/>
        <w:adjustRightInd w:val="0"/>
        <w:spacing w:after="120"/>
        <w:rPr>
          <w:bCs/>
          <w:sz w:val="22"/>
          <w:lang w:val="bg-BG"/>
        </w:rPr>
      </w:pPr>
      <w:r w:rsidRPr="00EA7BE6">
        <w:rPr>
          <w:bCs/>
          <w:sz w:val="22"/>
          <w:lang w:val="bg-BG"/>
        </w:rPr>
        <w:t>Н</w:t>
      </w:r>
      <w:r w:rsidR="00FB4F60" w:rsidRPr="00EA7BE6">
        <w:rPr>
          <w:bCs/>
          <w:sz w:val="22"/>
          <w:lang w:val="bg-BG"/>
        </w:rPr>
        <w:t xml:space="preserve">еобходимостта от приемане на </w:t>
      </w:r>
      <w:r w:rsidR="008D0CAE" w:rsidRPr="00EA7BE6">
        <w:rPr>
          <w:bCs/>
          <w:sz w:val="22"/>
          <w:lang w:val="bg-BG"/>
        </w:rPr>
        <w:t>Закон за превенция от неблагоприятни климатични събития в земеделието</w:t>
      </w:r>
      <w:r w:rsidR="006E52A8" w:rsidRPr="00EA7BE6">
        <w:rPr>
          <w:bCs/>
          <w:sz w:val="22"/>
          <w:lang w:val="bg-BG"/>
        </w:rPr>
        <w:t xml:space="preserve"> </w:t>
      </w:r>
      <w:r w:rsidRPr="00EA7BE6">
        <w:rPr>
          <w:bCs/>
          <w:sz w:val="22"/>
          <w:lang w:val="bg-BG"/>
        </w:rPr>
        <w:t xml:space="preserve">е обусловена от </w:t>
      </w:r>
      <w:r w:rsidR="000A4423" w:rsidRPr="00EA7BE6">
        <w:rPr>
          <w:bCs/>
          <w:sz w:val="22"/>
          <w:lang w:val="bg-BG"/>
        </w:rPr>
        <w:t xml:space="preserve">все по-екстремни прояви на неблагоприятни климатични явления и бедствия – обилни валежи, горещи и студени вълни, </w:t>
      </w:r>
      <w:r w:rsidR="000A4423" w:rsidRPr="00EA7BE6">
        <w:rPr>
          <w:b/>
          <w:bCs/>
          <w:sz w:val="22"/>
          <w:lang w:val="bg-BG"/>
        </w:rPr>
        <w:t>градушки</w:t>
      </w:r>
      <w:r w:rsidR="000A4423" w:rsidRPr="00EA7BE6">
        <w:rPr>
          <w:bCs/>
          <w:sz w:val="22"/>
          <w:lang w:val="bg-BG"/>
        </w:rPr>
        <w:t xml:space="preserve">, наводнения, засушавания, ураганни ветрове, наблюдавани през последните години. Различни сценарии за изменението на климата в България сочат, че в средносрочен и дългосрочен план тези събития ще зачестят. Това налага да се търсят адекватни решения за адаптиране към настъпващите промени. </w:t>
      </w:r>
    </w:p>
    <w:p w:rsidR="000A4423" w:rsidRPr="00EA7BE6" w:rsidRDefault="000A4423" w:rsidP="000A4423">
      <w:pPr>
        <w:widowControl w:val="0"/>
        <w:autoSpaceDE w:val="0"/>
        <w:autoSpaceDN w:val="0"/>
        <w:adjustRightInd w:val="0"/>
        <w:spacing w:after="120"/>
        <w:rPr>
          <w:bCs/>
          <w:sz w:val="22"/>
          <w:lang w:val="bg-BG"/>
        </w:rPr>
      </w:pPr>
      <w:r w:rsidRPr="00EA7BE6">
        <w:rPr>
          <w:bCs/>
          <w:sz w:val="22"/>
          <w:lang w:val="bg-BG"/>
        </w:rPr>
        <w:t>В този контекст, визията на Министерството на земеделието, храните и горите е, че следва да се вземат превантивни мерки, осигуряващи в максимална степен защитата на земеделските производители, което да гарантира устойчивото развитие на аграрния отрасъл. В средносрочен и дългосрочен план целим постигане на комплексно управление и превенция по отношение на неблагоприятни климатични събития в земеделието.</w:t>
      </w:r>
    </w:p>
    <w:p w:rsidR="00CA75E2" w:rsidRPr="00EA7BE6" w:rsidRDefault="00E47E10" w:rsidP="006B3BB7">
      <w:pPr>
        <w:pStyle w:val="Heading2"/>
        <w:spacing w:before="240" w:after="120"/>
        <w:rPr>
          <w:rFonts w:cs="Times New Roman"/>
          <w:sz w:val="22"/>
          <w:szCs w:val="22"/>
          <w:lang w:val="bg-BG"/>
        </w:rPr>
      </w:pPr>
      <w:bookmarkStart w:id="4" w:name="_Toc496709935"/>
      <w:r w:rsidRPr="00EA7BE6">
        <w:rPr>
          <w:rFonts w:cs="Times New Roman"/>
          <w:sz w:val="22"/>
          <w:szCs w:val="22"/>
          <w:lang w:val="bg-BG"/>
        </w:rPr>
        <w:t xml:space="preserve">I.3. </w:t>
      </w:r>
      <w:r w:rsidR="00785242" w:rsidRPr="00EA7BE6">
        <w:rPr>
          <w:rFonts w:cs="Times New Roman"/>
          <w:sz w:val="22"/>
          <w:szCs w:val="22"/>
          <w:lang w:val="bg-BG"/>
        </w:rPr>
        <w:t>Методологична рамка на цялостната предварителна оценка на въздействието</w:t>
      </w:r>
      <w:bookmarkEnd w:id="4"/>
    </w:p>
    <w:p w:rsidR="00054931"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Компонентите на изготвената оценка включват:</w:t>
      </w:r>
    </w:p>
    <w:p w:rsidR="00E850DB"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1. </w:t>
      </w:r>
      <w:r w:rsidR="00E850DB" w:rsidRPr="00EA7BE6">
        <w:rPr>
          <w:color w:val="000000" w:themeColor="text1"/>
          <w:sz w:val="22"/>
          <w:lang w:val="bg-BG"/>
        </w:rPr>
        <w:t>Дефиниране на проблемите</w:t>
      </w:r>
    </w:p>
    <w:p w:rsidR="00E61753" w:rsidRPr="00EA7BE6" w:rsidRDefault="00054931" w:rsidP="006B3BB7">
      <w:pPr>
        <w:widowControl w:val="0"/>
        <w:autoSpaceDE w:val="0"/>
        <w:autoSpaceDN w:val="0"/>
        <w:adjustRightInd w:val="0"/>
        <w:spacing w:after="120"/>
        <w:rPr>
          <w:bCs/>
          <w:sz w:val="22"/>
          <w:lang w:val="bg-BG"/>
        </w:rPr>
      </w:pPr>
      <w:r w:rsidRPr="00EA7BE6">
        <w:rPr>
          <w:color w:val="000000" w:themeColor="text1"/>
          <w:sz w:val="22"/>
          <w:lang w:val="bg-BG"/>
        </w:rPr>
        <w:t xml:space="preserve">В тази част </w:t>
      </w:r>
      <w:r w:rsidR="00CB5569" w:rsidRPr="00EA7BE6">
        <w:rPr>
          <w:color w:val="000000" w:themeColor="text1"/>
          <w:sz w:val="22"/>
          <w:lang w:val="bg-BG"/>
        </w:rPr>
        <w:t xml:space="preserve">от изготвяне на оценката са </w:t>
      </w:r>
      <w:r w:rsidR="00FD6187" w:rsidRPr="00EA7BE6">
        <w:rPr>
          <w:color w:val="000000" w:themeColor="text1"/>
          <w:sz w:val="22"/>
          <w:lang w:val="bg-BG"/>
        </w:rPr>
        <w:t xml:space="preserve">определени </w:t>
      </w:r>
      <w:r w:rsidR="00E61753" w:rsidRPr="00EA7BE6">
        <w:rPr>
          <w:color w:val="000000" w:themeColor="text1"/>
          <w:sz w:val="22"/>
          <w:lang w:val="bg-BG"/>
        </w:rPr>
        <w:t xml:space="preserve">естеството на проблема, мащабът му и основните причини за неговото възникване. Ще бъде разгледано как проблемът се е развил с течение на времето и как съществуващите актове и инициативи му влияят, както и как този проблем ще се развие в бъдеще, ако не се приемат действия от страна на държавата. </w:t>
      </w:r>
      <w:r w:rsidR="00C1034E" w:rsidRPr="00EA7BE6">
        <w:rPr>
          <w:color w:val="000000" w:themeColor="text1"/>
          <w:sz w:val="22"/>
          <w:lang w:val="bg-BG"/>
        </w:rPr>
        <w:t xml:space="preserve">Идентифицирани са три основни проблема, свързани с </w:t>
      </w:r>
      <w:r w:rsidR="00C1034E" w:rsidRPr="00EA7BE6">
        <w:rPr>
          <w:bCs/>
          <w:sz w:val="22"/>
          <w:lang w:val="bg-BG"/>
        </w:rPr>
        <w:t xml:space="preserve">превенцията по отношение на неблагоприятни климатични събития в земеделието. </w:t>
      </w:r>
    </w:p>
    <w:p w:rsidR="00C1034E" w:rsidRPr="00EA7BE6" w:rsidRDefault="00C1034E" w:rsidP="00C1034E">
      <w:pPr>
        <w:widowControl w:val="0"/>
        <w:autoSpaceDE w:val="0"/>
        <w:autoSpaceDN w:val="0"/>
        <w:adjustRightInd w:val="0"/>
        <w:spacing w:after="120"/>
        <w:rPr>
          <w:bCs/>
          <w:sz w:val="22"/>
          <w:lang w:val="bg-BG"/>
        </w:rPr>
      </w:pPr>
      <w:r w:rsidRPr="00EA7BE6">
        <w:rPr>
          <w:color w:val="000000" w:themeColor="text1"/>
          <w:sz w:val="22"/>
          <w:lang w:val="bg-BG"/>
        </w:rPr>
        <w:lastRenderedPageBreak/>
        <w:t xml:space="preserve">През последните години се наблюдават все по-екстремни прояви на неблагоприятни климатични явления и бедствия - обилни валежи, горещи и студени вълни, </w:t>
      </w:r>
      <w:r w:rsidRPr="00EA7BE6">
        <w:rPr>
          <w:b/>
          <w:color w:val="000000" w:themeColor="text1"/>
          <w:sz w:val="22"/>
          <w:lang w:val="bg-BG"/>
        </w:rPr>
        <w:t>градушки</w:t>
      </w:r>
      <w:r w:rsidRPr="00EA7BE6">
        <w:rPr>
          <w:color w:val="000000" w:themeColor="text1"/>
          <w:sz w:val="22"/>
          <w:lang w:val="bg-BG"/>
        </w:rPr>
        <w:t xml:space="preserve">, наводнения, засушавания, ураганни ветрове.  Различни сценарии за изменението на климата в България сочат, че в средносрочен и дългосрочен план тези събития ще зачестят. Предвижда се нарастване на честотата и силата на градобитните процеси. Един от географските райони, за които се прогнозира значително нарастване на екстремните случаи от градушка с размери ≥2 см е територията на България. В тази връзка е необходимо </w:t>
      </w:r>
      <w:r w:rsidRPr="00EA7BE6">
        <w:rPr>
          <w:bCs/>
          <w:sz w:val="22"/>
          <w:lang w:val="bg-BG"/>
        </w:rPr>
        <w:t>да се вземат превантивни мерки, осигуряващи в максимална степен защитата на земеделските производители, което да гарантира устойчивото развитие на аграрния отрасъл.</w:t>
      </w:r>
    </w:p>
    <w:p w:rsidR="00C1034E" w:rsidRPr="00EA7BE6" w:rsidRDefault="00C1034E" w:rsidP="00C1034E">
      <w:pPr>
        <w:widowControl w:val="0"/>
        <w:autoSpaceDE w:val="0"/>
        <w:autoSpaceDN w:val="0"/>
        <w:adjustRightInd w:val="0"/>
        <w:spacing w:after="120"/>
        <w:rPr>
          <w:color w:val="000000" w:themeColor="text1"/>
          <w:sz w:val="22"/>
          <w:lang w:val="bg-BG"/>
        </w:rPr>
      </w:pPr>
      <w:r w:rsidRPr="00EA7BE6">
        <w:rPr>
          <w:color w:val="000000" w:themeColor="text1"/>
          <w:sz w:val="22"/>
          <w:lang w:val="bg-BG"/>
        </w:rPr>
        <w:t>Като втори основен проблем</w:t>
      </w:r>
      <w:r w:rsidR="00A42DAC" w:rsidRPr="00EA7BE6">
        <w:rPr>
          <w:color w:val="000000" w:themeColor="text1"/>
          <w:sz w:val="22"/>
          <w:lang w:val="bg-BG"/>
        </w:rPr>
        <w:t xml:space="preserve"> е идентифицирана липсата на противоградова защита на 2/3 от територията на страната. </w:t>
      </w:r>
    </w:p>
    <w:p w:rsidR="00A42DAC" w:rsidRPr="00EA7BE6" w:rsidRDefault="00A42DAC" w:rsidP="00C1034E">
      <w:pPr>
        <w:widowControl w:val="0"/>
        <w:autoSpaceDE w:val="0"/>
        <w:autoSpaceDN w:val="0"/>
        <w:adjustRightInd w:val="0"/>
        <w:spacing w:after="120"/>
        <w:rPr>
          <w:color w:val="000000" w:themeColor="text1"/>
          <w:sz w:val="22"/>
          <w:lang w:val="bg-BG"/>
        </w:rPr>
      </w:pPr>
      <w:r w:rsidRPr="00EA7BE6">
        <w:rPr>
          <w:color w:val="000000" w:themeColor="text1"/>
          <w:sz w:val="22"/>
          <w:lang w:val="bg-BG"/>
        </w:rPr>
        <w:t>Липсата на диверсифициране на източниците на финансиране на инструменти за управление на риска в земеделието е дефинирана като следващ проблем и се основава на виждането, че усилията на държавата за справяне с нарастващите климатични предизвикателства няма да бъдат достатъчно ефективни ако не бъдат подкрепени солидарно от всички заинтересовани страни.</w:t>
      </w:r>
    </w:p>
    <w:p w:rsidR="00054931" w:rsidRPr="00EA7BE6" w:rsidRDefault="00F80119"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Определени са и заинтересованите страни, които са засегнати от така установените проблеми.</w:t>
      </w:r>
    </w:p>
    <w:p w:rsidR="00E850DB"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2. </w:t>
      </w:r>
      <w:r w:rsidR="00FD6187" w:rsidRPr="00EA7BE6">
        <w:rPr>
          <w:color w:val="000000" w:themeColor="text1"/>
          <w:sz w:val="22"/>
          <w:lang w:val="bg-BG"/>
        </w:rPr>
        <w:t xml:space="preserve">Установяване </w:t>
      </w:r>
      <w:r w:rsidRPr="00EA7BE6">
        <w:rPr>
          <w:color w:val="000000" w:themeColor="text1"/>
          <w:sz w:val="22"/>
          <w:lang w:val="bg-BG"/>
        </w:rPr>
        <w:t>на целите</w:t>
      </w:r>
      <w:r w:rsidR="00FD6187" w:rsidRPr="00EA7BE6">
        <w:rPr>
          <w:color w:val="000000" w:themeColor="text1"/>
          <w:sz w:val="22"/>
          <w:lang w:val="bg-BG"/>
        </w:rPr>
        <w:t>, които да бъдат постигнати</w:t>
      </w:r>
    </w:p>
    <w:p w:rsidR="00054931" w:rsidRPr="00EA7BE6" w:rsidRDefault="00CB5569"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Въз основа на така идентифицираните проблеми са определени</w:t>
      </w:r>
      <w:r w:rsidR="00054931" w:rsidRPr="00EA7BE6">
        <w:rPr>
          <w:color w:val="000000" w:themeColor="text1"/>
          <w:sz w:val="22"/>
          <w:lang w:val="bg-BG"/>
        </w:rPr>
        <w:t xml:space="preserve"> основн</w:t>
      </w:r>
      <w:r w:rsidR="001B2407" w:rsidRPr="00EA7BE6">
        <w:rPr>
          <w:color w:val="000000" w:themeColor="text1"/>
          <w:sz w:val="22"/>
          <w:lang w:val="bg-BG"/>
        </w:rPr>
        <w:t>и</w:t>
      </w:r>
      <w:r w:rsidR="00054931" w:rsidRPr="00EA7BE6">
        <w:rPr>
          <w:color w:val="000000" w:themeColor="text1"/>
          <w:sz w:val="22"/>
          <w:lang w:val="bg-BG"/>
        </w:rPr>
        <w:t>т</w:t>
      </w:r>
      <w:r w:rsidR="001B2407" w:rsidRPr="00EA7BE6">
        <w:rPr>
          <w:color w:val="000000" w:themeColor="text1"/>
          <w:sz w:val="22"/>
          <w:lang w:val="bg-BG"/>
        </w:rPr>
        <w:t>е</w:t>
      </w:r>
      <w:r w:rsidR="00565DB1" w:rsidRPr="00EA7BE6">
        <w:rPr>
          <w:color w:val="000000" w:themeColor="text1"/>
          <w:sz w:val="22"/>
          <w:lang w:val="bg-BG"/>
        </w:rPr>
        <w:t xml:space="preserve"> и </w:t>
      </w:r>
      <w:r w:rsidR="00054931" w:rsidRPr="00EA7BE6">
        <w:rPr>
          <w:color w:val="000000" w:themeColor="text1"/>
          <w:sz w:val="22"/>
          <w:lang w:val="bg-BG"/>
        </w:rPr>
        <w:t>специфичн</w:t>
      </w:r>
      <w:r w:rsidR="00565DB1" w:rsidRPr="00EA7BE6">
        <w:rPr>
          <w:color w:val="000000" w:themeColor="text1"/>
          <w:sz w:val="22"/>
          <w:lang w:val="bg-BG"/>
        </w:rPr>
        <w:t>ите</w:t>
      </w:r>
      <w:r w:rsidR="00054931" w:rsidRPr="00EA7BE6">
        <w:rPr>
          <w:color w:val="000000" w:themeColor="text1"/>
          <w:sz w:val="22"/>
          <w:lang w:val="bg-BG"/>
        </w:rPr>
        <w:t xml:space="preserve"> цели на законопроекта. Целите са обвързани с решаване </w:t>
      </w:r>
      <w:r w:rsidRPr="00EA7BE6">
        <w:rPr>
          <w:color w:val="000000" w:themeColor="text1"/>
          <w:sz w:val="22"/>
          <w:lang w:val="bg-BG"/>
        </w:rPr>
        <w:t xml:space="preserve">на описаните проблеми. За </w:t>
      </w:r>
      <w:r w:rsidR="00FD6187" w:rsidRPr="00EA7BE6">
        <w:rPr>
          <w:color w:val="000000" w:themeColor="text1"/>
          <w:sz w:val="22"/>
          <w:lang w:val="bg-BG"/>
        </w:rPr>
        <w:t xml:space="preserve">постигане на </w:t>
      </w:r>
      <w:r w:rsidRPr="00EA7BE6">
        <w:rPr>
          <w:color w:val="000000" w:themeColor="text1"/>
          <w:sz w:val="22"/>
          <w:lang w:val="bg-BG"/>
        </w:rPr>
        <w:t xml:space="preserve">съответните </w:t>
      </w:r>
      <w:r w:rsidR="00054931" w:rsidRPr="00EA7BE6">
        <w:rPr>
          <w:color w:val="000000" w:themeColor="text1"/>
          <w:sz w:val="22"/>
          <w:lang w:val="bg-BG"/>
        </w:rPr>
        <w:t>цел</w:t>
      </w:r>
      <w:r w:rsidRPr="00EA7BE6">
        <w:rPr>
          <w:color w:val="000000" w:themeColor="text1"/>
          <w:sz w:val="22"/>
          <w:lang w:val="bg-BG"/>
        </w:rPr>
        <w:t>и</w:t>
      </w:r>
      <w:r w:rsidR="00BF0B22" w:rsidRPr="00EA7BE6">
        <w:rPr>
          <w:color w:val="000000" w:themeColor="text1"/>
          <w:sz w:val="22"/>
          <w:lang w:val="bg-BG"/>
        </w:rPr>
        <w:t xml:space="preserve"> в процеса на разработване на законопроекта</w:t>
      </w:r>
      <w:r w:rsidR="00054931" w:rsidRPr="00EA7BE6">
        <w:rPr>
          <w:color w:val="000000" w:themeColor="text1"/>
          <w:sz w:val="22"/>
          <w:lang w:val="bg-BG"/>
        </w:rPr>
        <w:t xml:space="preserve"> </w:t>
      </w:r>
      <w:r w:rsidR="001B2407" w:rsidRPr="00EA7BE6">
        <w:rPr>
          <w:color w:val="000000" w:themeColor="text1"/>
          <w:sz w:val="22"/>
          <w:lang w:val="bg-BG"/>
        </w:rPr>
        <w:t>ще бъдат</w:t>
      </w:r>
      <w:r w:rsidR="00054931" w:rsidRPr="00EA7BE6">
        <w:rPr>
          <w:color w:val="000000" w:themeColor="text1"/>
          <w:sz w:val="22"/>
          <w:lang w:val="bg-BG"/>
        </w:rPr>
        <w:t xml:space="preserve"> идентифицирани </w:t>
      </w:r>
      <w:r w:rsidRPr="00EA7BE6">
        <w:rPr>
          <w:color w:val="000000" w:themeColor="text1"/>
          <w:sz w:val="22"/>
          <w:lang w:val="bg-BG"/>
        </w:rPr>
        <w:t>конкретни решения и мерки, съгласувани с представители на заинтересованите страни</w:t>
      </w:r>
      <w:r w:rsidR="001B2407" w:rsidRPr="00EA7BE6">
        <w:rPr>
          <w:color w:val="000000" w:themeColor="text1"/>
          <w:sz w:val="22"/>
          <w:lang w:val="bg-BG"/>
        </w:rPr>
        <w:t>.</w:t>
      </w:r>
      <w:r w:rsidRPr="00EA7BE6">
        <w:rPr>
          <w:color w:val="000000" w:themeColor="text1"/>
          <w:sz w:val="22"/>
          <w:lang w:val="bg-BG"/>
        </w:rPr>
        <w:t xml:space="preserve"> </w:t>
      </w:r>
      <w:r w:rsidR="001B2407" w:rsidRPr="00EA7BE6">
        <w:rPr>
          <w:color w:val="000000" w:themeColor="text1"/>
          <w:sz w:val="22"/>
          <w:lang w:val="bg-BG"/>
        </w:rPr>
        <w:t xml:space="preserve">Ще бъдат взети предвид и постъпилите в периода на предварителните консултации със заинтересованите страни становищата. </w:t>
      </w:r>
    </w:p>
    <w:p w:rsidR="00E83DC6"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3. </w:t>
      </w:r>
      <w:r w:rsidR="00FD6187" w:rsidRPr="00EA7BE6">
        <w:rPr>
          <w:color w:val="000000" w:themeColor="text1"/>
          <w:sz w:val="22"/>
          <w:lang w:val="bg-BG"/>
        </w:rPr>
        <w:t xml:space="preserve">Формулиране </w:t>
      </w:r>
      <w:r w:rsidRPr="00EA7BE6">
        <w:rPr>
          <w:color w:val="000000" w:themeColor="text1"/>
          <w:sz w:val="22"/>
          <w:lang w:val="bg-BG"/>
        </w:rPr>
        <w:t>на основни варианти на действие</w:t>
      </w:r>
      <w:r w:rsidR="00FD6187" w:rsidRPr="00EA7BE6">
        <w:rPr>
          <w:color w:val="000000" w:themeColor="text1"/>
          <w:sz w:val="22"/>
          <w:lang w:val="bg-BG"/>
        </w:rPr>
        <w:t>, водещи до решаване на проблемите</w:t>
      </w:r>
    </w:p>
    <w:p w:rsidR="00E850DB" w:rsidRPr="00EA7BE6" w:rsidRDefault="00E83DC6"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Ще бъдат формулирани три основни варианта на действие, а именно – вариант „Без действие“, вариант за приемане на проект на </w:t>
      </w:r>
      <w:r w:rsidRPr="00EA7BE6">
        <w:rPr>
          <w:bCs/>
          <w:color w:val="000000" w:themeColor="text1"/>
          <w:sz w:val="22"/>
          <w:lang w:val="bg-BG"/>
        </w:rPr>
        <w:t>Закон за превенция от неблагоприятни климатични събития в земеделието и вариант на промяна на съществуващата нормативна уредба при запазване на сегашния статут.</w:t>
      </w:r>
      <w:r w:rsidR="00054931" w:rsidRPr="00EA7BE6">
        <w:rPr>
          <w:color w:val="000000" w:themeColor="text1"/>
          <w:sz w:val="22"/>
          <w:lang w:val="bg-BG"/>
        </w:rPr>
        <w:t xml:space="preserve"> </w:t>
      </w:r>
    </w:p>
    <w:p w:rsidR="00E850DB"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4. Анализ на въздействията на вариантит</w:t>
      </w:r>
      <w:r w:rsidR="00E850DB" w:rsidRPr="00EA7BE6">
        <w:rPr>
          <w:color w:val="000000" w:themeColor="text1"/>
          <w:sz w:val="22"/>
          <w:lang w:val="bg-BG"/>
        </w:rPr>
        <w:t>е</w:t>
      </w:r>
    </w:p>
    <w:p w:rsidR="00054931" w:rsidRPr="00EA7BE6" w:rsidRDefault="00565DB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Тази част от анализа включва: </w:t>
      </w:r>
      <w:r w:rsidR="00054931" w:rsidRPr="00EA7BE6">
        <w:rPr>
          <w:color w:val="000000" w:themeColor="text1"/>
          <w:sz w:val="22"/>
          <w:lang w:val="bg-BG"/>
        </w:rPr>
        <w:t>идентифициран</w:t>
      </w:r>
      <w:r w:rsidRPr="00EA7BE6">
        <w:rPr>
          <w:color w:val="000000" w:themeColor="text1"/>
          <w:sz w:val="22"/>
          <w:lang w:val="bg-BG"/>
        </w:rPr>
        <w:t>е</w:t>
      </w:r>
      <w:r w:rsidR="00054931" w:rsidRPr="00EA7BE6">
        <w:rPr>
          <w:color w:val="000000" w:themeColor="text1"/>
          <w:sz w:val="22"/>
          <w:lang w:val="bg-BG"/>
        </w:rPr>
        <w:t xml:space="preserve"> </w:t>
      </w:r>
      <w:r w:rsidRPr="00EA7BE6">
        <w:rPr>
          <w:color w:val="000000" w:themeColor="text1"/>
          <w:sz w:val="22"/>
          <w:lang w:val="bg-BG"/>
        </w:rPr>
        <w:t>на</w:t>
      </w:r>
      <w:r w:rsidR="00054931" w:rsidRPr="00EA7BE6">
        <w:rPr>
          <w:color w:val="000000" w:themeColor="text1"/>
          <w:sz w:val="22"/>
          <w:lang w:val="bg-BG"/>
        </w:rPr>
        <w:t xml:space="preserve"> </w:t>
      </w:r>
      <w:r w:rsidR="00F80119" w:rsidRPr="00EA7BE6">
        <w:rPr>
          <w:color w:val="000000" w:themeColor="text1"/>
          <w:sz w:val="22"/>
          <w:lang w:val="bg-BG"/>
        </w:rPr>
        <w:t xml:space="preserve">очакваните </w:t>
      </w:r>
      <w:r w:rsidR="00054931" w:rsidRPr="00EA7BE6">
        <w:rPr>
          <w:color w:val="000000" w:themeColor="text1"/>
          <w:sz w:val="22"/>
          <w:lang w:val="bg-BG"/>
        </w:rPr>
        <w:t>икономически, социални и ек</w:t>
      </w:r>
      <w:r w:rsidRPr="00EA7BE6">
        <w:rPr>
          <w:color w:val="000000" w:themeColor="text1"/>
          <w:sz w:val="22"/>
          <w:lang w:val="bg-BG"/>
        </w:rPr>
        <w:t>ологични въздействия и разглеждане на ползите и разходите, които те могат да предизвикат</w:t>
      </w:r>
      <w:r w:rsidR="00054931" w:rsidRPr="00EA7BE6">
        <w:rPr>
          <w:color w:val="000000" w:themeColor="text1"/>
          <w:sz w:val="22"/>
          <w:lang w:val="bg-BG"/>
        </w:rPr>
        <w:t xml:space="preserve">, </w:t>
      </w:r>
      <w:r w:rsidRPr="00EA7BE6">
        <w:rPr>
          <w:color w:val="000000" w:themeColor="text1"/>
          <w:sz w:val="22"/>
          <w:lang w:val="bg-BG"/>
        </w:rPr>
        <w:t xml:space="preserve">както </w:t>
      </w:r>
      <w:r w:rsidR="00054931" w:rsidRPr="00EA7BE6">
        <w:rPr>
          <w:color w:val="000000" w:themeColor="text1"/>
          <w:sz w:val="22"/>
          <w:lang w:val="bg-BG"/>
        </w:rPr>
        <w:t xml:space="preserve">в </w:t>
      </w:r>
      <w:r w:rsidRPr="00EA7BE6">
        <w:rPr>
          <w:color w:val="000000" w:themeColor="text1"/>
          <w:sz w:val="22"/>
          <w:lang w:val="bg-BG"/>
        </w:rPr>
        <w:t xml:space="preserve">количествен, така и в </w:t>
      </w:r>
      <w:r w:rsidR="00054931" w:rsidRPr="00EA7BE6">
        <w:rPr>
          <w:color w:val="000000" w:themeColor="text1"/>
          <w:sz w:val="22"/>
          <w:lang w:val="bg-BG"/>
        </w:rPr>
        <w:t xml:space="preserve">качествен план. За идентифицираните промени </w:t>
      </w:r>
      <w:r w:rsidRPr="00EA7BE6">
        <w:rPr>
          <w:color w:val="000000" w:themeColor="text1"/>
          <w:sz w:val="22"/>
          <w:lang w:val="bg-BG"/>
        </w:rPr>
        <w:t xml:space="preserve">в </w:t>
      </w:r>
      <w:r w:rsidR="00387DD2" w:rsidRPr="00EA7BE6">
        <w:rPr>
          <w:color w:val="000000" w:themeColor="text1"/>
          <w:sz w:val="22"/>
          <w:lang w:val="bg-BG"/>
        </w:rPr>
        <w:t xml:space="preserve">предоставянето на </w:t>
      </w:r>
      <w:r w:rsidRPr="00EA7BE6">
        <w:rPr>
          <w:color w:val="000000" w:themeColor="text1"/>
          <w:sz w:val="22"/>
          <w:lang w:val="bg-BG"/>
        </w:rPr>
        <w:t xml:space="preserve">административни </w:t>
      </w:r>
      <w:r w:rsidR="00387DD2" w:rsidRPr="00EA7BE6">
        <w:rPr>
          <w:color w:val="000000" w:themeColor="text1"/>
          <w:sz w:val="22"/>
          <w:lang w:val="bg-BG"/>
        </w:rPr>
        <w:t xml:space="preserve">услуги </w:t>
      </w:r>
      <w:r w:rsidR="00054931" w:rsidRPr="00EA7BE6">
        <w:rPr>
          <w:color w:val="000000" w:themeColor="text1"/>
          <w:sz w:val="22"/>
          <w:lang w:val="bg-BG"/>
        </w:rPr>
        <w:t>са разработени подробни анализи с количествена и качествена оценка на ефектите</w:t>
      </w:r>
      <w:r w:rsidRPr="00EA7BE6">
        <w:rPr>
          <w:color w:val="000000" w:themeColor="text1"/>
          <w:sz w:val="22"/>
          <w:lang w:val="bg-BG"/>
        </w:rPr>
        <w:t xml:space="preserve"> </w:t>
      </w:r>
      <w:r w:rsidR="00F80119" w:rsidRPr="00EA7BE6">
        <w:rPr>
          <w:color w:val="000000" w:themeColor="text1"/>
          <w:sz w:val="22"/>
          <w:lang w:val="bg-BG"/>
        </w:rPr>
        <w:t>от промените в административната тежест по отношение на заинтересованите страни</w:t>
      </w:r>
      <w:r w:rsidR="00955E02" w:rsidRPr="00EA7BE6">
        <w:rPr>
          <w:color w:val="000000" w:themeColor="text1"/>
          <w:sz w:val="22"/>
          <w:lang w:val="bg-BG"/>
        </w:rPr>
        <w:t xml:space="preserve"> и по-специално малките и средните предприятия</w:t>
      </w:r>
      <w:r w:rsidR="00F80119" w:rsidRPr="00EA7BE6">
        <w:rPr>
          <w:color w:val="000000" w:themeColor="text1"/>
          <w:sz w:val="22"/>
          <w:lang w:val="bg-BG"/>
        </w:rPr>
        <w:t>.</w:t>
      </w:r>
    </w:p>
    <w:p w:rsidR="00E850DB"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5. </w:t>
      </w:r>
      <w:r w:rsidR="00FD6187" w:rsidRPr="00EA7BE6">
        <w:rPr>
          <w:color w:val="000000" w:themeColor="text1"/>
          <w:sz w:val="22"/>
          <w:lang w:val="bg-BG"/>
        </w:rPr>
        <w:t xml:space="preserve">Наблюдение </w:t>
      </w:r>
      <w:r w:rsidRPr="00EA7BE6">
        <w:rPr>
          <w:color w:val="000000" w:themeColor="text1"/>
          <w:sz w:val="22"/>
          <w:lang w:val="bg-BG"/>
        </w:rPr>
        <w:t>и оценява</w:t>
      </w:r>
      <w:r w:rsidR="00E850DB" w:rsidRPr="00EA7BE6">
        <w:rPr>
          <w:color w:val="000000" w:themeColor="text1"/>
          <w:sz w:val="22"/>
          <w:lang w:val="bg-BG"/>
        </w:rPr>
        <w:t>не</w:t>
      </w:r>
    </w:p>
    <w:p w:rsidR="00054931" w:rsidRPr="00EA7BE6" w:rsidRDefault="000549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Предложен</w:t>
      </w:r>
      <w:r w:rsidR="0048417C" w:rsidRPr="00EA7BE6">
        <w:rPr>
          <w:color w:val="000000" w:themeColor="text1"/>
          <w:sz w:val="22"/>
          <w:lang w:val="bg-BG"/>
        </w:rPr>
        <w:t xml:space="preserve"> е график за постигане на целите на проекта на </w:t>
      </w:r>
      <w:r w:rsidR="00811C04" w:rsidRPr="00EA7BE6">
        <w:rPr>
          <w:bCs/>
          <w:color w:val="000000" w:themeColor="text1"/>
          <w:sz w:val="22"/>
          <w:lang w:val="bg-BG"/>
        </w:rPr>
        <w:t>Закон за превенция от неблагоприятни климатични събития в земеделието</w:t>
      </w:r>
      <w:r w:rsidR="0048417C" w:rsidRPr="00EA7BE6">
        <w:rPr>
          <w:color w:val="000000" w:themeColor="text1"/>
          <w:sz w:val="22"/>
          <w:lang w:val="bg-BG"/>
        </w:rPr>
        <w:t xml:space="preserve"> и</w:t>
      </w:r>
      <w:r w:rsidRPr="00EA7BE6">
        <w:rPr>
          <w:color w:val="000000" w:themeColor="text1"/>
          <w:sz w:val="22"/>
          <w:lang w:val="bg-BG"/>
        </w:rPr>
        <w:t xml:space="preserve"> са </w:t>
      </w:r>
      <w:r w:rsidR="0048417C" w:rsidRPr="00EA7BE6">
        <w:rPr>
          <w:color w:val="000000" w:themeColor="text1"/>
          <w:sz w:val="22"/>
          <w:lang w:val="bg-BG"/>
        </w:rPr>
        <w:t>посочени насоки за извършване на последващата оценка на въздействието на закона съгласно чл. 22 от Закона за нормативните актове и глава трета от Наредбата за обхвата и методологията за извършване на оценка на въздействието.</w:t>
      </w:r>
    </w:p>
    <w:p w:rsidR="00B764E0" w:rsidRPr="00EA7BE6" w:rsidRDefault="00E47E10" w:rsidP="006B3BB7">
      <w:pPr>
        <w:pStyle w:val="Heading2"/>
        <w:spacing w:before="240" w:after="120"/>
        <w:rPr>
          <w:rFonts w:cs="Times New Roman"/>
          <w:sz w:val="22"/>
          <w:szCs w:val="22"/>
          <w:lang w:val="bg-BG"/>
        </w:rPr>
      </w:pPr>
      <w:bookmarkStart w:id="5" w:name="_Toc496709936"/>
      <w:r w:rsidRPr="00EA7BE6">
        <w:rPr>
          <w:rFonts w:cs="Times New Roman"/>
          <w:sz w:val="22"/>
          <w:szCs w:val="22"/>
          <w:lang w:val="bg-BG"/>
        </w:rPr>
        <w:t xml:space="preserve">I.4. </w:t>
      </w:r>
      <w:r w:rsidR="00785242" w:rsidRPr="00EA7BE6">
        <w:rPr>
          <w:rFonts w:cs="Times New Roman"/>
          <w:sz w:val="22"/>
          <w:szCs w:val="22"/>
          <w:lang w:val="bg-BG"/>
        </w:rPr>
        <w:t>Етапи и източници на информация</w:t>
      </w:r>
      <w:bookmarkEnd w:id="5"/>
    </w:p>
    <w:p w:rsidR="00054931" w:rsidRPr="00EA7BE6" w:rsidRDefault="00955E02"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Настоящата цялостна предварителна о</w:t>
      </w:r>
      <w:r w:rsidR="00054931" w:rsidRPr="00EA7BE6">
        <w:rPr>
          <w:color w:val="000000" w:themeColor="text1"/>
          <w:sz w:val="22"/>
          <w:lang w:val="bg-BG"/>
        </w:rPr>
        <w:t xml:space="preserve">ценка </w:t>
      </w:r>
      <w:r w:rsidRPr="00EA7BE6">
        <w:rPr>
          <w:color w:val="000000" w:themeColor="text1"/>
          <w:sz w:val="22"/>
          <w:lang w:val="bg-BG"/>
        </w:rPr>
        <w:t xml:space="preserve">на въздействието </w:t>
      </w:r>
      <w:r w:rsidR="00054931" w:rsidRPr="00EA7BE6">
        <w:rPr>
          <w:color w:val="000000" w:themeColor="text1"/>
          <w:sz w:val="22"/>
          <w:lang w:val="bg-BG"/>
        </w:rPr>
        <w:t xml:space="preserve">е изготвена в периода </w:t>
      </w:r>
      <w:r w:rsidR="00114183" w:rsidRPr="00EA7BE6">
        <w:rPr>
          <w:color w:val="000000" w:themeColor="text1"/>
          <w:sz w:val="22"/>
          <w:lang w:val="bg-BG"/>
        </w:rPr>
        <w:t>февруари-</w:t>
      </w:r>
      <w:r w:rsidR="000B134B" w:rsidRPr="00EA7BE6">
        <w:rPr>
          <w:color w:val="000000" w:themeColor="text1"/>
          <w:sz w:val="22"/>
          <w:lang w:val="bg-BG"/>
        </w:rPr>
        <w:t>май</w:t>
      </w:r>
      <w:r w:rsidR="002D3F4C" w:rsidRPr="00EA7BE6">
        <w:rPr>
          <w:color w:val="000000" w:themeColor="text1"/>
          <w:sz w:val="22"/>
          <w:lang w:val="bg-BG"/>
        </w:rPr>
        <w:t xml:space="preserve"> </w:t>
      </w:r>
      <w:r w:rsidR="00054931" w:rsidRPr="00EA7BE6">
        <w:rPr>
          <w:color w:val="000000" w:themeColor="text1"/>
          <w:sz w:val="22"/>
          <w:lang w:val="bg-BG"/>
        </w:rPr>
        <w:t>201</w:t>
      </w:r>
      <w:r w:rsidR="00114183" w:rsidRPr="00EA7BE6">
        <w:rPr>
          <w:color w:val="000000" w:themeColor="text1"/>
          <w:sz w:val="22"/>
          <w:lang w:val="bg-BG"/>
        </w:rPr>
        <w:t>8</w:t>
      </w:r>
      <w:r w:rsidR="00054931" w:rsidRPr="00EA7BE6">
        <w:rPr>
          <w:color w:val="000000" w:themeColor="text1"/>
          <w:sz w:val="22"/>
          <w:lang w:val="bg-BG"/>
        </w:rPr>
        <w:t xml:space="preserve"> г</w:t>
      </w:r>
      <w:r w:rsidR="00114183" w:rsidRPr="00EA7BE6">
        <w:rPr>
          <w:color w:val="000000" w:themeColor="text1"/>
          <w:sz w:val="22"/>
          <w:lang w:val="bg-BG"/>
        </w:rPr>
        <w:t>одина</w:t>
      </w:r>
      <w:r w:rsidR="00054931" w:rsidRPr="00EA7BE6">
        <w:rPr>
          <w:color w:val="000000" w:themeColor="text1"/>
          <w:sz w:val="22"/>
          <w:lang w:val="bg-BG"/>
        </w:rPr>
        <w:t>. Тя е резултат от проучване и анализ на наличната информация</w:t>
      </w:r>
      <w:r w:rsidRPr="00EA7BE6">
        <w:rPr>
          <w:color w:val="000000" w:themeColor="text1"/>
          <w:sz w:val="22"/>
          <w:lang w:val="bg-BG"/>
        </w:rPr>
        <w:t xml:space="preserve">, предоставена от </w:t>
      </w:r>
      <w:r w:rsidR="00114183" w:rsidRPr="00EA7BE6">
        <w:rPr>
          <w:color w:val="000000" w:themeColor="text1"/>
          <w:sz w:val="22"/>
          <w:lang w:val="bg-BG"/>
        </w:rPr>
        <w:t>структурите на министерството</w:t>
      </w:r>
      <w:r w:rsidRPr="00EA7BE6">
        <w:rPr>
          <w:color w:val="000000" w:themeColor="text1"/>
          <w:sz w:val="22"/>
          <w:lang w:val="bg-BG"/>
        </w:rPr>
        <w:t xml:space="preserve">, </w:t>
      </w:r>
      <w:r w:rsidR="00114183" w:rsidRPr="00EA7BE6">
        <w:rPr>
          <w:color w:val="000000" w:themeColor="text1"/>
          <w:sz w:val="22"/>
          <w:lang w:val="bg-BG"/>
        </w:rPr>
        <w:t xml:space="preserve">както </w:t>
      </w:r>
      <w:r w:rsidRPr="00EA7BE6">
        <w:rPr>
          <w:color w:val="000000" w:themeColor="text1"/>
          <w:sz w:val="22"/>
          <w:lang w:val="bg-BG"/>
        </w:rPr>
        <w:t>и събрана допълнително в хода на извършване на дейността</w:t>
      </w:r>
      <w:r w:rsidR="00114183" w:rsidRPr="00EA7BE6">
        <w:rPr>
          <w:color w:val="000000" w:themeColor="text1"/>
          <w:sz w:val="22"/>
          <w:lang w:val="bg-BG"/>
        </w:rPr>
        <w:t xml:space="preserve"> информация</w:t>
      </w:r>
      <w:r w:rsidR="00054931" w:rsidRPr="00EA7BE6">
        <w:rPr>
          <w:color w:val="000000" w:themeColor="text1"/>
          <w:sz w:val="22"/>
          <w:lang w:val="bg-BG"/>
        </w:rPr>
        <w:t>. По-</w:t>
      </w:r>
      <w:r w:rsidR="00054931" w:rsidRPr="00EA7BE6">
        <w:rPr>
          <w:color w:val="000000" w:themeColor="text1"/>
          <w:sz w:val="22"/>
          <w:lang w:val="bg-BG"/>
        </w:rPr>
        <w:lastRenderedPageBreak/>
        <w:t xml:space="preserve">конкретно, </w:t>
      </w:r>
      <w:r w:rsidR="0092471F" w:rsidRPr="00EA7BE6">
        <w:rPr>
          <w:color w:val="000000" w:themeColor="text1"/>
          <w:sz w:val="22"/>
          <w:lang w:val="bg-BG"/>
        </w:rPr>
        <w:t xml:space="preserve">процесът по извършване на </w:t>
      </w:r>
      <w:r w:rsidR="00054931" w:rsidRPr="00EA7BE6">
        <w:rPr>
          <w:color w:val="000000" w:themeColor="text1"/>
          <w:sz w:val="22"/>
          <w:lang w:val="bg-BG"/>
        </w:rPr>
        <w:t>оценката</w:t>
      </w:r>
      <w:r w:rsidR="0092471F" w:rsidRPr="00EA7BE6">
        <w:rPr>
          <w:color w:val="000000" w:themeColor="text1"/>
          <w:sz w:val="22"/>
          <w:lang w:val="bg-BG"/>
        </w:rPr>
        <w:t xml:space="preserve"> премина през следните етапи:</w:t>
      </w:r>
      <w:r w:rsidR="00054931" w:rsidRPr="00EA7BE6">
        <w:rPr>
          <w:color w:val="000000" w:themeColor="text1"/>
          <w:sz w:val="22"/>
          <w:lang w:val="bg-BG"/>
        </w:rPr>
        <w:t xml:space="preserve"> </w:t>
      </w:r>
    </w:p>
    <w:p w:rsidR="002C1131" w:rsidRPr="00EA7BE6" w:rsidRDefault="002C1131"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1. Планиране на дейностите</w:t>
      </w:r>
    </w:p>
    <w:p w:rsidR="0096265E" w:rsidRPr="00EA7BE6" w:rsidRDefault="0096265E"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На този </w:t>
      </w:r>
      <w:r w:rsidR="002D3F4C" w:rsidRPr="00EA7BE6">
        <w:rPr>
          <w:color w:val="000000" w:themeColor="text1"/>
          <w:sz w:val="22"/>
          <w:lang w:val="bg-BG"/>
        </w:rPr>
        <w:t xml:space="preserve">етап </w:t>
      </w:r>
      <w:r w:rsidRPr="00EA7BE6">
        <w:rPr>
          <w:color w:val="000000" w:themeColor="text1"/>
          <w:sz w:val="22"/>
          <w:lang w:val="bg-BG"/>
        </w:rPr>
        <w:t xml:space="preserve">бяха проведени първоначални работни срещи и консултации с представители на </w:t>
      </w:r>
      <w:r w:rsidR="00114183" w:rsidRPr="00EA7BE6">
        <w:rPr>
          <w:color w:val="000000" w:themeColor="text1"/>
          <w:sz w:val="22"/>
          <w:lang w:val="bg-BG"/>
        </w:rPr>
        <w:t xml:space="preserve">различни структурни звена на </w:t>
      </w:r>
      <w:r w:rsidR="007E48C3" w:rsidRPr="00EA7BE6">
        <w:rPr>
          <w:color w:val="000000" w:themeColor="text1"/>
          <w:sz w:val="22"/>
          <w:lang w:val="bg-BG"/>
        </w:rPr>
        <w:t>Министерство на земеделието, храните и горите</w:t>
      </w:r>
      <w:r w:rsidR="00114183" w:rsidRPr="00EA7BE6">
        <w:rPr>
          <w:color w:val="000000" w:themeColor="text1"/>
          <w:sz w:val="22"/>
          <w:lang w:val="bg-BG"/>
        </w:rPr>
        <w:t xml:space="preserve"> и</w:t>
      </w:r>
      <w:r w:rsidRPr="00EA7BE6">
        <w:rPr>
          <w:color w:val="000000" w:themeColor="text1"/>
          <w:sz w:val="22"/>
          <w:lang w:val="bg-BG"/>
        </w:rPr>
        <w:t xml:space="preserve"> Изпълнителна агенция </w:t>
      </w:r>
      <w:r w:rsidR="00114183" w:rsidRPr="00EA7BE6">
        <w:rPr>
          <w:color w:val="000000" w:themeColor="text1"/>
          <w:sz w:val="22"/>
          <w:lang w:val="bg-BG"/>
        </w:rPr>
        <w:t>„Борба с градушките“</w:t>
      </w:r>
      <w:r w:rsidRPr="00EA7BE6">
        <w:rPr>
          <w:color w:val="000000" w:themeColor="text1"/>
          <w:sz w:val="22"/>
          <w:lang w:val="bg-BG"/>
        </w:rPr>
        <w:t xml:space="preserve">. Бяха определени конкретните задачи, които е необходимо да бъдат изпълнени и техните срокове. При първоначалните срещи бяха определени основните проблеми и цели на проектозакона, беше събрана и предоставена необходимата информация за идентифициране на регулаторните промени, които предполагаемо биха имали по-значимо въздействие върху секторите. </w:t>
      </w:r>
    </w:p>
    <w:p w:rsidR="002C1131" w:rsidRPr="00EA7BE6" w:rsidRDefault="0096265E" w:rsidP="006B3BB7">
      <w:pPr>
        <w:widowControl w:val="0"/>
        <w:tabs>
          <w:tab w:val="left" w:pos="142"/>
        </w:tabs>
        <w:autoSpaceDE w:val="0"/>
        <w:autoSpaceDN w:val="0"/>
        <w:adjustRightInd w:val="0"/>
        <w:spacing w:after="120"/>
        <w:ind w:left="284" w:hanging="284"/>
        <w:rPr>
          <w:color w:val="000000" w:themeColor="text1"/>
          <w:sz w:val="22"/>
          <w:lang w:val="bg-BG"/>
        </w:rPr>
      </w:pPr>
      <w:r w:rsidRPr="00EA7BE6">
        <w:rPr>
          <w:color w:val="000000" w:themeColor="text1"/>
          <w:sz w:val="22"/>
          <w:lang w:val="bg-BG"/>
        </w:rPr>
        <w:t>2.</w:t>
      </w:r>
      <w:r w:rsidR="006A7040" w:rsidRPr="00EA7BE6">
        <w:rPr>
          <w:color w:val="000000" w:themeColor="text1"/>
          <w:sz w:val="22"/>
          <w:lang w:val="bg-BG"/>
        </w:rPr>
        <w:tab/>
      </w:r>
      <w:r w:rsidRPr="00EA7BE6">
        <w:rPr>
          <w:color w:val="000000" w:themeColor="text1"/>
          <w:sz w:val="22"/>
          <w:lang w:val="bg-BG"/>
        </w:rPr>
        <w:t>Определяне на заинтересованите стр</w:t>
      </w:r>
      <w:r w:rsidR="00925EF2" w:rsidRPr="00EA7BE6">
        <w:rPr>
          <w:color w:val="000000" w:themeColor="text1"/>
          <w:sz w:val="22"/>
          <w:lang w:val="bg-BG"/>
        </w:rPr>
        <w:t>ани и провеждане на консултации</w:t>
      </w:r>
      <w:r w:rsidRPr="00EA7BE6">
        <w:rPr>
          <w:color w:val="000000" w:themeColor="text1"/>
          <w:sz w:val="22"/>
          <w:lang w:val="bg-BG"/>
        </w:rPr>
        <w:t xml:space="preserve"> </w:t>
      </w:r>
    </w:p>
    <w:p w:rsidR="0096265E" w:rsidRPr="00EA7BE6" w:rsidRDefault="0096265E" w:rsidP="006B3BB7">
      <w:pPr>
        <w:widowControl w:val="0"/>
        <w:tabs>
          <w:tab w:val="left" w:pos="142"/>
        </w:tabs>
        <w:autoSpaceDE w:val="0"/>
        <w:autoSpaceDN w:val="0"/>
        <w:adjustRightInd w:val="0"/>
        <w:spacing w:after="120"/>
        <w:rPr>
          <w:color w:val="000000" w:themeColor="text1"/>
          <w:sz w:val="22"/>
          <w:lang w:val="bg-BG"/>
        </w:rPr>
      </w:pPr>
      <w:r w:rsidRPr="00EA7BE6">
        <w:rPr>
          <w:color w:val="000000" w:themeColor="text1"/>
          <w:sz w:val="22"/>
          <w:lang w:val="bg-BG"/>
        </w:rPr>
        <w:t xml:space="preserve">Допълнително, в рамките на консултациите бяха идентифицирани и субектите, върху които проектозаконът ще окаже своето въздействие, както и техните представители. Екипът проведе предварителни неформални консултации със заинтересованите страни като им предостави възможност да изразят становищата си по </w:t>
      </w:r>
      <w:r w:rsidR="00114183" w:rsidRPr="00EA7BE6">
        <w:rPr>
          <w:color w:val="000000" w:themeColor="text1"/>
          <w:sz w:val="22"/>
          <w:lang w:val="bg-BG"/>
        </w:rPr>
        <w:t xml:space="preserve">концепцията на </w:t>
      </w:r>
      <w:r w:rsidRPr="00EA7BE6">
        <w:rPr>
          <w:color w:val="000000" w:themeColor="text1"/>
          <w:sz w:val="22"/>
          <w:lang w:val="bg-BG"/>
        </w:rPr>
        <w:t>законопроек</w:t>
      </w:r>
      <w:r w:rsidR="00114183" w:rsidRPr="00EA7BE6">
        <w:rPr>
          <w:color w:val="000000" w:themeColor="text1"/>
          <w:sz w:val="22"/>
          <w:lang w:val="bg-BG"/>
        </w:rPr>
        <w:t>т</w:t>
      </w:r>
      <w:r w:rsidRPr="00EA7BE6">
        <w:rPr>
          <w:color w:val="000000" w:themeColor="text1"/>
          <w:sz w:val="22"/>
          <w:lang w:val="bg-BG"/>
        </w:rPr>
        <w:t>. За целта бе</w:t>
      </w:r>
      <w:r w:rsidR="00114183" w:rsidRPr="00EA7BE6">
        <w:rPr>
          <w:color w:val="000000" w:themeColor="text1"/>
          <w:sz w:val="22"/>
          <w:lang w:val="bg-BG"/>
        </w:rPr>
        <w:t xml:space="preserve">ше </w:t>
      </w:r>
      <w:proofErr w:type="spellStart"/>
      <w:r w:rsidR="00114183" w:rsidRPr="00EA7BE6">
        <w:rPr>
          <w:color w:val="000000" w:themeColor="text1"/>
          <w:sz w:val="22"/>
          <w:lang w:val="bg-BG"/>
        </w:rPr>
        <w:t>презентирана</w:t>
      </w:r>
      <w:proofErr w:type="spellEnd"/>
      <w:r w:rsidR="00114183" w:rsidRPr="00EA7BE6">
        <w:rPr>
          <w:color w:val="000000" w:themeColor="text1"/>
          <w:sz w:val="22"/>
          <w:lang w:val="bg-BG"/>
        </w:rPr>
        <w:t xml:space="preserve"> визията</w:t>
      </w:r>
      <w:r w:rsidRPr="00EA7BE6">
        <w:rPr>
          <w:color w:val="000000" w:themeColor="text1"/>
          <w:sz w:val="22"/>
          <w:lang w:val="bg-BG"/>
        </w:rPr>
        <w:t xml:space="preserve"> </w:t>
      </w:r>
      <w:r w:rsidR="00114183" w:rsidRPr="00EA7BE6">
        <w:rPr>
          <w:color w:val="000000" w:themeColor="text1"/>
          <w:sz w:val="22"/>
          <w:lang w:val="bg-BG"/>
        </w:rPr>
        <w:t xml:space="preserve">на министерството. В допълнение беше </w:t>
      </w:r>
      <w:r w:rsidRPr="00EA7BE6">
        <w:rPr>
          <w:color w:val="000000" w:themeColor="text1"/>
          <w:sz w:val="22"/>
          <w:lang w:val="bg-BG"/>
        </w:rPr>
        <w:t>изготвен консултационен документ, съгласно приложение № 3 към Наредбата за обхвата и методологията за извършване на оценка на въздействието</w:t>
      </w:r>
      <w:r w:rsidR="00114183" w:rsidRPr="00EA7BE6">
        <w:rPr>
          <w:color w:val="000000" w:themeColor="text1"/>
          <w:sz w:val="22"/>
          <w:lang w:val="bg-BG"/>
        </w:rPr>
        <w:t>, който беше публикуван на сайта на Министерство на земеделието, храните и горите и на Портала за Обществени консултации със срок за предложения и становища</w:t>
      </w:r>
      <w:r w:rsidRPr="00EA7BE6">
        <w:rPr>
          <w:color w:val="000000" w:themeColor="text1"/>
          <w:sz w:val="22"/>
          <w:lang w:val="bg-BG"/>
        </w:rPr>
        <w:t xml:space="preserve">. Беше направен и т. нар. „МСП Тест“, за да бъде анализирано и оценено въздействието на проекта върху малките и средните предприятия. Получените данни позволиха да се систематизират становищата на отделните представителни организации и производители и да се получи конкретна информация, свързана с очаквани въздействия на закона. </w:t>
      </w:r>
    </w:p>
    <w:p w:rsidR="002C1131" w:rsidRPr="00EA7BE6" w:rsidRDefault="0096265E" w:rsidP="006B3BB7">
      <w:pPr>
        <w:widowControl w:val="0"/>
        <w:autoSpaceDE w:val="0"/>
        <w:autoSpaceDN w:val="0"/>
        <w:adjustRightInd w:val="0"/>
        <w:spacing w:after="120"/>
        <w:ind w:left="284" w:hanging="284"/>
        <w:rPr>
          <w:color w:val="000000" w:themeColor="text1"/>
          <w:sz w:val="22"/>
          <w:lang w:val="bg-BG"/>
        </w:rPr>
      </w:pPr>
      <w:r w:rsidRPr="00EA7BE6">
        <w:rPr>
          <w:color w:val="000000" w:themeColor="text1"/>
          <w:sz w:val="22"/>
          <w:lang w:val="bg-BG"/>
        </w:rPr>
        <w:t>3. Събиран</w:t>
      </w:r>
      <w:r w:rsidR="00925EF2" w:rsidRPr="00EA7BE6">
        <w:rPr>
          <w:color w:val="000000" w:themeColor="text1"/>
          <w:sz w:val="22"/>
          <w:lang w:val="bg-BG"/>
        </w:rPr>
        <w:t>е и анализ на относимите данни</w:t>
      </w:r>
    </w:p>
    <w:p w:rsidR="00787254" w:rsidRPr="00EA7BE6" w:rsidRDefault="00787254"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Екипът по изготвяне на оценката на въздействието събра и проучи следните документи и материали:</w:t>
      </w:r>
    </w:p>
    <w:p w:rsidR="00042D08" w:rsidRPr="00EA7BE6" w:rsidRDefault="00320DC8" w:rsidP="003B77D3">
      <w:pPr>
        <w:pStyle w:val="ListParagraph"/>
        <w:widowControl w:val="0"/>
        <w:numPr>
          <w:ilvl w:val="0"/>
          <w:numId w:val="2"/>
        </w:numPr>
        <w:autoSpaceDE w:val="0"/>
        <w:autoSpaceDN w:val="0"/>
        <w:adjustRightInd w:val="0"/>
        <w:spacing w:after="120"/>
        <w:rPr>
          <w:color w:val="000000" w:themeColor="text1"/>
          <w:sz w:val="22"/>
          <w:lang w:val="bg-BG"/>
        </w:rPr>
      </w:pPr>
      <w:r w:rsidRPr="00EA7BE6">
        <w:rPr>
          <w:color w:val="000000" w:themeColor="text1"/>
          <w:sz w:val="22"/>
          <w:lang w:val="bg-BG"/>
        </w:rPr>
        <w:t>Постановление № 44 на Министерския съвет от 2010 г. за определяне на зоните във въздушното пространство на Република България, в които се ограничава въздухоплаването</w:t>
      </w:r>
      <w:r w:rsidR="000B02D6" w:rsidRPr="00EA7BE6">
        <w:rPr>
          <w:color w:val="000000" w:themeColor="text1"/>
          <w:sz w:val="22"/>
          <w:lang w:val="bg-BG"/>
        </w:rPr>
        <w:t>;</w:t>
      </w:r>
    </w:p>
    <w:p w:rsidR="00042D08" w:rsidRPr="00EA7BE6" w:rsidRDefault="001F4859" w:rsidP="003B77D3">
      <w:pPr>
        <w:pStyle w:val="ListParagraph"/>
        <w:widowControl w:val="0"/>
        <w:numPr>
          <w:ilvl w:val="0"/>
          <w:numId w:val="2"/>
        </w:numPr>
        <w:autoSpaceDE w:val="0"/>
        <w:autoSpaceDN w:val="0"/>
        <w:adjustRightInd w:val="0"/>
        <w:spacing w:after="120"/>
        <w:rPr>
          <w:color w:val="000000" w:themeColor="text1"/>
          <w:sz w:val="22"/>
          <w:lang w:val="bg-BG"/>
        </w:rPr>
      </w:pPr>
      <w:r w:rsidRPr="00EA7BE6">
        <w:rPr>
          <w:color w:val="000000" w:themeColor="text1"/>
          <w:sz w:val="22"/>
          <w:lang w:val="bg-BG"/>
        </w:rPr>
        <w:t>Инструкция № 4 от 2010 г. за противоградовата защита в Република България</w:t>
      </w:r>
      <w:r w:rsidR="00042D08" w:rsidRPr="00EA7BE6">
        <w:rPr>
          <w:color w:val="000000" w:themeColor="text1"/>
          <w:sz w:val="22"/>
          <w:lang w:val="bg-BG"/>
        </w:rPr>
        <w:t>;</w:t>
      </w:r>
    </w:p>
    <w:p w:rsidR="00125789" w:rsidRPr="00EA7BE6" w:rsidRDefault="00125789" w:rsidP="003B77D3">
      <w:pPr>
        <w:pStyle w:val="ListParagraph"/>
        <w:widowControl w:val="0"/>
        <w:numPr>
          <w:ilvl w:val="0"/>
          <w:numId w:val="2"/>
        </w:numPr>
        <w:autoSpaceDE w:val="0"/>
        <w:autoSpaceDN w:val="0"/>
        <w:adjustRightInd w:val="0"/>
        <w:spacing w:after="120"/>
        <w:rPr>
          <w:color w:val="000000" w:themeColor="text1"/>
          <w:sz w:val="22"/>
          <w:lang w:val="bg-BG"/>
        </w:rPr>
      </w:pPr>
      <w:r w:rsidRPr="00EA7BE6">
        <w:rPr>
          <w:color w:val="000000" w:themeColor="text1"/>
          <w:sz w:val="22"/>
          <w:lang w:val="bg-BG"/>
        </w:rPr>
        <w:t>Устройствен правилник на Изпълнителната агенция „Борба с градушките“;</w:t>
      </w:r>
    </w:p>
    <w:p w:rsidR="00042D08" w:rsidRPr="00EA7BE6" w:rsidRDefault="001F4859" w:rsidP="003B77D3">
      <w:pPr>
        <w:pStyle w:val="ListParagraph"/>
        <w:widowControl w:val="0"/>
        <w:numPr>
          <w:ilvl w:val="0"/>
          <w:numId w:val="2"/>
        </w:numPr>
        <w:autoSpaceDE w:val="0"/>
        <w:autoSpaceDN w:val="0"/>
        <w:adjustRightInd w:val="0"/>
        <w:spacing w:after="120"/>
        <w:rPr>
          <w:color w:val="000000" w:themeColor="text1"/>
          <w:sz w:val="22"/>
          <w:lang w:val="bg-BG"/>
        </w:rPr>
      </w:pPr>
      <w:r w:rsidRPr="00EA7BE6">
        <w:rPr>
          <w:color w:val="000000" w:themeColor="text1"/>
          <w:sz w:val="22"/>
          <w:lang w:val="bg-BG"/>
        </w:rPr>
        <w:t>Правилник за организация на оперативната работа в Изпълнителна агенция „Борба с градушките“</w:t>
      </w:r>
      <w:r w:rsidR="00042D08" w:rsidRPr="00EA7BE6">
        <w:rPr>
          <w:color w:val="000000" w:themeColor="text1"/>
          <w:sz w:val="22"/>
          <w:lang w:val="bg-BG"/>
        </w:rPr>
        <w:t>;</w:t>
      </w:r>
    </w:p>
    <w:p w:rsidR="00787254" w:rsidRPr="00EA7BE6" w:rsidRDefault="001F4859" w:rsidP="003B77D3">
      <w:pPr>
        <w:pStyle w:val="ListParagraph"/>
        <w:widowControl w:val="0"/>
        <w:numPr>
          <w:ilvl w:val="0"/>
          <w:numId w:val="2"/>
        </w:numPr>
        <w:autoSpaceDE w:val="0"/>
        <w:autoSpaceDN w:val="0"/>
        <w:adjustRightInd w:val="0"/>
        <w:spacing w:after="0"/>
        <w:rPr>
          <w:color w:val="000000" w:themeColor="text1"/>
          <w:sz w:val="22"/>
          <w:lang w:val="bg-BG"/>
        </w:rPr>
      </w:pPr>
      <w:r w:rsidRPr="00EA7BE6">
        <w:rPr>
          <w:color w:val="000000" w:themeColor="text1"/>
          <w:sz w:val="22"/>
          <w:lang w:val="bg-BG"/>
        </w:rPr>
        <w:t xml:space="preserve">Методически основи на активното въздействие върху </w:t>
      </w:r>
      <w:proofErr w:type="spellStart"/>
      <w:r w:rsidRPr="00EA7BE6">
        <w:rPr>
          <w:color w:val="000000" w:themeColor="text1"/>
          <w:sz w:val="22"/>
          <w:lang w:val="bg-BG"/>
        </w:rPr>
        <w:t>градови</w:t>
      </w:r>
      <w:proofErr w:type="spellEnd"/>
      <w:r w:rsidRPr="00EA7BE6">
        <w:rPr>
          <w:color w:val="000000" w:themeColor="text1"/>
          <w:sz w:val="22"/>
          <w:lang w:val="bg-BG"/>
        </w:rPr>
        <w:t xml:space="preserve"> процеси</w:t>
      </w:r>
      <w:r w:rsidR="00787254" w:rsidRPr="00EA7BE6">
        <w:rPr>
          <w:color w:val="000000" w:themeColor="text1"/>
          <w:sz w:val="22"/>
          <w:lang w:val="bg-BG"/>
        </w:rPr>
        <w:t>;</w:t>
      </w:r>
    </w:p>
    <w:p w:rsidR="00787254" w:rsidRPr="00EA7BE6" w:rsidRDefault="001F4859" w:rsidP="003B77D3">
      <w:pPr>
        <w:pStyle w:val="ListParagraph"/>
        <w:widowControl w:val="0"/>
        <w:numPr>
          <w:ilvl w:val="0"/>
          <w:numId w:val="2"/>
        </w:numPr>
        <w:autoSpaceDE w:val="0"/>
        <w:autoSpaceDN w:val="0"/>
        <w:adjustRightInd w:val="0"/>
        <w:spacing w:after="0"/>
        <w:rPr>
          <w:color w:val="000000" w:themeColor="text1"/>
          <w:sz w:val="22"/>
          <w:lang w:val="bg-BG"/>
        </w:rPr>
      </w:pPr>
      <w:r w:rsidRPr="00EA7BE6">
        <w:rPr>
          <w:color w:val="000000" w:themeColor="text1"/>
          <w:sz w:val="22"/>
          <w:lang w:val="bg-BG"/>
        </w:rPr>
        <w:t>Инструкция за работа със системата МРЛ5-IRIS в режим  градозащита</w:t>
      </w:r>
      <w:r w:rsidR="00787254" w:rsidRPr="00EA7BE6">
        <w:rPr>
          <w:color w:val="000000" w:themeColor="text1"/>
          <w:sz w:val="22"/>
          <w:lang w:val="bg-BG"/>
        </w:rPr>
        <w:t>;</w:t>
      </w:r>
    </w:p>
    <w:p w:rsidR="00787254"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 xml:space="preserve">Инструкция за провеждане на операции по въздействие върху </w:t>
      </w:r>
      <w:proofErr w:type="spellStart"/>
      <w:r w:rsidRPr="00EA7BE6">
        <w:rPr>
          <w:color w:val="000000" w:themeColor="text1"/>
          <w:sz w:val="22"/>
          <w:lang w:val="bg-BG"/>
        </w:rPr>
        <w:t>градови</w:t>
      </w:r>
      <w:proofErr w:type="spellEnd"/>
      <w:r w:rsidRPr="00EA7BE6">
        <w:rPr>
          <w:color w:val="000000" w:themeColor="text1"/>
          <w:sz w:val="22"/>
          <w:lang w:val="bg-BG"/>
        </w:rPr>
        <w:t xml:space="preserve"> процеси с МРЛ-5</w:t>
      </w:r>
      <w:r w:rsidR="00787254" w:rsidRPr="00EA7BE6">
        <w:rPr>
          <w:color w:val="000000" w:themeColor="text1"/>
          <w:sz w:val="22"/>
          <w:lang w:val="bg-BG"/>
        </w:rPr>
        <w:t>;</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 xml:space="preserve">Система РАПИРА Модул Подготовка данни и препоръки за стрелба  </w:t>
      </w:r>
      <w:proofErr w:type="spellStart"/>
      <w:r w:rsidRPr="00EA7BE6">
        <w:rPr>
          <w:color w:val="000000" w:themeColor="text1"/>
          <w:sz w:val="22"/>
          <w:lang w:val="bg-BG"/>
        </w:rPr>
        <w:t>Fire</w:t>
      </w:r>
      <w:proofErr w:type="spellEnd"/>
      <w:r w:rsidRPr="00EA7BE6">
        <w:rPr>
          <w:color w:val="000000" w:themeColor="text1"/>
          <w:sz w:val="22"/>
          <w:lang w:val="bg-BG"/>
        </w:rPr>
        <w:t xml:space="preserve"> H - Ръководство за оператора;</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 xml:space="preserve">Система РАПИРА Модул Управление на пултове за ракетни </w:t>
      </w:r>
      <w:proofErr w:type="spellStart"/>
      <w:r w:rsidRPr="00EA7BE6">
        <w:rPr>
          <w:color w:val="000000" w:themeColor="text1"/>
          <w:sz w:val="22"/>
          <w:lang w:val="bg-BG"/>
        </w:rPr>
        <w:t>плошадки</w:t>
      </w:r>
      <w:proofErr w:type="spellEnd"/>
      <w:r w:rsidRPr="00EA7BE6">
        <w:rPr>
          <w:color w:val="000000" w:themeColor="text1"/>
          <w:sz w:val="22"/>
          <w:lang w:val="bg-BG"/>
        </w:rPr>
        <w:t xml:space="preserve"> </w:t>
      </w:r>
      <w:proofErr w:type="spellStart"/>
      <w:r w:rsidRPr="00EA7BE6">
        <w:rPr>
          <w:color w:val="000000" w:themeColor="text1"/>
          <w:sz w:val="22"/>
          <w:lang w:val="bg-BG"/>
        </w:rPr>
        <w:t>Fire</w:t>
      </w:r>
      <w:proofErr w:type="spellEnd"/>
      <w:r w:rsidRPr="00EA7BE6">
        <w:rPr>
          <w:color w:val="000000" w:themeColor="text1"/>
          <w:sz w:val="22"/>
          <w:lang w:val="bg-BG"/>
        </w:rPr>
        <w:t xml:space="preserve"> W - Ръководство за оператора;</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 xml:space="preserve">Инструкция за съхранение, поддържане, експлоатация и мерки за безопасност на </w:t>
      </w:r>
      <w:proofErr w:type="spellStart"/>
      <w:r w:rsidRPr="00EA7BE6">
        <w:rPr>
          <w:color w:val="000000" w:themeColor="text1"/>
          <w:sz w:val="22"/>
          <w:lang w:val="bg-BG"/>
        </w:rPr>
        <w:t>противоградовия</w:t>
      </w:r>
      <w:proofErr w:type="spellEnd"/>
      <w:r w:rsidRPr="00EA7BE6">
        <w:rPr>
          <w:color w:val="000000" w:themeColor="text1"/>
          <w:sz w:val="22"/>
          <w:lang w:val="bg-BG"/>
        </w:rPr>
        <w:t xml:space="preserve"> комплекс ПГК- 6М;</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Техническо описание и инструкция за експлоатация на пулта за дистанционно изстрелване на противоградовите ракети;</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Методика за обследване на терена и подготовка на информация за оценка на ефективността от противоградова защита;</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Методика за определяне икономическата ефективност на противоградовата защита;</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Инструкция за метеонаблюдения;</w:t>
      </w:r>
    </w:p>
    <w:p w:rsidR="001F4859" w:rsidRPr="00EA7BE6" w:rsidRDefault="001F485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t>Инструкция за събиране и предоставяне на метеорологична информация</w:t>
      </w:r>
      <w:r w:rsidR="00D00FA9" w:rsidRPr="00EA7BE6">
        <w:rPr>
          <w:color w:val="000000" w:themeColor="text1"/>
          <w:sz w:val="22"/>
          <w:lang w:val="bg-BG"/>
        </w:rPr>
        <w:t>;</w:t>
      </w:r>
    </w:p>
    <w:p w:rsidR="00D00FA9" w:rsidRPr="00EA7BE6" w:rsidRDefault="00D00FA9" w:rsidP="003B77D3">
      <w:pPr>
        <w:pStyle w:val="ListParagraph"/>
        <w:widowControl w:val="0"/>
        <w:numPr>
          <w:ilvl w:val="0"/>
          <w:numId w:val="2"/>
        </w:numPr>
        <w:tabs>
          <w:tab w:val="left" w:pos="567"/>
        </w:tabs>
        <w:autoSpaceDE w:val="0"/>
        <w:autoSpaceDN w:val="0"/>
        <w:adjustRightInd w:val="0"/>
        <w:spacing w:after="0"/>
        <w:rPr>
          <w:color w:val="000000" w:themeColor="text1"/>
          <w:sz w:val="22"/>
          <w:lang w:val="bg-BG"/>
        </w:rPr>
      </w:pPr>
      <w:r w:rsidRPr="00EA7BE6">
        <w:rPr>
          <w:color w:val="000000" w:themeColor="text1"/>
          <w:sz w:val="22"/>
          <w:lang w:val="bg-BG"/>
        </w:rPr>
        <w:lastRenderedPageBreak/>
        <w:t>Сушата в България – проф. дфн В. Александров</w:t>
      </w:r>
      <w:r w:rsidR="00A17659" w:rsidRPr="00EA7BE6">
        <w:rPr>
          <w:color w:val="000000" w:themeColor="text1"/>
          <w:sz w:val="22"/>
          <w:lang w:val="bg-BG"/>
        </w:rPr>
        <w:t>, София</w:t>
      </w:r>
      <w:r w:rsidRPr="00EA7BE6">
        <w:rPr>
          <w:color w:val="000000" w:themeColor="text1"/>
          <w:sz w:val="22"/>
          <w:lang w:val="bg-BG"/>
        </w:rPr>
        <w:t>.</w:t>
      </w:r>
    </w:p>
    <w:p w:rsidR="002C1131" w:rsidRPr="00EA7BE6" w:rsidRDefault="0096265E" w:rsidP="006B3BB7">
      <w:pPr>
        <w:widowControl w:val="0"/>
        <w:tabs>
          <w:tab w:val="left" w:pos="284"/>
        </w:tabs>
        <w:autoSpaceDE w:val="0"/>
        <w:autoSpaceDN w:val="0"/>
        <w:adjustRightInd w:val="0"/>
        <w:spacing w:before="120" w:after="120"/>
        <w:ind w:left="284" w:hanging="284"/>
        <w:rPr>
          <w:color w:val="000000" w:themeColor="text1"/>
          <w:sz w:val="22"/>
          <w:lang w:val="bg-BG"/>
        </w:rPr>
      </w:pPr>
      <w:r w:rsidRPr="00EA7BE6">
        <w:rPr>
          <w:color w:val="000000" w:themeColor="text1"/>
          <w:sz w:val="22"/>
          <w:lang w:val="bg-BG"/>
        </w:rPr>
        <w:t>4. Извършване на оценката, изготвян</w:t>
      </w:r>
      <w:r w:rsidR="002C1131" w:rsidRPr="00EA7BE6">
        <w:rPr>
          <w:color w:val="000000" w:themeColor="text1"/>
          <w:sz w:val="22"/>
          <w:lang w:val="bg-BG"/>
        </w:rPr>
        <w:t>е на доклад и резюме на доклада</w:t>
      </w:r>
    </w:p>
    <w:p w:rsidR="00054931" w:rsidRPr="00EA7BE6" w:rsidRDefault="001B7477" w:rsidP="006B3BB7">
      <w:pPr>
        <w:widowControl w:val="0"/>
        <w:tabs>
          <w:tab w:val="left" w:pos="284"/>
        </w:tabs>
        <w:autoSpaceDE w:val="0"/>
        <w:autoSpaceDN w:val="0"/>
        <w:adjustRightInd w:val="0"/>
        <w:spacing w:after="120"/>
        <w:rPr>
          <w:color w:val="000000" w:themeColor="text1"/>
          <w:sz w:val="22"/>
          <w:lang w:val="bg-BG"/>
        </w:rPr>
      </w:pPr>
      <w:r w:rsidRPr="00EA7BE6">
        <w:rPr>
          <w:color w:val="000000" w:themeColor="text1"/>
          <w:sz w:val="22"/>
          <w:lang w:val="bg-BG"/>
        </w:rPr>
        <w:t xml:space="preserve">При разработването </w:t>
      </w:r>
      <w:r w:rsidR="00AC3C7B" w:rsidRPr="00EA7BE6">
        <w:rPr>
          <w:color w:val="000000" w:themeColor="text1"/>
          <w:sz w:val="22"/>
          <w:lang w:val="bg-BG"/>
        </w:rPr>
        <w:t>на анализа б</w:t>
      </w:r>
      <w:r w:rsidR="00054931" w:rsidRPr="00EA7BE6">
        <w:rPr>
          <w:color w:val="000000" w:themeColor="text1"/>
          <w:sz w:val="22"/>
          <w:lang w:val="bg-BG"/>
        </w:rPr>
        <w:t xml:space="preserve">яха използвани </w:t>
      </w:r>
      <w:r w:rsidR="000B02D6" w:rsidRPr="00EA7BE6">
        <w:rPr>
          <w:color w:val="000000" w:themeColor="text1"/>
          <w:sz w:val="22"/>
          <w:lang w:val="bg-BG"/>
        </w:rPr>
        <w:t xml:space="preserve">документи, предоставени при първоначалните консултации и срещи, както и </w:t>
      </w:r>
      <w:r w:rsidR="00054931" w:rsidRPr="00EA7BE6">
        <w:rPr>
          <w:color w:val="000000" w:themeColor="text1"/>
          <w:sz w:val="22"/>
          <w:lang w:val="bg-BG"/>
        </w:rPr>
        <w:t>публично достъпни източници на информация, включително:</w:t>
      </w:r>
    </w:p>
    <w:p w:rsidR="00054931" w:rsidRPr="00EA7BE6" w:rsidRDefault="00054931" w:rsidP="003B77D3">
      <w:pPr>
        <w:pStyle w:val="ListParagraph"/>
        <w:widowControl w:val="0"/>
        <w:numPr>
          <w:ilvl w:val="0"/>
          <w:numId w:val="1"/>
        </w:numPr>
        <w:autoSpaceDE w:val="0"/>
        <w:autoSpaceDN w:val="0"/>
        <w:adjustRightInd w:val="0"/>
        <w:spacing w:after="120"/>
        <w:ind w:left="851" w:hanging="207"/>
        <w:rPr>
          <w:color w:val="000000" w:themeColor="text1"/>
          <w:sz w:val="22"/>
          <w:lang w:val="bg-BG"/>
        </w:rPr>
      </w:pPr>
      <w:r w:rsidRPr="00EA7BE6">
        <w:rPr>
          <w:color w:val="000000" w:themeColor="text1"/>
          <w:sz w:val="22"/>
          <w:lang w:val="bg-BG"/>
        </w:rPr>
        <w:t>Статистически данни от Евростат и Н</w:t>
      </w:r>
      <w:r w:rsidR="00E4237E" w:rsidRPr="00EA7BE6">
        <w:rPr>
          <w:color w:val="000000" w:themeColor="text1"/>
          <w:sz w:val="22"/>
          <w:lang w:val="bg-BG"/>
        </w:rPr>
        <w:t>ационалния статистически институт</w:t>
      </w:r>
      <w:r w:rsidR="00DA40A5" w:rsidRPr="00EA7BE6">
        <w:rPr>
          <w:color w:val="000000" w:themeColor="text1"/>
          <w:sz w:val="22"/>
          <w:lang w:val="bg-BG"/>
        </w:rPr>
        <w:t>;</w:t>
      </w:r>
    </w:p>
    <w:p w:rsidR="005B48BD" w:rsidRPr="00EA7BE6" w:rsidRDefault="005B48BD" w:rsidP="003B77D3">
      <w:pPr>
        <w:pStyle w:val="ListParagraph"/>
        <w:widowControl w:val="0"/>
        <w:numPr>
          <w:ilvl w:val="0"/>
          <w:numId w:val="1"/>
        </w:numPr>
        <w:autoSpaceDE w:val="0"/>
        <w:autoSpaceDN w:val="0"/>
        <w:adjustRightInd w:val="0"/>
        <w:spacing w:after="120"/>
        <w:ind w:left="851" w:hanging="207"/>
        <w:rPr>
          <w:color w:val="000000" w:themeColor="text1"/>
          <w:sz w:val="22"/>
          <w:lang w:val="bg-BG"/>
        </w:rPr>
      </w:pPr>
      <w:r w:rsidRPr="00EA7BE6">
        <w:rPr>
          <w:color w:val="000000" w:themeColor="text1"/>
          <w:sz w:val="22"/>
          <w:lang w:val="bg-BG"/>
        </w:rPr>
        <w:t>Данни от публични регистри, публикувани на интернет страницата на Комисията за финансов надзор;</w:t>
      </w:r>
    </w:p>
    <w:p w:rsidR="00054931" w:rsidRPr="00EA7BE6" w:rsidRDefault="00054931" w:rsidP="003B77D3">
      <w:pPr>
        <w:pStyle w:val="ListParagraph"/>
        <w:widowControl w:val="0"/>
        <w:numPr>
          <w:ilvl w:val="0"/>
          <w:numId w:val="1"/>
        </w:numPr>
        <w:autoSpaceDE w:val="0"/>
        <w:autoSpaceDN w:val="0"/>
        <w:adjustRightInd w:val="0"/>
        <w:spacing w:after="120"/>
        <w:ind w:left="851" w:hanging="207"/>
        <w:rPr>
          <w:color w:val="000000" w:themeColor="text1"/>
          <w:sz w:val="22"/>
          <w:lang w:val="bg-BG"/>
        </w:rPr>
      </w:pPr>
      <w:r w:rsidRPr="00EA7BE6">
        <w:rPr>
          <w:color w:val="000000" w:themeColor="text1"/>
          <w:sz w:val="22"/>
          <w:lang w:val="bg-BG"/>
        </w:rPr>
        <w:t xml:space="preserve">Данни от публични регистри в областта на </w:t>
      </w:r>
      <w:r w:rsidR="005B48BD" w:rsidRPr="00EA7BE6">
        <w:rPr>
          <w:color w:val="000000" w:themeColor="text1"/>
          <w:sz w:val="22"/>
          <w:lang w:val="bg-BG"/>
        </w:rPr>
        <w:t>земеделието</w:t>
      </w:r>
      <w:r w:rsidR="00DA40A5" w:rsidRPr="00EA7BE6">
        <w:rPr>
          <w:color w:val="000000" w:themeColor="text1"/>
          <w:sz w:val="22"/>
          <w:lang w:val="bg-BG"/>
        </w:rPr>
        <w:t>;</w:t>
      </w:r>
    </w:p>
    <w:p w:rsidR="001B7477" w:rsidRPr="00EA7BE6" w:rsidRDefault="00DA40A5" w:rsidP="003B77D3">
      <w:pPr>
        <w:pStyle w:val="ListParagraph"/>
        <w:widowControl w:val="0"/>
        <w:numPr>
          <w:ilvl w:val="0"/>
          <w:numId w:val="1"/>
        </w:numPr>
        <w:autoSpaceDE w:val="0"/>
        <w:autoSpaceDN w:val="0"/>
        <w:adjustRightInd w:val="0"/>
        <w:spacing w:after="120"/>
        <w:ind w:left="851" w:hanging="207"/>
        <w:rPr>
          <w:color w:val="000000" w:themeColor="text1"/>
          <w:sz w:val="22"/>
          <w:lang w:val="bg-BG"/>
        </w:rPr>
      </w:pPr>
      <w:r w:rsidRPr="00EA7BE6">
        <w:rPr>
          <w:color w:val="000000" w:themeColor="text1"/>
          <w:sz w:val="22"/>
          <w:lang w:val="bg-BG"/>
        </w:rPr>
        <w:t>Статистически данни, поддържани и съхранявани в системите на Министерство на земеделието, храните и горите</w:t>
      </w:r>
      <w:r w:rsidR="000B02D6" w:rsidRPr="00EA7BE6">
        <w:rPr>
          <w:color w:val="000000" w:themeColor="text1"/>
          <w:sz w:val="22"/>
          <w:lang w:val="bg-BG"/>
        </w:rPr>
        <w:t>;</w:t>
      </w:r>
    </w:p>
    <w:p w:rsidR="007824F7" w:rsidRPr="00EA7BE6" w:rsidRDefault="007824F7" w:rsidP="003B77D3">
      <w:pPr>
        <w:pStyle w:val="ListParagraph"/>
        <w:widowControl w:val="0"/>
        <w:numPr>
          <w:ilvl w:val="0"/>
          <w:numId w:val="1"/>
        </w:numPr>
        <w:autoSpaceDE w:val="0"/>
        <w:autoSpaceDN w:val="0"/>
        <w:adjustRightInd w:val="0"/>
        <w:spacing w:after="120"/>
        <w:ind w:left="851" w:hanging="207"/>
        <w:rPr>
          <w:color w:val="000000" w:themeColor="text1"/>
          <w:sz w:val="22"/>
          <w:lang w:val="bg-BG"/>
        </w:rPr>
      </w:pPr>
      <w:r w:rsidRPr="00EA7BE6">
        <w:rPr>
          <w:color w:val="000000" w:themeColor="text1"/>
          <w:sz w:val="22"/>
          <w:lang w:val="bg-BG"/>
        </w:rPr>
        <w:t>Финансови и оперативни данни предоставени от И</w:t>
      </w:r>
      <w:r w:rsidR="0099293E" w:rsidRPr="00EA7BE6">
        <w:rPr>
          <w:color w:val="000000" w:themeColor="text1"/>
          <w:sz w:val="22"/>
          <w:lang w:val="bg-BG"/>
        </w:rPr>
        <w:t>зпълнителна агенция</w:t>
      </w:r>
      <w:r w:rsidR="005B48BD" w:rsidRPr="00EA7BE6">
        <w:rPr>
          <w:color w:val="000000" w:themeColor="text1"/>
          <w:sz w:val="22"/>
          <w:lang w:val="bg-BG"/>
        </w:rPr>
        <w:t xml:space="preserve"> „Борба с градушките“</w:t>
      </w:r>
      <w:r w:rsidRPr="00EA7BE6">
        <w:rPr>
          <w:color w:val="000000" w:themeColor="text1"/>
          <w:sz w:val="22"/>
          <w:lang w:val="bg-BG"/>
        </w:rPr>
        <w:t>;</w:t>
      </w:r>
    </w:p>
    <w:p w:rsidR="0099293E" w:rsidRPr="00EA7BE6" w:rsidRDefault="007824F7" w:rsidP="003B77D3">
      <w:pPr>
        <w:pStyle w:val="ListParagraph"/>
        <w:widowControl w:val="0"/>
        <w:numPr>
          <w:ilvl w:val="0"/>
          <w:numId w:val="1"/>
        </w:numPr>
        <w:autoSpaceDE w:val="0"/>
        <w:autoSpaceDN w:val="0"/>
        <w:adjustRightInd w:val="0"/>
        <w:spacing w:after="120"/>
        <w:ind w:left="851" w:hanging="207"/>
        <w:rPr>
          <w:color w:val="000000" w:themeColor="text1"/>
          <w:sz w:val="22"/>
          <w:lang w:val="bg-BG"/>
        </w:rPr>
      </w:pPr>
      <w:r w:rsidRPr="00EA7BE6">
        <w:rPr>
          <w:color w:val="000000" w:themeColor="text1"/>
          <w:sz w:val="22"/>
          <w:lang w:val="bg-BG"/>
        </w:rPr>
        <w:t xml:space="preserve">Публично достъпни доклади и процедури публикувани на интернет страницата на </w:t>
      </w:r>
      <w:r w:rsidR="005B48BD" w:rsidRPr="00EA7BE6">
        <w:rPr>
          <w:color w:val="000000" w:themeColor="text1"/>
          <w:sz w:val="22"/>
          <w:lang w:val="bg-BG"/>
        </w:rPr>
        <w:t>Изпълнителна агенция „Борба с градушките“</w:t>
      </w:r>
      <w:r w:rsidRPr="00EA7BE6">
        <w:rPr>
          <w:color w:val="000000" w:themeColor="text1"/>
          <w:sz w:val="22"/>
          <w:lang w:val="bg-BG"/>
        </w:rPr>
        <w:t xml:space="preserve"> (</w:t>
      </w:r>
      <w:r w:rsidR="005B48BD" w:rsidRPr="00EA7BE6">
        <w:t>http</w:t>
      </w:r>
      <w:r w:rsidR="005B48BD" w:rsidRPr="00C53587">
        <w:rPr>
          <w:lang w:val="ru-RU"/>
        </w:rPr>
        <w:t>://</w:t>
      </w:r>
      <w:r w:rsidR="005B48BD" w:rsidRPr="00EA7BE6">
        <w:t>www</w:t>
      </w:r>
      <w:r w:rsidR="005B48BD" w:rsidRPr="00C53587">
        <w:rPr>
          <w:lang w:val="ru-RU"/>
        </w:rPr>
        <w:t>.</w:t>
      </w:r>
      <w:proofErr w:type="spellStart"/>
      <w:r w:rsidR="005B48BD" w:rsidRPr="00EA7BE6">
        <w:t>weathermod</w:t>
      </w:r>
      <w:proofErr w:type="spellEnd"/>
      <w:r w:rsidR="005B48BD" w:rsidRPr="00C53587">
        <w:rPr>
          <w:lang w:val="ru-RU"/>
        </w:rPr>
        <w:t>-</w:t>
      </w:r>
      <w:proofErr w:type="spellStart"/>
      <w:r w:rsidR="005B48BD" w:rsidRPr="00EA7BE6">
        <w:t>bg</w:t>
      </w:r>
      <w:proofErr w:type="spellEnd"/>
      <w:r w:rsidR="005B48BD" w:rsidRPr="00C53587">
        <w:rPr>
          <w:lang w:val="ru-RU"/>
        </w:rPr>
        <w:t>.</w:t>
      </w:r>
      <w:proofErr w:type="spellStart"/>
      <w:r w:rsidR="005B48BD" w:rsidRPr="00EA7BE6">
        <w:t>eu</w:t>
      </w:r>
      <w:proofErr w:type="spellEnd"/>
      <w:r w:rsidR="005B48BD" w:rsidRPr="00C53587">
        <w:rPr>
          <w:lang w:val="ru-RU"/>
        </w:rPr>
        <w:t>/</w:t>
      </w:r>
      <w:r w:rsidR="00952366" w:rsidRPr="00EA7BE6">
        <w:rPr>
          <w:color w:val="000000" w:themeColor="text1"/>
          <w:sz w:val="22"/>
          <w:lang w:val="bg-BG"/>
        </w:rPr>
        <w:t>).</w:t>
      </w:r>
    </w:p>
    <w:p w:rsidR="006A7040" w:rsidRPr="00EA7BE6" w:rsidRDefault="00787254" w:rsidP="006B3BB7">
      <w:pPr>
        <w:widowControl w:val="0"/>
        <w:autoSpaceDE w:val="0"/>
        <w:autoSpaceDN w:val="0"/>
        <w:adjustRightInd w:val="0"/>
        <w:spacing w:after="120"/>
        <w:rPr>
          <w:color w:val="000000" w:themeColor="text1"/>
          <w:sz w:val="22"/>
          <w:lang w:val="bg-BG"/>
        </w:rPr>
      </w:pPr>
      <w:r w:rsidRPr="00EA7BE6">
        <w:rPr>
          <w:color w:val="000000" w:themeColor="text1"/>
          <w:sz w:val="22"/>
          <w:lang w:val="bg-BG"/>
        </w:rPr>
        <w:t xml:space="preserve">Екипът </w:t>
      </w:r>
      <w:r w:rsidR="003B60C8" w:rsidRPr="00EA7BE6">
        <w:rPr>
          <w:color w:val="000000" w:themeColor="text1"/>
          <w:sz w:val="22"/>
          <w:lang w:val="bg-BG"/>
        </w:rPr>
        <w:t xml:space="preserve">проучи </w:t>
      </w:r>
      <w:r w:rsidRPr="00EA7BE6">
        <w:rPr>
          <w:color w:val="000000" w:themeColor="text1"/>
          <w:sz w:val="22"/>
          <w:lang w:val="bg-BG"/>
        </w:rPr>
        <w:t xml:space="preserve">детайлно всички предоставени документи, свързани с извършени  анализи и оценки на предходни етапи от подготовката на законопроекта, както и допълнително събраните данни на предходни етапи, в т.ч. и информацията от проведените предварителни неформални консултации. Бяха обобщени възможните варианти за действие, дефинирани в процеса на работата по изготвяне на проекта. </w:t>
      </w:r>
    </w:p>
    <w:p w:rsidR="00AB6594" w:rsidRPr="00EA7BE6" w:rsidRDefault="00AC3C7B" w:rsidP="006B3BB7">
      <w:pPr>
        <w:widowControl w:val="0"/>
        <w:autoSpaceDE w:val="0"/>
        <w:autoSpaceDN w:val="0"/>
        <w:adjustRightInd w:val="0"/>
        <w:spacing w:after="0"/>
        <w:rPr>
          <w:color w:val="000000" w:themeColor="text1"/>
          <w:sz w:val="22"/>
          <w:lang w:val="bg-BG"/>
        </w:rPr>
      </w:pPr>
      <w:r w:rsidRPr="00EA7BE6">
        <w:rPr>
          <w:color w:val="000000" w:themeColor="text1"/>
          <w:sz w:val="22"/>
          <w:lang w:val="bg-BG"/>
        </w:rPr>
        <w:t>На база на с</w:t>
      </w:r>
      <w:r w:rsidR="00AB6594" w:rsidRPr="00EA7BE6">
        <w:rPr>
          <w:color w:val="000000" w:themeColor="text1"/>
          <w:sz w:val="22"/>
          <w:lang w:val="bg-BG"/>
        </w:rPr>
        <w:t>ъбран</w:t>
      </w:r>
      <w:r w:rsidR="0033391D" w:rsidRPr="00EA7BE6">
        <w:rPr>
          <w:color w:val="000000" w:themeColor="text1"/>
          <w:sz w:val="22"/>
          <w:lang w:val="bg-BG"/>
        </w:rPr>
        <w:t>ите</w:t>
      </w:r>
      <w:r w:rsidR="00AB6594" w:rsidRPr="00EA7BE6">
        <w:rPr>
          <w:color w:val="000000" w:themeColor="text1"/>
          <w:sz w:val="22"/>
          <w:lang w:val="bg-BG"/>
        </w:rPr>
        <w:t xml:space="preserve"> данни, информация и оценки, както и изготвения секторен икономически анализ</w:t>
      </w:r>
      <w:r w:rsidR="006A7040" w:rsidRPr="00EA7BE6">
        <w:rPr>
          <w:color w:val="000000" w:themeColor="text1"/>
          <w:sz w:val="22"/>
          <w:lang w:val="bg-BG"/>
        </w:rPr>
        <w:t>,</w:t>
      </w:r>
      <w:r w:rsidR="00AB6594" w:rsidRPr="00EA7BE6">
        <w:rPr>
          <w:color w:val="000000" w:themeColor="text1"/>
          <w:sz w:val="22"/>
          <w:lang w:val="bg-BG"/>
        </w:rPr>
        <w:t xml:space="preserve"> </w:t>
      </w:r>
      <w:r w:rsidRPr="00EA7BE6">
        <w:rPr>
          <w:color w:val="000000" w:themeColor="text1"/>
          <w:sz w:val="22"/>
          <w:lang w:val="bg-BG"/>
        </w:rPr>
        <w:t>бе разработен</w:t>
      </w:r>
      <w:r w:rsidR="00AB6594" w:rsidRPr="00EA7BE6">
        <w:rPr>
          <w:color w:val="000000" w:themeColor="text1"/>
          <w:sz w:val="22"/>
          <w:lang w:val="bg-BG"/>
        </w:rPr>
        <w:t xml:space="preserve"> </w:t>
      </w:r>
      <w:r w:rsidR="003B60C8" w:rsidRPr="00EA7BE6">
        <w:rPr>
          <w:color w:val="000000" w:themeColor="text1"/>
          <w:sz w:val="22"/>
          <w:lang w:val="bg-BG"/>
        </w:rPr>
        <w:t xml:space="preserve">анализът </w:t>
      </w:r>
      <w:r w:rsidR="00AB6594" w:rsidRPr="00EA7BE6">
        <w:rPr>
          <w:color w:val="000000" w:themeColor="text1"/>
          <w:sz w:val="22"/>
          <w:lang w:val="bg-BG"/>
        </w:rPr>
        <w:t>на въздействията</w:t>
      </w:r>
      <w:r w:rsidRPr="00EA7BE6">
        <w:rPr>
          <w:color w:val="000000" w:themeColor="text1"/>
          <w:sz w:val="22"/>
          <w:lang w:val="bg-BG"/>
        </w:rPr>
        <w:t>,</w:t>
      </w:r>
      <w:r w:rsidR="000B02D6" w:rsidRPr="00EA7BE6">
        <w:rPr>
          <w:color w:val="000000" w:themeColor="text1"/>
          <w:sz w:val="22"/>
          <w:lang w:val="bg-BG"/>
        </w:rPr>
        <w:t xml:space="preserve"> </w:t>
      </w:r>
      <w:r w:rsidR="00AB6594" w:rsidRPr="00EA7BE6">
        <w:rPr>
          <w:color w:val="000000" w:themeColor="text1"/>
          <w:sz w:val="22"/>
          <w:lang w:val="bg-BG"/>
        </w:rPr>
        <w:t xml:space="preserve">които има вероятност да се проявят като последици от прилагането на избраното решение. </w:t>
      </w:r>
      <w:r w:rsidRPr="00EA7BE6">
        <w:rPr>
          <w:color w:val="000000" w:themeColor="text1"/>
          <w:sz w:val="22"/>
          <w:lang w:val="bg-BG"/>
        </w:rPr>
        <w:t xml:space="preserve">В тази </w:t>
      </w:r>
      <w:r w:rsidR="003B60C8" w:rsidRPr="00EA7BE6">
        <w:rPr>
          <w:color w:val="000000" w:themeColor="text1"/>
          <w:sz w:val="22"/>
          <w:lang w:val="bg-BG"/>
        </w:rPr>
        <w:t xml:space="preserve">част са определени </w:t>
      </w:r>
      <w:r w:rsidRPr="00EA7BE6">
        <w:rPr>
          <w:color w:val="000000" w:themeColor="text1"/>
          <w:sz w:val="22"/>
          <w:lang w:val="bg-BG"/>
        </w:rPr>
        <w:t xml:space="preserve">заинтересованите </w:t>
      </w:r>
      <w:r w:rsidR="00AB6594" w:rsidRPr="00EA7BE6">
        <w:rPr>
          <w:color w:val="000000" w:themeColor="text1"/>
          <w:sz w:val="22"/>
          <w:lang w:val="bg-BG"/>
        </w:rPr>
        <w:t>страни</w:t>
      </w:r>
      <w:r w:rsidRPr="00EA7BE6">
        <w:rPr>
          <w:color w:val="000000" w:themeColor="text1"/>
          <w:sz w:val="22"/>
          <w:lang w:val="bg-BG"/>
        </w:rPr>
        <w:t xml:space="preserve"> и </w:t>
      </w:r>
      <w:r w:rsidR="00CE1B26" w:rsidRPr="00EA7BE6">
        <w:rPr>
          <w:color w:val="000000" w:themeColor="text1"/>
          <w:sz w:val="22"/>
          <w:lang w:val="bg-BG"/>
        </w:rPr>
        <w:t>промените в</w:t>
      </w:r>
      <w:r w:rsidRPr="00EA7BE6">
        <w:rPr>
          <w:color w:val="000000" w:themeColor="text1"/>
          <w:sz w:val="22"/>
          <w:lang w:val="bg-BG"/>
        </w:rPr>
        <w:t xml:space="preserve"> регула</w:t>
      </w:r>
      <w:r w:rsidR="00CE1B26" w:rsidRPr="00EA7BE6">
        <w:rPr>
          <w:color w:val="000000" w:themeColor="text1"/>
          <w:sz w:val="22"/>
          <w:lang w:val="bg-BG"/>
        </w:rPr>
        <w:t>торните режими</w:t>
      </w:r>
      <w:r w:rsidR="00AB6594" w:rsidRPr="00EA7BE6">
        <w:rPr>
          <w:color w:val="000000" w:themeColor="text1"/>
          <w:sz w:val="22"/>
          <w:lang w:val="bg-BG"/>
        </w:rPr>
        <w:t xml:space="preserve">, </w:t>
      </w:r>
      <w:r w:rsidR="00CE1B26" w:rsidRPr="00EA7BE6">
        <w:rPr>
          <w:color w:val="000000" w:themeColor="text1"/>
          <w:sz w:val="22"/>
          <w:lang w:val="bg-BG"/>
        </w:rPr>
        <w:t xml:space="preserve">които </w:t>
      </w:r>
      <w:r w:rsidR="00AB6594" w:rsidRPr="00EA7BE6">
        <w:rPr>
          <w:color w:val="000000" w:themeColor="text1"/>
          <w:sz w:val="22"/>
          <w:lang w:val="bg-BG"/>
        </w:rPr>
        <w:t>се очаква да имат по-значителн</w:t>
      </w:r>
      <w:r w:rsidRPr="00EA7BE6">
        <w:rPr>
          <w:color w:val="000000" w:themeColor="text1"/>
          <w:sz w:val="22"/>
          <w:lang w:val="bg-BG"/>
        </w:rPr>
        <w:t>о</w:t>
      </w:r>
      <w:r w:rsidR="00AB6594" w:rsidRPr="00EA7BE6">
        <w:rPr>
          <w:color w:val="000000" w:themeColor="text1"/>
          <w:sz w:val="22"/>
          <w:lang w:val="bg-BG"/>
        </w:rPr>
        <w:t xml:space="preserve"> въздействи</w:t>
      </w:r>
      <w:r w:rsidRPr="00EA7BE6">
        <w:rPr>
          <w:color w:val="000000" w:themeColor="text1"/>
          <w:sz w:val="22"/>
          <w:lang w:val="bg-BG"/>
        </w:rPr>
        <w:t xml:space="preserve">е върху </w:t>
      </w:r>
      <w:r w:rsidR="003B60C8" w:rsidRPr="00EA7BE6">
        <w:rPr>
          <w:color w:val="000000" w:themeColor="text1"/>
          <w:sz w:val="22"/>
          <w:lang w:val="bg-BG"/>
        </w:rPr>
        <w:t>тях</w:t>
      </w:r>
      <w:r w:rsidR="001B7477" w:rsidRPr="00EA7BE6">
        <w:rPr>
          <w:color w:val="000000" w:themeColor="text1"/>
          <w:sz w:val="22"/>
          <w:lang w:val="bg-BG"/>
        </w:rPr>
        <w:t xml:space="preserve"> и </w:t>
      </w:r>
      <w:r w:rsidR="003B60C8" w:rsidRPr="00EA7BE6">
        <w:rPr>
          <w:color w:val="000000" w:themeColor="text1"/>
          <w:sz w:val="22"/>
          <w:lang w:val="bg-BG"/>
        </w:rPr>
        <w:t>особено</w:t>
      </w:r>
      <w:r w:rsidR="001B7477" w:rsidRPr="00EA7BE6">
        <w:rPr>
          <w:color w:val="000000" w:themeColor="text1"/>
          <w:sz w:val="22"/>
          <w:lang w:val="bg-BG"/>
        </w:rPr>
        <w:t xml:space="preserve"> върху малките и средните предприятия</w:t>
      </w:r>
      <w:r w:rsidR="00AB6594" w:rsidRPr="00EA7BE6">
        <w:rPr>
          <w:color w:val="000000" w:themeColor="text1"/>
          <w:sz w:val="22"/>
          <w:lang w:val="bg-BG"/>
        </w:rPr>
        <w:t xml:space="preserve">. </w:t>
      </w:r>
      <w:r w:rsidR="007004B4" w:rsidRPr="00EA7BE6">
        <w:rPr>
          <w:color w:val="000000" w:themeColor="text1"/>
          <w:sz w:val="22"/>
          <w:lang w:val="bg-BG"/>
        </w:rPr>
        <w:t xml:space="preserve">Анализът на въздействията включва </w:t>
      </w:r>
      <w:r w:rsidR="00AB6594" w:rsidRPr="00EA7BE6">
        <w:rPr>
          <w:color w:val="000000" w:themeColor="text1"/>
          <w:sz w:val="22"/>
          <w:lang w:val="bg-BG"/>
        </w:rPr>
        <w:t xml:space="preserve">основните очаквани ползи и разходи за </w:t>
      </w:r>
      <w:r w:rsidR="003B60C8" w:rsidRPr="00EA7BE6">
        <w:rPr>
          <w:color w:val="000000" w:themeColor="text1"/>
          <w:sz w:val="22"/>
          <w:lang w:val="bg-BG"/>
        </w:rPr>
        <w:t xml:space="preserve">заинтересованите страни по </w:t>
      </w:r>
      <w:r w:rsidR="00AB6594" w:rsidRPr="00EA7BE6">
        <w:rPr>
          <w:color w:val="000000" w:themeColor="text1"/>
          <w:sz w:val="22"/>
          <w:lang w:val="bg-BG"/>
        </w:rPr>
        <w:t>предложените варианти</w:t>
      </w:r>
      <w:r w:rsidR="007004B4" w:rsidRPr="00EA7BE6">
        <w:rPr>
          <w:color w:val="000000" w:themeColor="text1"/>
          <w:sz w:val="22"/>
          <w:lang w:val="bg-BG"/>
        </w:rPr>
        <w:t xml:space="preserve">. </w:t>
      </w:r>
      <w:r w:rsidR="00AC77D1" w:rsidRPr="00EA7BE6">
        <w:rPr>
          <w:color w:val="000000" w:themeColor="text1"/>
          <w:sz w:val="22"/>
          <w:lang w:val="bg-BG"/>
        </w:rPr>
        <w:t>Направени са количествени оценки и прогнози</w:t>
      </w:r>
      <w:r w:rsidR="00AB6594" w:rsidRPr="00EA7BE6">
        <w:rPr>
          <w:color w:val="000000" w:themeColor="text1"/>
          <w:sz w:val="22"/>
          <w:lang w:val="bg-BG"/>
        </w:rPr>
        <w:t xml:space="preserve"> на мерките, които се предполага да имат най-значимо въздействие. За тях е изготвен и „МСП тест“. Детайлно са </w:t>
      </w:r>
      <w:r w:rsidR="008D4A82" w:rsidRPr="00EA7BE6">
        <w:rPr>
          <w:color w:val="000000" w:themeColor="text1"/>
          <w:sz w:val="22"/>
          <w:lang w:val="bg-BG"/>
        </w:rPr>
        <w:t>разгледани</w:t>
      </w:r>
      <w:r w:rsidR="00AB6594" w:rsidRPr="00EA7BE6">
        <w:rPr>
          <w:color w:val="000000" w:themeColor="text1"/>
          <w:sz w:val="22"/>
          <w:lang w:val="bg-BG"/>
        </w:rPr>
        <w:t xml:space="preserve"> конкретните засегнати страни, като в рамките на наличната информация са прогнозирани и разходи върху отделни групи </w:t>
      </w:r>
      <w:r w:rsidR="008D4A82" w:rsidRPr="00EA7BE6">
        <w:rPr>
          <w:color w:val="000000" w:themeColor="text1"/>
          <w:sz w:val="22"/>
          <w:lang w:val="bg-BG"/>
        </w:rPr>
        <w:t>от тях</w:t>
      </w:r>
      <w:r w:rsidR="00AB6594" w:rsidRPr="00EA7BE6">
        <w:rPr>
          <w:color w:val="000000" w:themeColor="text1"/>
          <w:sz w:val="22"/>
          <w:lang w:val="bg-BG"/>
        </w:rPr>
        <w:t>.</w:t>
      </w:r>
    </w:p>
    <w:p w:rsidR="00CA75E2" w:rsidRPr="00EA7BE6" w:rsidRDefault="00E47E10" w:rsidP="006B3BB7">
      <w:pPr>
        <w:pStyle w:val="Heading1"/>
        <w:spacing w:after="120"/>
        <w:rPr>
          <w:rFonts w:cs="Times New Roman"/>
          <w:sz w:val="22"/>
          <w:szCs w:val="22"/>
          <w:lang w:val="bg-BG"/>
        </w:rPr>
      </w:pPr>
      <w:bookmarkStart w:id="6" w:name="_Toc496709937"/>
      <w:r w:rsidRPr="00EA7BE6">
        <w:rPr>
          <w:rFonts w:cs="Times New Roman"/>
          <w:sz w:val="22"/>
          <w:szCs w:val="22"/>
          <w:lang w:val="bg-BG"/>
        </w:rPr>
        <w:t xml:space="preserve">II. </w:t>
      </w:r>
      <w:r w:rsidR="00CA75E2" w:rsidRPr="00EA7BE6">
        <w:rPr>
          <w:rFonts w:cs="Times New Roman"/>
          <w:sz w:val="22"/>
          <w:szCs w:val="22"/>
          <w:lang w:val="bg-BG"/>
        </w:rPr>
        <w:t>Определяне на проблемите</w:t>
      </w:r>
      <w:bookmarkEnd w:id="6"/>
      <w:r w:rsidR="00CA75E2" w:rsidRPr="00EA7BE6">
        <w:rPr>
          <w:rFonts w:cs="Times New Roman"/>
          <w:sz w:val="22"/>
          <w:szCs w:val="22"/>
          <w:lang w:val="bg-BG"/>
        </w:rPr>
        <w:t xml:space="preserve"> </w:t>
      </w:r>
    </w:p>
    <w:p w:rsidR="00CA75E2" w:rsidRPr="00EA7BE6" w:rsidRDefault="00E47E10" w:rsidP="006B3BB7">
      <w:pPr>
        <w:pStyle w:val="Heading2"/>
        <w:spacing w:before="240" w:after="120"/>
        <w:rPr>
          <w:rFonts w:cs="Times New Roman"/>
          <w:sz w:val="22"/>
          <w:szCs w:val="22"/>
          <w:lang w:val="bg-BG"/>
        </w:rPr>
      </w:pPr>
      <w:bookmarkStart w:id="7" w:name="_Toc496709938"/>
      <w:r w:rsidRPr="00EA7BE6">
        <w:rPr>
          <w:rFonts w:cs="Times New Roman"/>
          <w:sz w:val="22"/>
          <w:szCs w:val="22"/>
          <w:lang w:val="bg-BG"/>
        </w:rPr>
        <w:t xml:space="preserve">II.1. </w:t>
      </w:r>
      <w:r w:rsidR="00CA75E2" w:rsidRPr="00EA7BE6">
        <w:rPr>
          <w:rFonts w:cs="Times New Roman"/>
          <w:sz w:val="22"/>
          <w:szCs w:val="22"/>
          <w:lang w:val="bg-BG"/>
        </w:rPr>
        <w:t>Основен проблем</w:t>
      </w:r>
      <w:bookmarkEnd w:id="7"/>
    </w:p>
    <w:p w:rsidR="00B27013" w:rsidRPr="00EA7BE6" w:rsidRDefault="00DB2602" w:rsidP="006B3BB7">
      <w:pPr>
        <w:spacing w:after="120"/>
        <w:rPr>
          <w:color w:val="000000" w:themeColor="text1"/>
          <w:sz w:val="22"/>
          <w:lang w:val="bg-BG"/>
        </w:rPr>
      </w:pPr>
      <w:r w:rsidRPr="00EA7BE6">
        <w:rPr>
          <w:color w:val="000000" w:themeColor="text1"/>
          <w:sz w:val="22"/>
          <w:lang w:val="bg-BG"/>
        </w:rPr>
        <w:t xml:space="preserve">Главната причина, налагаща приемане на </w:t>
      </w:r>
      <w:r w:rsidR="00C441B3" w:rsidRPr="00EA7BE6">
        <w:rPr>
          <w:bCs/>
          <w:color w:val="000000" w:themeColor="text1"/>
          <w:sz w:val="22"/>
          <w:lang w:val="bg-BG"/>
        </w:rPr>
        <w:t>Закон за превенция от неблагоприятни климатични събития в земеделието</w:t>
      </w:r>
      <w:r w:rsidR="009F1DBF" w:rsidRPr="00EA7BE6">
        <w:rPr>
          <w:color w:val="000000" w:themeColor="text1"/>
          <w:sz w:val="22"/>
          <w:lang w:val="bg-BG"/>
        </w:rPr>
        <w:t>,</w:t>
      </w:r>
      <w:r w:rsidRPr="00EA7BE6">
        <w:rPr>
          <w:color w:val="000000" w:themeColor="text1"/>
          <w:sz w:val="22"/>
          <w:lang w:val="bg-BG"/>
        </w:rPr>
        <w:t xml:space="preserve"> </w:t>
      </w:r>
      <w:r w:rsidR="00C441B3" w:rsidRPr="00EA7BE6">
        <w:rPr>
          <w:color w:val="000000" w:themeColor="text1"/>
          <w:sz w:val="22"/>
          <w:lang w:val="bg-BG"/>
        </w:rPr>
        <w:t>е необходимостта от повишаване на ефективността на системата за управление на риска в земеделието.</w:t>
      </w:r>
    </w:p>
    <w:p w:rsidR="00C441B3" w:rsidRPr="00EA7BE6" w:rsidRDefault="00C441B3" w:rsidP="00C441B3">
      <w:pPr>
        <w:spacing w:after="120"/>
        <w:rPr>
          <w:color w:val="000000" w:themeColor="text1"/>
          <w:sz w:val="22"/>
          <w:lang w:val="bg-BG"/>
        </w:rPr>
      </w:pPr>
      <w:r w:rsidRPr="00EA7BE6">
        <w:rPr>
          <w:color w:val="000000" w:themeColor="text1"/>
          <w:sz w:val="22"/>
          <w:lang w:val="bg-BG"/>
        </w:rPr>
        <w:t xml:space="preserve">През последните години се наблюдават все по-екстремни прояви на неблагоприятни климатични явления и бедствия - обилни валежи, горещи и студени вълни, </w:t>
      </w:r>
      <w:r w:rsidRPr="00EA7BE6">
        <w:rPr>
          <w:b/>
          <w:color w:val="000000" w:themeColor="text1"/>
          <w:sz w:val="22"/>
          <w:lang w:val="bg-BG"/>
        </w:rPr>
        <w:t>градушки</w:t>
      </w:r>
      <w:r w:rsidRPr="00EA7BE6">
        <w:rPr>
          <w:color w:val="000000" w:themeColor="text1"/>
          <w:sz w:val="22"/>
          <w:lang w:val="bg-BG"/>
        </w:rPr>
        <w:t xml:space="preserve">, наводнения, засушавания, ураганни ветрове.  Различни сценарии за изменението на климата в България сочат, че в средносрочен и дългосрочен план тези събития ще зачестят. </w:t>
      </w:r>
    </w:p>
    <w:p w:rsidR="00C441B3" w:rsidRPr="00EA7BE6" w:rsidRDefault="00C441B3" w:rsidP="00C441B3">
      <w:pPr>
        <w:spacing w:after="120"/>
        <w:rPr>
          <w:color w:val="000000" w:themeColor="text1"/>
          <w:sz w:val="22"/>
          <w:lang w:val="bg-BG"/>
        </w:rPr>
      </w:pPr>
      <w:r w:rsidRPr="00EA7BE6">
        <w:rPr>
          <w:color w:val="000000" w:themeColor="text1"/>
          <w:sz w:val="22"/>
          <w:lang w:val="bg-BG"/>
        </w:rPr>
        <w:t>Разработки, основаващи се на числени модели, предвиждат нарастване на честотата и силата на градобитните процеси. Един от географските райони, за които се прогнозира значително нарастване на екстремните случаи от градушка с размери ≥2 см е територията на България.</w:t>
      </w:r>
    </w:p>
    <w:p w:rsidR="00C441B3" w:rsidRPr="00EA7BE6" w:rsidRDefault="00C441B3" w:rsidP="00C441B3">
      <w:pPr>
        <w:spacing w:after="120"/>
        <w:rPr>
          <w:color w:val="000000" w:themeColor="text1"/>
          <w:sz w:val="22"/>
          <w:lang w:val="bg-BG"/>
        </w:rPr>
      </w:pPr>
      <w:r w:rsidRPr="00EA7BE6">
        <w:rPr>
          <w:color w:val="000000" w:themeColor="text1"/>
          <w:sz w:val="22"/>
          <w:lang w:val="bg-BG"/>
        </w:rPr>
        <w:lastRenderedPageBreak/>
        <w:t xml:space="preserve">В </w:t>
      </w:r>
      <w:r w:rsidR="00A02DA6" w:rsidRPr="00EA7BE6">
        <w:rPr>
          <w:color w:val="000000" w:themeColor="text1"/>
          <w:sz w:val="22"/>
          <w:lang w:val="bg-BG"/>
        </w:rPr>
        <w:t>страната</w:t>
      </w:r>
      <w:r w:rsidRPr="00EA7BE6">
        <w:rPr>
          <w:color w:val="000000" w:themeColor="text1"/>
          <w:sz w:val="22"/>
          <w:lang w:val="bg-BG"/>
        </w:rPr>
        <w:t xml:space="preserve"> от десетилетия функционира добре изградена национална система за противоградова защита, обхващаща районите с най-голяма интензивност на градобитните процеси (около 1/3 от обработваемата земя в страната), която се финансира от държавния бюджет. </w:t>
      </w:r>
    </w:p>
    <w:p w:rsidR="00C441B3" w:rsidRPr="00EA7BE6" w:rsidRDefault="00C441B3" w:rsidP="00C441B3">
      <w:pPr>
        <w:spacing w:after="120"/>
        <w:rPr>
          <w:color w:val="000000" w:themeColor="text1"/>
          <w:sz w:val="22"/>
          <w:lang w:val="bg-BG"/>
        </w:rPr>
      </w:pPr>
      <w:r w:rsidRPr="00EA7BE6">
        <w:rPr>
          <w:color w:val="000000" w:themeColor="text1"/>
          <w:sz w:val="22"/>
          <w:lang w:val="bg-BG"/>
        </w:rPr>
        <w:t>Данните за напълно пропаднали площи вследствие на неблагоприятни климатични събития сочат, че делът на напълно унищожените площи в незащитените срещу градушки райони е над 53% средногодишно от общо пропадналите площи в страната. В години с интензивни градобитни процеси този дял е значително по-голям - например през 2014 г. и 2015 г. той е около 75%, а през 2016 г. превишава 67%. Напълно пропадналите площи вследствие от градушки, за които земеделските производители са поискали компенсация, варират през годините от 0,02% до 0,27% от всички обработваеми земи и трайни насаждения в страната.</w:t>
      </w:r>
    </w:p>
    <w:p w:rsidR="00C441B3" w:rsidRPr="00EA7BE6" w:rsidRDefault="00C441B3" w:rsidP="00C441B3">
      <w:pPr>
        <w:spacing w:after="120"/>
        <w:rPr>
          <w:color w:val="000000" w:themeColor="text1"/>
          <w:sz w:val="22"/>
          <w:lang w:val="bg-BG"/>
        </w:rPr>
      </w:pPr>
      <w:r w:rsidRPr="00EA7BE6">
        <w:rPr>
          <w:color w:val="000000" w:themeColor="text1"/>
          <w:sz w:val="22"/>
          <w:lang w:val="bg-BG"/>
        </w:rPr>
        <w:t>Зачестяването на неблагоприятните климатични явления и появата на градушки в региони, които до момента не са били засягани, налагат необходимостта от преосмисляне на обхвата и методите за осъществяване на защитата в страната.</w:t>
      </w:r>
    </w:p>
    <w:p w:rsidR="00C441B3" w:rsidRPr="00EA7BE6" w:rsidRDefault="00C441B3" w:rsidP="00C441B3">
      <w:pPr>
        <w:spacing w:after="120"/>
        <w:rPr>
          <w:color w:val="000000" w:themeColor="text1"/>
          <w:sz w:val="22"/>
          <w:lang w:val="bg-BG"/>
        </w:rPr>
      </w:pPr>
      <w:r w:rsidRPr="00EA7BE6">
        <w:rPr>
          <w:color w:val="000000" w:themeColor="text1"/>
          <w:sz w:val="22"/>
          <w:lang w:val="bg-BG"/>
        </w:rPr>
        <w:t>В световната практика не съществува наложен общ модел за противоградова защита, поради значителните различия в климатичните условия в отделните държави. В повечето страни, в които се осъществява превенция срещу градушки, системите за защитата са изградени по инициатива на заинтересованите страни – земеделски производители, местни власти, застрахователи и други субекти, под формата на доброволно създадени сдружения на локално ниво.</w:t>
      </w:r>
    </w:p>
    <w:p w:rsidR="00C441B3" w:rsidRPr="00EA7BE6" w:rsidRDefault="00C441B3" w:rsidP="00C441B3">
      <w:pPr>
        <w:spacing w:after="120"/>
        <w:rPr>
          <w:color w:val="000000" w:themeColor="text1"/>
          <w:sz w:val="22"/>
          <w:lang w:val="bg-BG"/>
        </w:rPr>
      </w:pPr>
      <w:r w:rsidRPr="00EA7BE6">
        <w:rPr>
          <w:color w:val="000000" w:themeColor="text1"/>
          <w:sz w:val="22"/>
          <w:lang w:val="bg-BG"/>
        </w:rPr>
        <w:t>Държавите подпомагат частично дейността на сдруженията, като им предоставят метеорологична и статистическа информация, специализирано оборудване и т. н. Финансирането на извършваната от сдруженията противоградова защита се осигурява чрез заплащане на такси от техните членовете. В някои държави (Унгария, Франция и др.) част от таксата се покрива от националния бюджет под формата на държавна помощ.</w:t>
      </w:r>
    </w:p>
    <w:p w:rsidR="00C441B3" w:rsidRPr="00EA7BE6" w:rsidRDefault="00C441B3" w:rsidP="00C441B3">
      <w:pPr>
        <w:spacing w:after="120"/>
        <w:rPr>
          <w:color w:val="000000" w:themeColor="text1"/>
          <w:sz w:val="22"/>
          <w:lang w:val="bg-BG"/>
        </w:rPr>
      </w:pPr>
      <w:r w:rsidRPr="00EA7BE6">
        <w:rPr>
          <w:color w:val="000000" w:themeColor="text1"/>
          <w:sz w:val="22"/>
          <w:lang w:val="bg-BG"/>
        </w:rPr>
        <w:t>Основно се прилагат три способа за защита срещу градушки:</w:t>
      </w:r>
    </w:p>
    <w:p w:rsidR="00C441B3" w:rsidRPr="00EA7BE6" w:rsidRDefault="00C441B3" w:rsidP="003B77D3">
      <w:pPr>
        <w:numPr>
          <w:ilvl w:val="0"/>
          <w:numId w:val="8"/>
        </w:numPr>
        <w:spacing w:after="120"/>
        <w:rPr>
          <w:color w:val="000000" w:themeColor="text1"/>
          <w:sz w:val="22"/>
          <w:lang w:val="bg-BG"/>
        </w:rPr>
      </w:pPr>
      <w:r w:rsidRPr="00EA7BE6">
        <w:rPr>
          <w:color w:val="000000" w:themeColor="text1"/>
          <w:sz w:val="22"/>
          <w:lang w:val="bg-BG"/>
        </w:rPr>
        <w:t>ракетен - България, Сърбия, Русия, Хърватия;</w:t>
      </w:r>
    </w:p>
    <w:p w:rsidR="00C441B3" w:rsidRPr="00EA7BE6" w:rsidRDefault="00C441B3" w:rsidP="003B77D3">
      <w:pPr>
        <w:numPr>
          <w:ilvl w:val="0"/>
          <w:numId w:val="8"/>
        </w:numPr>
        <w:spacing w:after="120"/>
        <w:rPr>
          <w:color w:val="000000" w:themeColor="text1"/>
          <w:sz w:val="22"/>
          <w:lang w:val="bg-BG"/>
        </w:rPr>
      </w:pPr>
      <w:r w:rsidRPr="00EA7BE6">
        <w:rPr>
          <w:color w:val="000000" w:themeColor="text1"/>
          <w:sz w:val="22"/>
          <w:lang w:val="bg-BG"/>
        </w:rPr>
        <w:t>самолетен - Германия, Австрия, Гърция;</w:t>
      </w:r>
    </w:p>
    <w:p w:rsidR="00C441B3" w:rsidRPr="00EA7BE6" w:rsidRDefault="00C441B3" w:rsidP="003B77D3">
      <w:pPr>
        <w:pStyle w:val="ListParagraph"/>
        <w:numPr>
          <w:ilvl w:val="0"/>
          <w:numId w:val="8"/>
        </w:numPr>
        <w:spacing w:after="120"/>
        <w:rPr>
          <w:color w:val="000000" w:themeColor="text1"/>
          <w:sz w:val="22"/>
          <w:lang w:val="bg-BG"/>
        </w:rPr>
      </w:pPr>
      <w:r w:rsidRPr="00EA7BE6">
        <w:rPr>
          <w:color w:val="000000" w:themeColor="text1"/>
          <w:sz w:val="22"/>
          <w:lang w:val="bg-BG"/>
        </w:rPr>
        <w:t>наземни генератори - Франция, Унгария, Испания.</w:t>
      </w:r>
    </w:p>
    <w:p w:rsidR="00C441B3" w:rsidRPr="00EA7BE6" w:rsidRDefault="00C441B3" w:rsidP="00C441B3">
      <w:pPr>
        <w:pStyle w:val="ListParagraph"/>
        <w:spacing w:after="120"/>
        <w:ind w:left="0"/>
        <w:rPr>
          <w:color w:val="000000" w:themeColor="text1"/>
          <w:sz w:val="22"/>
          <w:lang w:val="bg-BG"/>
        </w:rPr>
      </w:pPr>
    </w:p>
    <w:p w:rsidR="00C441B3" w:rsidRPr="00EA7BE6" w:rsidRDefault="00C441B3" w:rsidP="00C441B3">
      <w:pPr>
        <w:pStyle w:val="ListParagraph"/>
        <w:spacing w:after="120"/>
        <w:ind w:left="0"/>
        <w:rPr>
          <w:color w:val="000000" w:themeColor="text1"/>
          <w:sz w:val="22"/>
          <w:lang w:val="bg-BG"/>
        </w:rPr>
      </w:pPr>
      <w:r w:rsidRPr="00EA7BE6">
        <w:rPr>
          <w:color w:val="000000" w:themeColor="text1"/>
          <w:sz w:val="22"/>
          <w:lang w:val="bg-BG"/>
        </w:rPr>
        <w:t xml:space="preserve">За нуждите на противоградовата защита към осемте регионални дирекции на Изпълнителната агенция „Борба с градушките“ са изградени девет командни пункта с 200 ракетни площадки. Защитата се осъществява с ракети, доставящи реагент сребърен </w:t>
      </w:r>
      <w:proofErr w:type="spellStart"/>
      <w:r w:rsidRPr="00EA7BE6">
        <w:rPr>
          <w:color w:val="000000" w:themeColor="text1"/>
          <w:sz w:val="22"/>
          <w:lang w:val="bg-BG"/>
        </w:rPr>
        <w:t>йодит</w:t>
      </w:r>
      <w:proofErr w:type="spellEnd"/>
      <w:r w:rsidRPr="00EA7BE6">
        <w:rPr>
          <w:color w:val="000000" w:themeColor="text1"/>
          <w:sz w:val="22"/>
          <w:lang w:val="bg-BG"/>
        </w:rPr>
        <w:t xml:space="preserve"> в облаците.</w:t>
      </w:r>
    </w:p>
    <w:p w:rsidR="00C441B3" w:rsidRPr="00EA7BE6" w:rsidRDefault="00C441B3" w:rsidP="00C441B3">
      <w:pPr>
        <w:pStyle w:val="ListParagraph"/>
        <w:spacing w:after="120"/>
        <w:ind w:left="0"/>
        <w:rPr>
          <w:color w:val="000000" w:themeColor="text1"/>
          <w:sz w:val="22"/>
          <w:lang w:val="bg-BG"/>
        </w:rPr>
      </w:pPr>
    </w:p>
    <w:p w:rsidR="00B1284F" w:rsidRPr="00EA7BE6" w:rsidRDefault="00B1284F" w:rsidP="00B1284F">
      <w:pPr>
        <w:pStyle w:val="ListParagraph"/>
        <w:spacing w:after="120"/>
        <w:ind w:left="0"/>
        <w:rPr>
          <w:color w:val="000000" w:themeColor="text1"/>
          <w:sz w:val="22"/>
          <w:lang w:val="bg-BG"/>
        </w:rPr>
      </w:pPr>
      <w:r w:rsidRPr="00EA7BE6">
        <w:rPr>
          <w:color w:val="000000" w:themeColor="text1"/>
          <w:sz w:val="22"/>
          <w:lang w:val="bg-BG"/>
        </w:rPr>
        <w:t xml:space="preserve">Съществуващата система защитава 17,3 млн. дка от територията на страната, в това число 10,6 млн. дка обработваеми земи, трайни насаждения и площи със смесено земеползване. </w:t>
      </w:r>
    </w:p>
    <w:p w:rsidR="00B1284F" w:rsidRPr="00EA7BE6" w:rsidRDefault="00B1284F" w:rsidP="00B1284F">
      <w:pPr>
        <w:pStyle w:val="ListParagraph"/>
        <w:spacing w:after="120"/>
        <w:ind w:left="0"/>
        <w:rPr>
          <w:color w:val="000000" w:themeColor="text1"/>
          <w:sz w:val="22"/>
          <w:lang w:val="bg-BG"/>
        </w:rPr>
      </w:pPr>
    </w:p>
    <w:p w:rsidR="00B1284F" w:rsidRPr="00EA7BE6" w:rsidRDefault="00B1284F" w:rsidP="00B1284F">
      <w:pPr>
        <w:pStyle w:val="ListParagraph"/>
        <w:spacing w:after="120"/>
        <w:ind w:left="0"/>
        <w:rPr>
          <w:color w:val="000000" w:themeColor="text1"/>
          <w:sz w:val="22"/>
          <w:lang w:val="bg-BG"/>
        </w:rPr>
      </w:pPr>
      <w:r w:rsidRPr="00EA7BE6">
        <w:rPr>
          <w:color w:val="000000" w:themeColor="text1"/>
          <w:sz w:val="22"/>
          <w:lang w:val="bg-BG"/>
        </w:rPr>
        <w:t>В Северна България защитаваната територия обхваща равнинната част на областите Видин, Монтана, Враца, част от област Плевен и част от община Луковит. В Южна България е обхваната територия в Горнотракийската низина в областите Пазарджик, Пловдив, Стара Загора, Сливен, част от община Димитровград в област Хасково и част от община Ямбол.</w:t>
      </w:r>
    </w:p>
    <w:p w:rsidR="00521DA7" w:rsidRPr="00C53587" w:rsidRDefault="00C441B3" w:rsidP="00C53587">
      <w:pPr>
        <w:pStyle w:val="ListParagraph"/>
        <w:spacing w:after="120"/>
        <w:ind w:left="0"/>
        <w:jc w:val="center"/>
        <w:rPr>
          <w:b/>
          <w:color w:val="000000" w:themeColor="text1"/>
          <w:sz w:val="16"/>
          <w:szCs w:val="16"/>
          <w:lang w:val="bg-BG"/>
        </w:rPr>
      </w:pPr>
      <w:r w:rsidRPr="00EA7BE6">
        <w:rPr>
          <w:noProof/>
        </w:rPr>
        <w:lastRenderedPageBreak/>
        <w:drawing>
          <wp:inline distT="0" distB="0" distL="0" distR="0" wp14:anchorId="431EB562" wp14:editId="0C215AC7">
            <wp:extent cx="6125919" cy="3583132"/>
            <wp:effectExtent l="0" t="0" r="8255" b="0"/>
            <wp:docPr id="1" name="Picture 1" descr="D:\НОВА ДИРЕКЦИЯ\СЪВЕТ ЗА АДМИНИСТРАТИВНА РЕФОРМА\ИАБГ\НАЦИОНАЛНА СРЕЩА 30 МАЙ 2016\НОВИ ДАННИ ИАБГ\karta_16_05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ОВА ДИРЕКЦИЯ\СЪВЕТ ЗА АДМИНИСТРАТИВНА РЕФОРМА\ИАБГ\НАЦИОНАЛНА СРЕЩА 30 МАЙ 2016\НОВИ ДАННИ ИАБГ\karta_16_05_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0192" cy="3585632"/>
                    </a:xfrm>
                    <a:prstGeom prst="rect">
                      <a:avLst/>
                    </a:prstGeom>
                    <a:noFill/>
                    <a:ln>
                      <a:noFill/>
                    </a:ln>
                  </pic:spPr>
                </pic:pic>
              </a:graphicData>
            </a:graphic>
          </wp:inline>
        </w:drawing>
      </w:r>
      <w:r w:rsidR="00521DA7" w:rsidRPr="00C53587">
        <w:rPr>
          <w:b/>
          <w:color w:val="000000" w:themeColor="text1"/>
          <w:sz w:val="16"/>
          <w:szCs w:val="16"/>
          <w:lang w:val="bg-BG"/>
        </w:rPr>
        <w:t>Фигура 1</w:t>
      </w:r>
    </w:p>
    <w:p w:rsidR="00C441B3" w:rsidRPr="00C53587" w:rsidRDefault="00A02DA6" w:rsidP="00C53587">
      <w:pPr>
        <w:pStyle w:val="ListParagraph"/>
        <w:spacing w:after="120"/>
        <w:ind w:left="0"/>
        <w:jc w:val="center"/>
        <w:rPr>
          <w:b/>
          <w:color w:val="000000" w:themeColor="text1"/>
          <w:sz w:val="16"/>
          <w:szCs w:val="16"/>
          <w:lang w:val="bg-BG"/>
        </w:rPr>
      </w:pPr>
      <w:r w:rsidRPr="00C53587">
        <w:rPr>
          <w:b/>
          <w:color w:val="000000" w:themeColor="text1"/>
          <w:sz w:val="16"/>
          <w:szCs w:val="16"/>
          <w:lang w:val="bg-BG"/>
        </w:rPr>
        <w:t>Карта на защитаваната с ракетен способ територия</w:t>
      </w:r>
    </w:p>
    <w:p w:rsidR="005709F6" w:rsidRPr="00EA7BE6" w:rsidRDefault="00E47E10" w:rsidP="006B3BB7">
      <w:pPr>
        <w:pStyle w:val="Heading2"/>
        <w:spacing w:before="240" w:after="120"/>
        <w:rPr>
          <w:rFonts w:cs="Times New Roman"/>
          <w:sz w:val="22"/>
          <w:szCs w:val="22"/>
          <w:lang w:val="bg-BG"/>
        </w:rPr>
      </w:pPr>
      <w:bookmarkStart w:id="8" w:name="_Toc496709939"/>
      <w:r w:rsidRPr="00EA7BE6">
        <w:rPr>
          <w:rFonts w:cs="Times New Roman"/>
          <w:sz w:val="22"/>
          <w:szCs w:val="22"/>
          <w:lang w:val="bg-BG"/>
        </w:rPr>
        <w:t xml:space="preserve">II.2. </w:t>
      </w:r>
      <w:r w:rsidR="00CA75E2" w:rsidRPr="00EA7BE6">
        <w:rPr>
          <w:rFonts w:cs="Times New Roman"/>
          <w:sz w:val="22"/>
          <w:szCs w:val="22"/>
          <w:lang w:val="bg-BG"/>
        </w:rPr>
        <w:t>Специфични проблеми</w:t>
      </w:r>
      <w:bookmarkEnd w:id="8"/>
    </w:p>
    <w:p w:rsidR="005709F6" w:rsidRPr="00EA7BE6" w:rsidRDefault="00C27C0B" w:rsidP="006B3BB7">
      <w:pPr>
        <w:spacing w:after="120"/>
        <w:rPr>
          <w:sz w:val="22"/>
          <w:lang w:val="bg-BG"/>
        </w:rPr>
      </w:pPr>
      <w:r w:rsidRPr="00EA7BE6">
        <w:rPr>
          <w:sz w:val="22"/>
          <w:lang w:val="bg-BG"/>
        </w:rPr>
        <w:t xml:space="preserve">Идентифицирани са два специфични проблема, свързани със сега функциониращата система за превенция от неблагоприятни климатични събития в земеделието. </w:t>
      </w:r>
    </w:p>
    <w:p w:rsidR="00C27C0B" w:rsidRPr="00EA7BE6" w:rsidRDefault="00C27C0B" w:rsidP="006B3BB7">
      <w:pPr>
        <w:spacing w:after="120"/>
        <w:rPr>
          <w:sz w:val="22"/>
          <w:lang w:val="bg-BG"/>
        </w:rPr>
      </w:pPr>
      <w:r w:rsidRPr="00EA7BE6">
        <w:rPr>
          <w:sz w:val="22"/>
          <w:lang w:val="bg-BG"/>
        </w:rPr>
        <w:t xml:space="preserve">Първият от тях е свързан с липсата на покритие върху 2/3 от територията на страната срещу </w:t>
      </w:r>
      <w:proofErr w:type="spellStart"/>
      <w:r w:rsidRPr="00EA7BE6">
        <w:rPr>
          <w:sz w:val="22"/>
          <w:lang w:val="bg-BG"/>
        </w:rPr>
        <w:t>градови</w:t>
      </w:r>
      <w:proofErr w:type="spellEnd"/>
      <w:r w:rsidRPr="00EA7BE6">
        <w:rPr>
          <w:sz w:val="22"/>
          <w:lang w:val="bg-BG"/>
        </w:rPr>
        <w:t xml:space="preserve"> процеси, както и </w:t>
      </w:r>
      <w:r w:rsidR="009A56D1">
        <w:rPr>
          <w:sz w:val="22"/>
          <w:lang w:val="bg-BG"/>
        </w:rPr>
        <w:t xml:space="preserve">с </w:t>
      </w:r>
      <w:r w:rsidRPr="00EA7BE6">
        <w:rPr>
          <w:sz w:val="22"/>
          <w:lang w:val="bg-BG"/>
        </w:rPr>
        <w:t>ограничения обхват на дейност на сега действащата Изпълнителна агенция „Борба с градушките“</w:t>
      </w:r>
      <w:r w:rsidR="000B131E" w:rsidRPr="00EA7BE6">
        <w:rPr>
          <w:sz w:val="22"/>
          <w:lang w:val="bg-BG"/>
        </w:rPr>
        <w:t>.</w:t>
      </w:r>
      <w:r w:rsidRPr="00EA7BE6">
        <w:rPr>
          <w:sz w:val="22"/>
          <w:lang w:val="bg-BG"/>
        </w:rPr>
        <w:t xml:space="preserve">  </w:t>
      </w:r>
    </w:p>
    <w:p w:rsidR="007D5C1C" w:rsidRPr="00EA7BE6" w:rsidRDefault="007D5C1C" w:rsidP="006B3BB7">
      <w:pPr>
        <w:spacing w:after="120"/>
        <w:rPr>
          <w:b/>
          <w:sz w:val="22"/>
          <w:lang w:val="bg-BG"/>
        </w:rPr>
      </w:pPr>
      <w:r w:rsidRPr="00EA7BE6">
        <w:rPr>
          <w:b/>
          <w:sz w:val="22"/>
          <w:lang w:val="bg-BG"/>
        </w:rPr>
        <w:t xml:space="preserve">История и организация на противоградовата защита в България </w:t>
      </w:r>
    </w:p>
    <w:p w:rsidR="007D5C1C" w:rsidRPr="00EA7BE6" w:rsidRDefault="007D5C1C" w:rsidP="007D5C1C">
      <w:pPr>
        <w:spacing w:after="120"/>
        <w:rPr>
          <w:sz w:val="22"/>
          <w:lang w:val="bg-BG"/>
        </w:rPr>
      </w:pPr>
      <w:r w:rsidRPr="00EA7BE6">
        <w:rPr>
          <w:sz w:val="22"/>
          <w:lang w:val="bg-BG"/>
        </w:rPr>
        <w:t>Началото на организираното противодействие на градовите процеси в България се поставя с Разпореждане № 175 на Министерския съвет от 1968 г. за създаване на Служба “Борба с градушките”, като структурно звено към Министерството на земеделието, впоследствие преобразувана в дирекция на министерството. Предметът на действие на Службата е „..чрез специални полигони да извършва разузнаване на градоносните процеси и да предотвратява градушките в селскостопанските райони”.</w:t>
      </w:r>
    </w:p>
    <w:p w:rsidR="003C0B63" w:rsidRPr="00EA7BE6" w:rsidRDefault="007D5C1C" w:rsidP="007D5C1C">
      <w:pPr>
        <w:spacing w:after="120"/>
        <w:rPr>
          <w:sz w:val="22"/>
          <w:lang w:val="bg-BG"/>
        </w:rPr>
      </w:pPr>
      <w:r w:rsidRPr="00EA7BE6">
        <w:rPr>
          <w:sz w:val="22"/>
          <w:lang w:val="bg-BG"/>
        </w:rPr>
        <w:t>С Постановление на № 203 на Министерския съвет от 1999 г. дирекция “Борба с градушките” се преобразува в Изпълнителна агенция „Борба с градушките“, като второстепенен разпоредител с бюджет към министъра на земеделието и храните, със седалище гр. София.</w:t>
      </w:r>
    </w:p>
    <w:p w:rsidR="00AB3B90" w:rsidRPr="00EA7BE6" w:rsidRDefault="00AB3B90" w:rsidP="007D5C1C">
      <w:pPr>
        <w:spacing w:after="120"/>
        <w:rPr>
          <w:sz w:val="22"/>
          <w:lang w:val="bg-BG"/>
        </w:rPr>
      </w:pPr>
      <w:r w:rsidRPr="00EA7BE6">
        <w:rPr>
          <w:sz w:val="22"/>
          <w:lang w:val="bg-BG"/>
        </w:rPr>
        <w:t>Функциите, които агенцията изпълнява съгласно устройствения й правилник са следните:</w:t>
      </w:r>
    </w:p>
    <w:p w:rsidR="00AB3B90" w:rsidRPr="00EA7BE6" w:rsidRDefault="00AB3B90" w:rsidP="003B77D3">
      <w:pPr>
        <w:pStyle w:val="ListParagraph"/>
        <w:numPr>
          <w:ilvl w:val="0"/>
          <w:numId w:val="9"/>
        </w:numPr>
        <w:spacing w:after="120"/>
        <w:rPr>
          <w:sz w:val="22"/>
          <w:lang w:val="bg-BG"/>
        </w:rPr>
      </w:pPr>
      <w:r w:rsidRPr="00EA7BE6">
        <w:rPr>
          <w:sz w:val="22"/>
          <w:lang w:val="bg-BG"/>
        </w:rPr>
        <w:t>Целогодишно денонощно наблюдение на атмосферата – наблюдението се извършва посредством доплерови радарни станции, включени в интерактивна радарна информационна система и осигурява необходимата информация за атмосферните явления в страната;</w:t>
      </w:r>
    </w:p>
    <w:p w:rsidR="00AB3B90" w:rsidRPr="00EA7BE6" w:rsidRDefault="00AB3B90" w:rsidP="003B77D3">
      <w:pPr>
        <w:pStyle w:val="ListParagraph"/>
        <w:numPr>
          <w:ilvl w:val="0"/>
          <w:numId w:val="9"/>
        </w:numPr>
        <w:spacing w:after="120"/>
        <w:rPr>
          <w:sz w:val="22"/>
          <w:lang w:val="bg-BG"/>
        </w:rPr>
      </w:pPr>
      <w:r w:rsidRPr="00EA7BE6">
        <w:rPr>
          <w:sz w:val="22"/>
          <w:lang w:val="bg-BG"/>
        </w:rPr>
        <w:t xml:space="preserve">Активно въздействие с противоградни ракети – противоградовата защита има регионален обхват – прилага се в регионите, в които има изградени полигони за борба с градушките и само в зони, определени с Постановление № 44 на Министерския съвет от 2010 г. за определяне на зоните във въздушното пространство на Република България, в които се ограничава въздухоплаването. Поради </w:t>
      </w:r>
      <w:r w:rsidRPr="00EA7BE6">
        <w:rPr>
          <w:sz w:val="22"/>
          <w:lang w:val="bg-BG"/>
        </w:rPr>
        <w:lastRenderedPageBreak/>
        <w:t xml:space="preserve">сезонния характер на градовите процеси, тя се осъществява основно в периода от 1 април до 30 октомври; </w:t>
      </w:r>
    </w:p>
    <w:p w:rsidR="00AB3B90" w:rsidRPr="00EA7BE6" w:rsidRDefault="00AB3B90" w:rsidP="003B77D3">
      <w:pPr>
        <w:pStyle w:val="ListParagraph"/>
        <w:numPr>
          <w:ilvl w:val="0"/>
          <w:numId w:val="9"/>
        </w:numPr>
        <w:spacing w:after="120"/>
        <w:rPr>
          <w:sz w:val="22"/>
          <w:lang w:val="bg-BG"/>
        </w:rPr>
      </w:pPr>
      <w:r w:rsidRPr="00EA7BE6">
        <w:rPr>
          <w:sz w:val="22"/>
          <w:lang w:val="bg-BG"/>
        </w:rPr>
        <w:t>Дейности, свързани с дейността на други държавни институции – агенцията участва в изграждането на единна система за ранно предупреждение за настъпващи неблагоприятни атмосферни явления и предоставя радиолокационна метеорологична информация в реално време на подразделения на Военновъздушните сили към Министерството на отбраната и на Държавно предприятие "Ръководство на въздушното движение";</w:t>
      </w:r>
    </w:p>
    <w:p w:rsidR="00FC42EE" w:rsidRPr="00EA7BE6" w:rsidRDefault="00AB3B90" w:rsidP="003B77D3">
      <w:pPr>
        <w:pStyle w:val="ListParagraph"/>
        <w:numPr>
          <w:ilvl w:val="0"/>
          <w:numId w:val="9"/>
        </w:numPr>
        <w:spacing w:after="120"/>
        <w:rPr>
          <w:sz w:val="22"/>
          <w:lang w:val="bg-BG"/>
        </w:rPr>
      </w:pPr>
      <w:r w:rsidRPr="00EA7BE6">
        <w:rPr>
          <w:sz w:val="22"/>
          <w:lang w:val="bg-BG"/>
        </w:rPr>
        <w:t>Предоставяне на допълнителни услуги за земеделските производители - информационно и консултантско обслужване.</w:t>
      </w:r>
    </w:p>
    <w:p w:rsidR="00FC42EE" w:rsidRPr="00EA7BE6" w:rsidRDefault="00FC42EE" w:rsidP="00FC42EE">
      <w:pPr>
        <w:spacing w:after="120"/>
        <w:rPr>
          <w:sz w:val="22"/>
          <w:lang w:val="bg-BG"/>
        </w:rPr>
      </w:pPr>
      <w:r w:rsidRPr="00EA7BE6">
        <w:rPr>
          <w:sz w:val="22"/>
          <w:lang w:val="bg-BG"/>
        </w:rPr>
        <w:t xml:space="preserve">Към настоящия момент противоградова защита на територията на страната се осъществява само чрез гореспоменатия ракетен </w:t>
      </w:r>
      <w:r w:rsidR="00241721" w:rsidRPr="00EA7BE6">
        <w:rPr>
          <w:sz w:val="22"/>
          <w:lang w:val="bg-BG"/>
        </w:rPr>
        <w:t>способ</w:t>
      </w:r>
      <w:r w:rsidRPr="00EA7BE6">
        <w:rPr>
          <w:sz w:val="22"/>
          <w:lang w:val="bg-BG"/>
        </w:rPr>
        <w:t>.</w:t>
      </w:r>
    </w:p>
    <w:p w:rsidR="00EC2894" w:rsidRPr="00EA7BE6" w:rsidRDefault="00EC2894" w:rsidP="00FC42EE">
      <w:pPr>
        <w:spacing w:after="120"/>
        <w:rPr>
          <w:sz w:val="22"/>
          <w:lang w:val="bg-BG"/>
        </w:rPr>
      </w:pPr>
      <w:r w:rsidRPr="00EA7BE6">
        <w:rPr>
          <w:sz w:val="22"/>
          <w:lang w:val="bg-BG"/>
        </w:rPr>
        <w:t>Основни данни за извършваната от Изпълнителна агенция „Борба с градушките“</w:t>
      </w:r>
      <w:r w:rsidR="00A05D3C" w:rsidRPr="00EA7BE6">
        <w:rPr>
          <w:sz w:val="22"/>
          <w:lang w:val="bg-BG"/>
        </w:rPr>
        <w:t xml:space="preserve"> </w:t>
      </w:r>
      <w:r w:rsidRPr="00EA7BE6">
        <w:rPr>
          <w:sz w:val="22"/>
          <w:lang w:val="bg-BG"/>
        </w:rPr>
        <w:t xml:space="preserve">дейност за периода </w:t>
      </w:r>
      <w:r w:rsidR="00284957" w:rsidRPr="00EA7BE6">
        <w:rPr>
          <w:sz w:val="22"/>
          <w:lang w:val="bg-BG"/>
        </w:rPr>
        <w:t>201</w:t>
      </w:r>
      <w:r w:rsidR="00284957">
        <w:rPr>
          <w:sz w:val="22"/>
          <w:lang w:val="bg-BG"/>
        </w:rPr>
        <w:t>3</w:t>
      </w:r>
      <w:r w:rsidR="00284957" w:rsidRPr="00EA7BE6">
        <w:rPr>
          <w:sz w:val="22"/>
          <w:lang w:val="bg-BG"/>
        </w:rPr>
        <w:t xml:space="preserve"> </w:t>
      </w:r>
      <w:r w:rsidR="00A05D3C" w:rsidRPr="00EA7BE6">
        <w:rPr>
          <w:sz w:val="22"/>
          <w:lang w:val="bg-BG"/>
        </w:rPr>
        <w:t xml:space="preserve">– </w:t>
      </w:r>
      <w:r w:rsidR="00284957" w:rsidRPr="00EA7BE6">
        <w:rPr>
          <w:sz w:val="22"/>
          <w:lang w:val="bg-BG"/>
        </w:rPr>
        <w:t>201</w:t>
      </w:r>
      <w:r w:rsidR="00284957">
        <w:rPr>
          <w:sz w:val="22"/>
          <w:lang w:val="bg-BG"/>
        </w:rPr>
        <w:t>7</w:t>
      </w:r>
      <w:r w:rsidR="00284957" w:rsidRPr="00EA7BE6">
        <w:rPr>
          <w:sz w:val="22"/>
          <w:lang w:val="bg-BG"/>
        </w:rPr>
        <w:t xml:space="preserve"> </w:t>
      </w:r>
      <w:r w:rsidRPr="00EA7BE6">
        <w:rPr>
          <w:sz w:val="22"/>
          <w:lang w:val="bg-BG"/>
        </w:rPr>
        <w:t>г. са представени в Таблица</w:t>
      </w:r>
      <w:r w:rsidRPr="00EA7BE6">
        <w:rPr>
          <w:b/>
          <w:sz w:val="22"/>
          <w:lang w:val="bg-BG"/>
        </w:rPr>
        <w:t xml:space="preserve"> </w:t>
      </w:r>
      <w:r w:rsidRPr="00EA7BE6">
        <w:rPr>
          <w:sz w:val="22"/>
          <w:lang w:val="bg-BG"/>
        </w:rPr>
        <w:t>1.</w:t>
      </w:r>
    </w:p>
    <w:p w:rsidR="00EC2894" w:rsidRPr="00EA7BE6" w:rsidRDefault="00EC2894" w:rsidP="0097796A">
      <w:pPr>
        <w:spacing w:after="0" w:line="240" w:lineRule="auto"/>
        <w:rPr>
          <w:b/>
          <w:sz w:val="22"/>
          <w:lang w:val="bg-BG"/>
        </w:rPr>
      </w:pPr>
      <w:r w:rsidRPr="00EA7BE6">
        <w:rPr>
          <w:b/>
          <w:sz w:val="22"/>
          <w:lang w:val="bg-BG"/>
        </w:rPr>
        <w:t>Таблица 1</w:t>
      </w:r>
    </w:p>
    <w:p w:rsidR="0097796A" w:rsidRDefault="00EC2894" w:rsidP="0097796A">
      <w:pPr>
        <w:spacing w:after="0" w:line="240" w:lineRule="auto"/>
        <w:rPr>
          <w:b/>
          <w:sz w:val="22"/>
          <w:lang w:val="bg-BG"/>
        </w:rPr>
      </w:pPr>
      <w:r w:rsidRPr="00EA7BE6">
        <w:rPr>
          <w:b/>
          <w:sz w:val="22"/>
          <w:lang w:val="bg-BG"/>
        </w:rPr>
        <w:t>Данни за дейността на Изпълнител</w:t>
      </w:r>
      <w:r w:rsidR="00DC7559" w:rsidRPr="00EA7BE6">
        <w:rPr>
          <w:b/>
          <w:sz w:val="22"/>
          <w:lang w:val="bg-BG"/>
        </w:rPr>
        <w:t xml:space="preserve">на агенция „Борба с градушките“ </w:t>
      </w:r>
    </w:p>
    <w:p w:rsidR="00EC2894" w:rsidRPr="0097796A" w:rsidRDefault="00EC2894" w:rsidP="0097796A">
      <w:pPr>
        <w:spacing w:after="0" w:line="240" w:lineRule="auto"/>
        <w:rPr>
          <w:b/>
          <w:sz w:val="22"/>
          <w:lang w:val="bg-BG"/>
        </w:rPr>
      </w:pPr>
      <w:r w:rsidRPr="00EA7BE6">
        <w:rPr>
          <w:b/>
          <w:sz w:val="22"/>
          <w:lang w:val="bg-BG"/>
        </w:rPr>
        <w:t xml:space="preserve">за периода </w:t>
      </w:r>
      <w:r w:rsidR="00284957" w:rsidRPr="00EA7BE6">
        <w:rPr>
          <w:b/>
          <w:sz w:val="22"/>
          <w:lang w:val="bg-BG"/>
        </w:rPr>
        <w:t>201</w:t>
      </w:r>
      <w:r w:rsidR="00284957">
        <w:rPr>
          <w:b/>
          <w:sz w:val="22"/>
          <w:lang w:val="bg-BG"/>
        </w:rPr>
        <w:t>3</w:t>
      </w:r>
      <w:r w:rsidR="00284957" w:rsidRPr="00EA7BE6">
        <w:rPr>
          <w:b/>
          <w:sz w:val="22"/>
          <w:lang w:val="bg-BG"/>
        </w:rPr>
        <w:t xml:space="preserve"> </w:t>
      </w:r>
      <w:r w:rsidRPr="00EA7BE6">
        <w:rPr>
          <w:b/>
          <w:sz w:val="22"/>
          <w:lang w:val="bg-BG"/>
        </w:rPr>
        <w:t>-</w:t>
      </w:r>
      <w:r w:rsidR="00DC7559" w:rsidRPr="00EA7BE6">
        <w:rPr>
          <w:b/>
          <w:sz w:val="22"/>
          <w:lang w:val="bg-BG"/>
        </w:rPr>
        <w:t xml:space="preserve"> </w:t>
      </w:r>
      <w:r w:rsidR="00284957" w:rsidRPr="00EA7BE6">
        <w:rPr>
          <w:b/>
          <w:sz w:val="22"/>
          <w:lang w:val="bg-BG"/>
        </w:rPr>
        <w:t>201</w:t>
      </w:r>
      <w:r w:rsidR="00284957">
        <w:rPr>
          <w:b/>
          <w:sz w:val="22"/>
          <w:lang w:val="bg-BG"/>
        </w:rPr>
        <w:t>7</w:t>
      </w:r>
      <w:r w:rsidR="00284957" w:rsidRPr="00EA7BE6">
        <w:rPr>
          <w:b/>
          <w:sz w:val="22"/>
          <w:lang w:val="bg-BG"/>
        </w:rPr>
        <w:t xml:space="preserve"> </w:t>
      </w:r>
      <w:r w:rsidRPr="00EA7BE6">
        <w:rPr>
          <w:b/>
          <w:sz w:val="22"/>
          <w:lang w:val="bg-BG"/>
        </w:rPr>
        <w:t>г.</w:t>
      </w:r>
      <w:r w:rsidR="0097796A" w:rsidRPr="00EA7BE6">
        <w:rPr>
          <w:sz w:val="22"/>
          <w:lang w:val="bg-BG"/>
        </w:rPr>
        <w:t xml:space="preserve"> </w:t>
      </w:r>
    </w:p>
    <w:tbl>
      <w:tblPr>
        <w:tblW w:w="6477" w:type="dxa"/>
        <w:tblInd w:w="55" w:type="dxa"/>
        <w:tblCellMar>
          <w:left w:w="70" w:type="dxa"/>
          <w:right w:w="70" w:type="dxa"/>
        </w:tblCellMar>
        <w:tblLook w:val="04A0" w:firstRow="1" w:lastRow="0" w:firstColumn="1" w:lastColumn="0" w:noHBand="0" w:noVBand="1"/>
      </w:tblPr>
      <w:tblGrid>
        <w:gridCol w:w="2328"/>
        <w:gridCol w:w="2074"/>
        <w:gridCol w:w="2075"/>
      </w:tblGrid>
      <w:tr w:rsidR="00284957" w:rsidRPr="00132F96" w:rsidTr="00C53587">
        <w:trPr>
          <w:trHeight w:val="1063"/>
        </w:trPr>
        <w:tc>
          <w:tcPr>
            <w:tcW w:w="2328"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Година</w:t>
            </w:r>
          </w:p>
        </w:tc>
        <w:tc>
          <w:tcPr>
            <w:tcW w:w="2074" w:type="dxa"/>
            <w:tcBorders>
              <w:top w:val="single" w:sz="4" w:space="0" w:color="auto"/>
              <w:left w:val="nil"/>
              <w:bottom w:val="single" w:sz="4" w:space="0" w:color="auto"/>
              <w:right w:val="single" w:sz="4" w:space="0" w:color="auto"/>
            </w:tcBorders>
            <w:shd w:val="clear" w:color="000000" w:fill="FCD5B4"/>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Въздействия</w:t>
            </w:r>
            <w:r w:rsidRPr="00C53587">
              <w:rPr>
                <w:rFonts w:eastAsia="Times New Roman"/>
                <w:b/>
                <w:bCs/>
                <w:color w:val="000000"/>
                <w:sz w:val="22"/>
                <w:szCs w:val="20"/>
                <w:lang w:val="bg-BG" w:eastAsia="bg-BG"/>
              </w:rPr>
              <w:br/>
              <w:t>(брой)</w:t>
            </w:r>
          </w:p>
        </w:tc>
        <w:tc>
          <w:tcPr>
            <w:tcW w:w="2075" w:type="dxa"/>
            <w:tcBorders>
              <w:top w:val="single" w:sz="4" w:space="0" w:color="auto"/>
              <w:left w:val="nil"/>
              <w:bottom w:val="single" w:sz="4" w:space="0" w:color="auto"/>
              <w:right w:val="single" w:sz="4" w:space="0" w:color="auto"/>
            </w:tcBorders>
            <w:shd w:val="clear" w:color="000000" w:fill="FCD5B4"/>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Стойност на спасената продукция</w:t>
            </w:r>
            <w:r w:rsidRPr="00C53587">
              <w:rPr>
                <w:rFonts w:eastAsia="Times New Roman"/>
                <w:b/>
                <w:bCs/>
                <w:color w:val="000000"/>
                <w:sz w:val="22"/>
                <w:szCs w:val="20"/>
                <w:lang w:val="bg-BG" w:eastAsia="bg-BG"/>
              </w:rPr>
              <w:br/>
              <w:t>(лева)</w:t>
            </w:r>
          </w:p>
        </w:tc>
      </w:tr>
      <w:tr w:rsidR="00284957" w:rsidRPr="00284957" w:rsidTr="00C53587">
        <w:trPr>
          <w:trHeight w:val="439"/>
        </w:trPr>
        <w:tc>
          <w:tcPr>
            <w:tcW w:w="2328" w:type="dxa"/>
            <w:tcBorders>
              <w:top w:val="nil"/>
              <w:left w:val="single" w:sz="4" w:space="0" w:color="auto"/>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2013</w:t>
            </w:r>
          </w:p>
        </w:tc>
        <w:tc>
          <w:tcPr>
            <w:tcW w:w="2074"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160</w:t>
            </w:r>
          </w:p>
        </w:tc>
        <w:tc>
          <w:tcPr>
            <w:tcW w:w="2075"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95 673 394</w:t>
            </w:r>
          </w:p>
        </w:tc>
      </w:tr>
      <w:tr w:rsidR="00284957" w:rsidRPr="00284957" w:rsidTr="00C53587">
        <w:trPr>
          <w:trHeight w:val="439"/>
        </w:trPr>
        <w:tc>
          <w:tcPr>
            <w:tcW w:w="2328" w:type="dxa"/>
            <w:tcBorders>
              <w:top w:val="nil"/>
              <w:left w:val="single" w:sz="4" w:space="0" w:color="auto"/>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2014</w:t>
            </w:r>
          </w:p>
        </w:tc>
        <w:tc>
          <w:tcPr>
            <w:tcW w:w="2074"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328</w:t>
            </w:r>
          </w:p>
        </w:tc>
        <w:tc>
          <w:tcPr>
            <w:tcW w:w="2075"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90 718 172</w:t>
            </w:r>
          </w:p>
        </w:tc>
      </w:tr>
      <w:tr w:rsidR="00284957" w:rsidRPr="00284957" w:rsidTr="00C53587">
        <w:trPr>
          <w:trHeight w:val="439"/>
        </w:trPr>
        <w:tc>
          <w:tcPr>
            <w:tcW w:w="2328" w:type="dxa"/>
            <w:tcBorders>
              <w:top w:val="nil"/>
              <w:left w:val="single" w:sz="4" w:space="0" w:color="auto"/>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2015</w:t>
            </w:r>
          </w:p>
        </w:tc>
        <w:tc>
          <w:tcPr>
            <w:tcW w:w="2074"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142</w:t>
            </w:r>
          </w:p>
        </w:tc>
        <w:tc>
          <w:tcPr>
            <w:tcW w:w="2075"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77 764 031</w:t>
            </w:r>
          </w:p>
        </w:tc>
      </w:tr>
      <w:tr w:rsidR="00284957" w:rsidRPr="00284957" w:rsidTr="00C53587">
        <w:trPr>
          <w:trHeight w:val="439"/>
        </w:trPr>
        <w:tc>
          <w:tcPr>
            <w:tcW w:w="2328" w:type="dxa"/>
            <w:tcBorders>
              <w:top w:val="nil"/>
              <w:left w:val="single" w:sz="4" w:space="0" w:color="auto"/>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2016</w:t>
            </w:r>
          </w:p>
        </w:tc>
        <w:tc>
          <w:tcPr>
            <w:tcW w:w="2074"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219</w:t>
            </w:r>
          </w:p>
        </w:tc>
        <w:tc>
          <w:tcPr>
            <w:tcW w:w="2075"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102 255 070</w:t>
            </w:r>
          </w:p>
        </w:tc>
      </w:tr>
      <w:tr w:rsidR="00284957" w:rsidRPr="00284957" w:rsidTr="00C53587">
        <w:trPr>
          <w:trHeight w:val="439"/>
        </w:trPr>
        <w:tc>
          <w:tcPr>
            <w:tcW w:w="2328" w:type="dxa"/>
            <w:tcBorders>
              <w:top w:val="nil"/>
              <w:left w:val="single" w:sz="4" w:space="0" w:color="auto"/>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2017</w:t>
            </w:r>
          </w:p>
        </w:tc>
        <w:tc>
          <w:tcPr>
            <w:tcW w:w="2074"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154</w:t>
            </w:r>
          </w:p>
        </w:tc>
        <w:tc>
          <w:tcPr>
            <w:tcW w:w="2075"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63 610 740</w:t>
            </w:r>
          </w:p>
        </w:tc>
      </w:tr>
      <w:tr w:rsidR="00284957" w:rsidRPr="00284957" w:rsidTr="00C53587">
        <w:trPr>
          <w:trHeight w:val="601"/>
        </w:trPr>
        <w:tc>
          <w:tcPr>
            <w:tcW w:w="2328" w:type="dxa"/>
            <w:tcBorders>
              <w:top w:val="nil"/>
              <w:left w:val="single" w:sz="4" w:space="0" w:color="auto"/>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left"/>
              <w:rPr>
                <w:rFonts w:eastAsia="Times New Roman"/>
                <w:b/>
                <w:bCs/>
                <w:color w:val="000000"/>
                <w:sz w:val="22"/>
                <w:lang w:val="bg-BG" w:eastAsia="bg-BG"/>
              </w:rPr>
            </w:pPr>
            <w:r w:rsidRPr="00C53587">
              <w:rPr>
                <w:rFonts w:eastAsia="Times New Roman"/>
                <w:b/>
                <w:bCs/>
                <w:color w:val="000000"/>
                <w:sz w:val="22"/>
                <w:lang w:val="bg-BG" w:eastAsia="bg-BG"/>
              </w:rPr>
              <w:t xml:space="preserve">Средно за периода </w:t>
            </w:r>
          </w:p>
        </w:tc>
        <w:tc>
          <w:tcPr>
            <w:tcW w:w="2074"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b/>
                <w:color w:val="000000"/>
                <w:sz w:val="22"/>
                <w:szCs w:val="20"/>
                <w:lang w:val="bg-BG" w:eastAsia="bg-BG"/>
              </w:rPr>
            </w:pPr>
            <w:r w:rsidRPr="00C53587">
              <w:rPr>
                <w:rFonts w:eastAsia="Times New Roman"/>
                <w:b/>
                <w:color w:val="000000"/>
                <w:sz w:val="22"/>
                <w:szCs w:val="20"/>
                <w:lang w:val="bg-BG" w:eastAsia="bg-BG"/>
              </w:rPr>
              <w:t>201</w:t>
            </w:r>
          </w:p>
        </w:tc>
        <w:tc>
          <w:tcPr>
            <w:tcW w:w="2075" w:type="dxa"/>
            <w:tcBorders>
              <w:top w:val="nil"/>
              <w:left w:val="nil"/>
              <w:bottom w:val="single" w:sz="4" w:space="0" w:color="auto"/>
              <w:right w:val="single" w:sz="4" w:space="0" w:color="auto"/>
            </w:tcBorders>
            <w:shd w:val="clear" w:color="auto" w:fill="auto"/>
            <w:vAlign w:val="center"/>
            <w:hideMark/>
          </w:tcPr>
          <w:p w:rsidR="00284957" w:rsidRPr="00C53587" w:rsidRDefault="00284957" w:rsidP="00284957">
            <w:pPr>
              <w:spacing w:after="0" w:line="240" w:lineRule="auto"/>
              <w:jc w:val="right"/>
              <w:rPr>
                <w:rFonts w:eastAsia="Times New Roman"/>
                <w:b/>
                <w:color w:val="000000"/>
                <w:sz w:val="22"/>
                <w:szCs w:val="20"/>
                <w:lang w:val="bg-BG" w:eastAsia="bg-BG"/>
              </w:rPr>
            </w:pPr>
            <w:r w:rsidRPr="00C53587">
              <w:rPr>
                <w:rFonts w:eastAsia="Times New Roman"/>
                <w:b/>
                <w:color w:val="000000"/>
                <w:sz w:val="22"/>
                <w:szCs w:val="20"/>
                <w:lang w:val="bg-BG" w:eastAsia="bg-BG"/>
              </w:rPr>
              <w:t>88 064 344</w:t>
            </w:r>
          </w:p>
        </w:tc>
      </w:tr>
    </w:tbl>
    <w:p w:rsidR="0097796A" w:rsidRDefault="0097796A" w:rsidP="0097796A">
      <w:pPr>
        <w:spacing w:after="0" w:line="240" w:lineRule="auto"/>
        <w:rPr>
          <w:sz w:val="16"/>
          <w:szCs w:val="16"/>
          <w:lang w:val="bg-BG"/>
        </w:rPr>
      </w:pPr>
      <w:r w:rsidRPr="00EA7BE6">
        <w:rPr>
          <w:b/>
          <w:sz w:val="16"/>
          <w:szCs w:val="16"/>
          <w:lang w:val="bg-BG"/>
        </w:rPr>
        <w:t>Забележка:</w:t>
      </w:r>
      <w:r w:rsidRPr="00EA7BE6">
        <w:rPr>
          <w:sz w:val="16"/>
          <w:szCs w:val="16"/>
          <w:lang w:val="bg-BG"/>
        </w:rPr>
        <w:t xml:space="preserve"> Изчисленията за стойността на спасената продукция са предоставени от </w:t>
      </w:r>
    </w:p>
    <w:p w:rsidR="00284957" w:rsidRDefault="0097796A" w:rsidP="0097796A">
      <w:pPr>
        <w:spacing w:after="0" w:line="240" w:lineRule="auto"/>
        <w:rPr>
          <w:sz w:val="22"/>
          <w:lang w:val="bg-BG"/>
        </w:rPr>
      </w:pPr>
      <w:r w:rsidRPr="00EA7BE6">
        <w:rPr>
          <w:sz w:val="16"/>
          <w:szCs w:val="16"/>
          <w:lang w:val="bg-BG"/>
        </w:rPr>
        <w:t>Изпълнителна агенция „Борба с градушките“</w:t>
      </w:r>
      <w:r w:rsidRPr="00EA7BE6">
        <w:rPr>
          <w:sz w:val="22"/>
          <w:lang w:val="bg-BG"/>
        </w:rPr>
        <w:tab/>
      </w:r>
    </w:p>
    <w:p w:rsidR="00284957" w:rsidRDefault="00284957" w:rsidP="00FC42EE">
      <w:pPr>
        <w:spacing w:after="120"/>
        <w:rPr>
          <w:sz w:val="22"/>
          <w:lang w:val="bg-BG"/>
        </w:rPr>
      </w:pPr>
    </w:p>
    <w:p w:rsidR="00EC2894" w:rsidRPr="00EA7BE6" w:rsidRDefault="002143AB" w:rsidP="00FC42EE">
      <w:pPr>
        <w:spacing w:after="120"/>
        <w:rPr>
          <w:sz w:val="22"/>
          <w:lang w:val="bg-BG"/>
        </w:rPr>
      </w:pPr>
      <w:r w:rsidRPr="00EA7BE6">
        <w:rPr>
          <w:sz w:val="22"/>
          <w:lang w:val="bg-BG"/>
        </w:rPr>
        <w:t>Данните в Таблица 1 показват стойността на спасената продукция само за 1/3 от страната – територията върху която към настоящия момент Изпълнителна агенция „Борба с градушките“</w:t>
      </w:r>
      <w:r w:rsidR="00D87244" w:rsidRPr="00EA7BE6">
        <w:rPr>
          <w:sz w:val="22"/>
          <w:lang w:val="bg-BG"/>
        </w:rPr>
        <w:t xml:space="preserve"> </w:t>
      </w:r>
      <w:r w:rsidRPr="00EA7BE6">
        <w:rPr>
          <w:sz w:val="22"/>
          <w:lang w:val="bg-BG"/>
        </w:rPr>
        <w:t>осъществява своята превантивна дейност.</w:t>
      </w:r>
    </w:p>
    <w:p w:rsidR="0055216F" w:rsidRPr="00EA7BE6" w:rsidRDefault="0055216F" w:rsidP="0055216F">
      <w:pPr>
        <w:spacing w:after="120"/>
        <w:rPr>
          <w:sz w:val="22"/>
          <w:lang w:val="bg-BG"/>
        </w:rPr>
      </w:pPr>
      <w:r w:rsidRPr="00EA7BE6">
        <w:rPr>
          <w:sz w:val="22"/>
          <w:lang w:val="bg-BG"/>
        </w:rPr>
        <w:t xml:space="preserve">Съгласно действащия Устройствен правилник числеността на персонала на агенцията е 593 щатни бройки (включително изпълнителен директор и главен секретар). </w:t>
      </w:r>
    </w:p>
    <w:p w:rsidR="00CF0993" w:rsidRPr="00284957" w:rsidRDefault="0055216F" w:rsidP="0055216F">
      <w:pPr>
        <w:spacing w:after="120"/>
        <w:rPr>
          <w:sz w:val="22"/>
          <w:lang w:val="bg-BG"/>
        </w:rPr>
      </w:pPr>
      <w:r w:rsidRPr="00EA7BE6">
        <w:rPr>
          <w:sz w:val="22"/>
          <w:lang w:val="bg-BG"/>
        </w:rPr>
        <w:t xml:space="preserve">Към </w:t>
      </w:r>
      <w:r w:rsidR="00837CBA" w:rsidRPr="00EA7BE6">
        <w:rPr>
          <w:sz w:val="22"/>
          <w:lang w:val="bg-BG"/>
        </w:rPr>
        <w:t>месец юни 2017 г.</w:t>
      </w:r>
      <w:r w:rsidRPr="00EA7BE6">
        <w:rPr>
          <w:sz w:val="22"/>
          <w:lang w:val="bg-BG"/>
        </w:rPr>
        <w:t xml:space="preserve">, реалната численост на Изпълнителна агенция „Борба с градушките“ възлиза на 772 бройки – численост, която по преценка на агенцията е абсолютният минимум, под който тя не би могла да функционира при сегашния размер на защитаваната територия и обслужваните техническите средства. Около 70% от персонала са </w:t>
      </w:r>
      <w:proofErr w:type="spellStart"/>
      <w:r w:rsidRPr="00EA7BE6">
        <w:rPr>
          <w:sz w:val="22"/>
          <w:lang w:val="bg-BG"/>
        </w:rPr>
        <w:t>ракетострелци</w:t>
      </w:r>
      <w:proofErr w:type="spellEnd"/>
      <w:r w:rsidRPr="00EA7BE6">
        <w:rPr>
          <w:sz w:val="22"/>
          <w:lang w:val="bg-BG"/>
        </w:rPr>
        <w:t>, като за обслужването на една ракетна площ</w:t>
      </w:r>
      <w:r w:rsidR="00284957">
        <w:rPr>
          <w:sz w:val="22"/>
          <w:lang w:val="bg-BG"/>
        </w:rPr>
        <w:t>адка са необходими трима души.</w:t>
      </w:r>
    </w:p>
    <w:p w:rsidR="0097796A" w:rsidRDefault="0097796A" w:rsidP="00284957">
      <w:pPr>
        <w:spacing w:after="0"/>
        <w:rPr>
          <w:b/>
          <w:sz w:val="22"/>
          <w:lang w:val="bg-BG"/>
        </w:rPr>
      </w:pPr>
    </w:p>
    <w:p w:rsidR="0097796A" w:rsidRDefault="0097796A" w:rsidP="00284957">
      <w:pPr>
        <w:spacing w:after="0"/>
        <w:rPr>
          <w:b/>
          <w:sz w:val="22"/>
          <w:lang w:val="bg-BG"/>
        </w:rPr>
      </w:pPr>
    </w:p>
    <w:p w:rsidR="0097796A" w:rsidRDefault="0097796A" w:rsidP="00284957">
      <w:pPr>
        <w:spacing w:after="0"/>
        <w:rPr>
          <w:b/>
          <w:sz w:val="22"/>
          <w:lang w:val="bg-BG"/>
        </w:rPr>
      </w:pPr>
    </w:p>
    <w:p w:rsidR="0055216F" w:rsidRPr="00EA7BE6" w:rsidRDefault="0055216F" w:rsidP="00284957">
      <w:pPr>
        <w:spacing w:after="0"/>
        <w:rPr>
          <w:b/>
          <w:sz w:val="22"/>
          <w:lang w:val="bg-BG"/>
        </w:rPr>
      </w:pPr>
      <w:r w:rsidRPr="00EA7BE6">
        <w:rPr>
          <w:b/>
          <w:sz w:val="22"/>
          <w:lang w:val="bg-BG"/>
        </w:rPr>
        <w:lastRenderedPageBreak/>
        <w:t xml:space="preserve">Таблица </w:t>
      </w:r>
      <w:r w:rsidRPr="00EA7BE6">
        <w:rPr>
          <w:b/>
          <w:sz w:val="22"/>
          <w:lang w:val="ru-RU"/>
        </w:rPr>
        <w:t>2</w:t>
      </w:r>
      <w:r w:rsidRPr="00EA7BE6">
        <w:rPr>
          <w:b/>
          <w:sz w:val="22"/>
          <w:lang w:val="bg-BG"/>
        </w:rPr>
        <w:t xml:space="preserve"> </w:t>
      </w:r>
    </w:p>
    <w:p w:rsidR="0055216F" w:rsidRPr="00EA7BE6" w:rsidRDefault="0055216F" w:rsidP="00284957">
      <w:pPr>
        <w:spacing w:after="0"/>
        <w:rPr>
          <w:b/>
          <w:sz w:val="22"/>
          <w:lang w:val="bg-BG"/>
        </w:rPr>
      </w:pPr>
      <w:r w:rsidRPr="00EA7BE6">
        <w:rPr>
          <w:b/>
          <w:sz w:val="22"/>
          <w:lang w:val="bg-BG"/>
        </w:rPr>
        <w:t>Численост на персонала на Изпълнителна агенция „Борба с градушките“ за периода 2015-2017 г.</w:t>
      </w: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672"/>
        <w:gridCol w:w="1672"/>
        <w:gridCol w:w="1672"/>
        <w:gridCol w:w="1673"/>
      </w:tblGrid>
      <w:tr w:rsidR="0055216F" w:rsidRPr="00EA7BE6" w:rsidTr="0097796A">
        <w:trPr>
          <w:trHeight w:val="938"/>
          <w:jc w:val="center"/>
        </w:trPr>
        <w:tc>
          <w:tcPr>
            <w:tcW w:w="3124" w:type="dxa"/>
            <w:shd w:val="clear" w:color="auto" w:fill="auto"/>
            <w:vAlign w:val="center"/>
          </w:tcPr>
          <w:p w:rsidR="0055216F" w:rsidRPr="00EA7BE6" w:rsidRDefault="0055216F" w:rsidP="00284957">
            <w:pPr>
              <w:spacing w:after="120"/>
              <w:jc w:val="left"/>
              <w:rPr>
                <w:sz w:val="22"/>
                <w:lang w:val="bg-BG"/>
              </w:rPr>
            </w:pPr>
          </w:p>
        </w:tc>
        <w:tc>
          <w:tcPr>
            <w:tcW w:w="1672" w:type="dxa"/>
            <w:shd w:val="clear" w:color="auto" w:fill="auto"/>
            <w:vAlign w:val="center"/>
          </w:tcPr>
          <w:p w:rsidR="00284957" w:rsidRDefault="0055216F" w:rsidP="00284957">
            <w:pPr>
              <w:spacing w:after="0" w:line="240" w:lineRule="auto"/>
              <w:jc w:val="center"/>
              <w:rPr>
                <w:b/>
                <w:sz w:val="22"/>
                <w:lang w:val="bg-BG"/>
              </w:rPr>
            </w:pPr>
            <w:r w:rsidRPr="00EA7BE6">
              <w:rPr>
                <w:b/>
                <w:sz w:val="22"/>
                <w:lang w:val="bg-BG"/>
              </w:rPr>
              <w:t xml:space="preserve">Численост на персонала към </w:t>
            </w:r>
          </w:p>
          <w:p w:rsidR="0055216F" w:rsidRPr="00EA7BE6" w:rsidRDefault="0055216F" w:rsidP="00284957">
            <w:pPr>
              <w:spacing w:after="0" w:line="240" w:lineRule="auto"/>
              <w:jc w:val="center"/>
              <w:rPr>
                <w:b/>
                <w:sz w:val="22"/>
                <w:lang w:val="bg-BG"/>
              </w:rPr>
            </w:pPr>
            <w:r w:rsidRPr="00EA7BE6">
              <w:rPr>
                <w:b/>
                <w:sz w:val="22"/>
                <w:lang w:val="bg-BG"/>
              </w:rPr>
              <w:t>м.</w:t>
            </w:r>
            <w:r w:rsidR="0047758C" w:rsidRPr="00EA7BE6">
              <w:rPr>
                <w:b/>
                <w:sz w:val="22"/>
                <w:lang w:val="bg-BG"/>
              </w:rPr>
              <w:t xml:space="preserve"> </w:t>
            </w:r>
            <w:r w:rsidRPr="00EA7BE6">
              <w:rPr>
                <w:b/>
                <w:sz w:val="22"/>
                <w:lang w:val="bg-BG"/>
              </w:rPr>
              <w:t>декември 2015 г.</w:t>
            </w:r>
          </w:p>
          <w:p w:rsidR="0055216F" w:rsidRPr="00EA7BE6" w:rsidRDefault="0055216F" w:rsidP="00284957">
            <w:pPr>
              <w:spacing w:after="0" w:line="240" w:lineRule="auto"/>
              <w:jc w:val="center"/>
              <w:rPr>
                <w:b/>
                <w:sz w:val="22"/>
                <w:lang w:val="bg-BG"/>
              </w:rPr>
            </w:pPr>
            <w:r w:rsidRPr="00EA7BE6">
              <w:rPr>
                <w:b/>
                <w:sz w:val="22"/>
                <w:lang w:val="bg-BG"/>
              </w:rPr>
              <w:t>(брой)</w:t>
            </w:r>
          </w:p>
        </w:tc>
        <w:tc>
          <w:tcPr>
            <w:tcW w:w="1672" w:type="dxa"/>
            <w:shd w:val="clear" w:color="auto" w:fill="auto"/>
            <w:vAlign w:val="center"/>
          </w:tcPr>
          <w:p w:rsidR="0055216F" w:rsidRPr="00EA7BE6" w:rsidRDefault="0055216F" w:rsidP="00284957">
            <w:pPr>
              <w:spacing w:after="0" w:line="240" w:lineRule="auto"/>
              <w:jc w:val="center"/>
              <w:rPr>
                <w:b/>
                <w:sz w:val="22"/>
                <w:lang w:val="bg-BG"/>
              </w:rPr>
            </w:pPr>
            <w:r w:rsidRPr="00EA7BE6">
              <w:rPr>
                <w:b/>
                <w:sz w:val="22"/>
                <w:lang w:val="bg-BG"/>
              </w:rPr>
              <w:t>Численост на персонала към м.</w:t>
            </w:r>
            <w:r w:rsidR="0047758C" w:rsidRPr="00EA7BE6">
              <w:rPr>
                <w:b/>
                <w:sz w:val="22"/>
                <w:lang w:val="bg-BG"/>
              </w:rPr>
              <w:t xml:space="preserve"> </w:t>
            </w:r>
            <w:r w:rsidRPr="00EA7BE6">
              <w:rPr>
                <w:b/>
                <w:sz w:val="22"/>
                <w:lang w:val="bg-BG"/>
              </w:rPr>
              <w:t>май 2016 г.</w:t>
            </w:r>
          </w:p>
          <w:p w:rsidR="0055216F" w:rsidRPr="00EA7BE6" w:rsidRDefault="0055216F" w:rsidP="00284957">
            <w:pPr>
              <w:spacing w:after="0" w:line="240" w:lineRule="auto"/>
              <w:jc w:val="center"/>
              <w:rPr>
                <w:b/>
                <w:sz w:val="22"/>
                <w:lang w:val="bg-BG"/>
              </w:rPr>
            </w:pPr>
            <w:r w:rsidRPr="00EA7BE6">
              <w:rPr>
                <w:b/>
                <w:sz w:val="22"/>
                <w:lang w:val="bg-BG"/>
              </w:rPr>
              <w:t>(брой)</w:t>
            </w:r>
          </w:p>
        </w:tc>
        <w:tc>
          <w:tcPr>
            <w:tcW w:w="1672" w:type="dxa"/>
            <w:shd w:val="clear" w:color="auto" w:fill="auto"/>
            <w:vAlign w:val="center"/>
          </w:tcPr>
          <w:p w:rsidR="0055216F" w:rsidRPr="00EA7BE6" w:rsidRDefault="0055216F" w:rsidP="00284957">
            <w:pPr>
              <w:spacing w:after="0" w:line="240" w:lineRule="auto"/>
              <w:jc w:val="center"/>
              <w:rPr>
                <w:b/>
                <w:sz w:val="22"/>
                <w:lang w:val="bg-BG"/>
              </w:rPr>
            </w:pPr>
            <w:r w:rsidRPr="00EA7BE6">
              <w:rPr>
                <w:b/>
                <w:sz w:val="22"/>
                <w:lang w:val="bg-BG"/>
              </w:rPr>
              <w:t>Численост на персонала към м.</w:t>
            </w:r>
            <w:r w:rsidR="0047758C" w:rsidRPr="00EA7BE6">
              <w:rPr>
                <w:b/>
                <w:sz w:val="22"/>
                <w:lang w:val="bg-BG"/>
              </w:rPr>
              <w:t xml:space="preserve"> </w:t>
            </w:r>
            <w:r w:rsidRPr="00EA7BE6">
              <w:rPr>
                <w:b/>
                <w:sz w:val="22"/>
                <w:lang w:val="bg-BG"/>
              </w:rPr>
              <w:t>юни 2017 г.</w:t>
            </w:r>
          </w:p>
          <w:p w:rsidR="0055216F" w:rsidRPr="00EA7BE6" w:rsidRDefault="0055216F" w:rsidP="00284957">
            <w:pPr>
              <w:spacing w:after="0" w:line="240" w:lineRule="auto"/>
              <w:jc w:val="center"/>
              <w:rPr>
                <w:b/>
                <w:sz w:val="22"/>
                <w:lang w:val="bg-BG"/>
              </w:rPr>
            </w:pPr>
            <w:r w:rsidRPr="00EA7BE6">
              <w:rPr>
                <w:b/>
                <w:sz w:val="22"/>
                <w:lang w:val="bg-BG"/>
              </w:rPr>
              <w:t>(брой)</w:t>
            </w:r>
          </w:p>
        </w:tc>
        <w:tc>
          <w:tcPr>
            <w:tcW w:w="1673" w:type="dxa"/>
            <w:shd w:val="clear" w:color="auto" w:fill="auto"/>
            <w:vAlign w:val="center"/>
          </w:tcPr>
          <w:p w:rsidR="0055216F" w:rsidRPr="00EA7BE6" w:rsidRDefault="0055216F" w:rsidP="00284957">
            <w:pPr>
              <w:spacing w:after="0" w:line="240" w:lineRule="auto"/>
              <w:jc w:val="center"/>
              <w:rPr>
                <w:b/>
                <w:sz w:val="22"/>
                <w:lang w:val="bg-BG"/>
              </w:rPr>
            </w:pPr>
            <w:r w:rsidRPr="00EA7BE6">
              <w:rPr>
                <w:b/>
                <w:sz w:val="22"/>
                <w:lang w:val="bg-BG"/>
              </w:rPr>
              <w:t>Незаети бройки</w:t>
            </w:r>
          </w:p>
          <w:p w:rsidR="0055216F" w:rsidRPr="00EA7BE6" w:rsidRDefault="00284957" w:rsidP="00284957">
            <w:pPr>
              <w:spacing w:after="0" w:line="240" w:lineRule="auto"/>
              <w:jc w:val="center"/>
              <w:rPr>
                <w:b/>
                <w:sz w:val="22"/>
                <w:lang w:val="bg-BG"/>
              </w:rPr>
            </w:pPr>
            <w:r>
              <w:rPr>
                <w:b/>
                <w:sz w:val="22"/>
                <w:lang w:val="bg-BG"/>
              </w:rPr>
              <w:t>к</w:t>
            </w:r>
            <w:r w:rsidR="0055216F" w:rsidRPr="00EA7BE6">
              <w:rPr>
                <w:b/>
                <w:sz w:val="22"/>
                <w:lang w:val="bg-BG"/>
              </w:rPr>
              <w:t>ъм м.</w:t>
            </w:r>
            <w:r w:rsidR="0047758C" w:rsidRPr="00EA7BE6">
              <w:rPr>
                <w:b/>
                <w:sz w:val="22"/>
                <w:lang w:val="bg-BG"/>
              </w:rPr>
              <w:t xml:space="preserve"> </w:t>
            </w:r>
            <w:r w:rsidR="0055216F" w:rsidRPr="00EA7BE6">
              <w:rPr>
                <w:b/>
                <w:sz w:val="22"/>
                <w:lang w:val="bg-BG"/>
              </w:rPr>
              <w:t>юни</w:t>
            </w:r>
          </w:p>
          <w:p w:rsidR="0055216F" w:rsidRPr="00EA7BE6" w:rsidRDefault="0055216F" w:rsidP="00284957">
            <w:pPr>
              <w:spacing w:after="0" w:line="240" w:lineRule="auto"/>
              <w:jc w:val="center"/>
              <w:rPr>
                <w:b/>
                <w:sz w:val="22"/>
                <w:lang w:val="bg-BG"/>
              </w:rPr>
            </w:pPr>
            <w:r w:rsidRPr="00EA7BE6">
              <w:rPr>
                <w:b/>
                <w:sz w:val="22"/>
                <w:lang w:val="bg-BG"/>
              </w:rPr>
              <w:t>2017</w:t>
            </w:r>
            <w:r w:rsidR="00284957">
              <w:rPr>
                <w:b/>
                <w:sz w:val="22"/>
                <w:lang w:val="bg-BG"/>
              </w:rPr>
              <w:t xml:space="preserve"> </w:t>
            </w:r>
            <w:r w:rsidRPr="00EA7BE6">
              <w:rPr>
                <w:b/>
                <w:sz w:val="22"/>
                <w:lang w:val="bg-BG"/>
              </w:rPr>
              <w:t>г.</w:t>
            </w:r>
          </w:p>
          <w:p w:rsidR="0055216F" w:rsidRPr="00EA7BE6" w:rsidRDefault="0055216F" w:rsidP="00284957">
            <w:pPr>
              <w:spacing w:after="0" w:line="240" w:lineRule="auto"/>
              <w:jc w:val="center"/>
              <w:rPr>
                <w:b/>
                <w:sz w:val="22"/>
                <w:lang w:val="bg-BG"/>
              </w:rPr>
            </w:pPr>
            <w:r w:rsidRPr="00EA7BE6">
              <w:rPr>
                <w:b/>
                <w:sz w:val="22"/>
                <w:lang w:val="bg-BG"/>
              </w:rPr>
              <w:t>(брой)</w:t>
            </w:r>
          </w:p>
        </w:tc>
      </w:tr>
      <w:tr w:rsidR="0055216F" w:rsidRPr="00EA7BE6" w:rsidTr="0097796A">
        <w:trPr>
          <w:trHeight w:val="448"/>
          <w:jc w:val="center"/>
        </w:trPr>
        <w:tc>
          <w:tcPr>
            <w:tcW w:w="3124" w:type="dxa"/>
            <w:shd w:val="clear" w:color="auto" w:fill="FFFFFF" w:themeFill="background1"/>
            <w:vAlign w:val="center"/>
          </w:tcPr>
          <w:p w:rsidR="0055216F" w:rsidRPr="00EA7BE6" w:rsidRDefault="0055216F" w:rsidP="0097796A">
            <w:pPr>
              <w:spacing w:after="0" w:line="240" w:lineRule="auto"/>
              <w:jc w:val="left"/>
              <w:rPr>
                <w:b/>
                <w:sz w:val="22"/>
                <w:lang w:val="bg-BG"/>
              </w:rPr>
            </w:pPr>
            <w:r w:rsidRPr="00EA7BE6">
              <w:rPr>
                <w:b/>
                <w:sz w:val="22"/>
                <w:lang w:val="bg-BG"/>
              </w:rPr>
              <w:t>ОБЩО</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758</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732</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772</w:t>
            </w:r>
          </w:p>
        </w:tc>
        <w:tc>
          <w:tcPr>
            <w:tcW w:w="1673" w:type="dxa"/>
            <w:shd w:val="clear" w:color="auto" w:fill="FFFFFF" w:themeFill="background1"/>
            <w:vAlign w:val="center"/>
          </w:tcPr>
          <w:p w:rsidR="0055216F" w:rsidRPr="00EA7BE6" w:rsidRDefault="0055216F" w:rsidP="0097796A">
            <w:pPr>
              <w:spacing w:after="0" w:line="240" w:lineRule="auto"/>
              <w:jc w:val="right"/>
              <w:rPr>
                <w:b/>
                <w:sz w:val="22"/>
              </w:rPr>
            </w:pPr>
            <w:r w:rsidRPr="00EA7BE6">
              <w:rPr>
                <w:b/>
                <w:sz w:val="22"/>
              </w:rPr>
              <w:t>24</w:t>
            </w:r>
          </w:p>
        </w:tc>
      </w:tr>
      <w:tr w:rsidR="0055216F" w:rsidRPr="00EA7BE6" w:rsidTr="0097796A">
        <w:trPr>
          <w:trHeight w:val="306"/>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Изпълнителен директор</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0</w:t>
            </w:r>
          </w:p>
        </w:tc>
      </w:tr>
      <w:tr w:rsidR="0055216F" w:rsidRPr="00EA7BE6" w:rsidTr="0097796A">
        <w:trPr>
          <w:trHeight w:val="292"/>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Главен секретар</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0</w:t>
            </w:r>
          </w:p>
        </w:tc>
      </w:tr>
      <w:tr w:rsidR="0055216F" w:rsidRPr="00EA7BE6" w:rsidTr="0097796A">
        <w:trPr>
          <w:trHeight w:val="598"/>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Служител по сигурността на информацията</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0</w:t>
            </w:r>
          </w:p>
        </w:tc>
      </w:tr>
      <w:tr w:rsidR="0055216F" w:rsidRPr="00EA7BE6" w:rsidTr="0097796A">
        <w:trPr>
          <w:trHeight w:val="715"/>
          <w:jc w:val="center"/>
        </w:trPr>
        <w:tc>
          <w:tcPr>
            <w:tcW w:w="3124" w:type="dxa"/>
            <w:shd w:val="clear" w:color="auto" w:fill="FFFFFF" w:themeFill="background1"/>
            <w:vAlign w:val="center"/>
          </w:tcPr>
          <w:p w:rsidR="0055216F" w:rsidRPr="00EA7BE6" w:rsidRDefault="0055216F" w:rsidP="0097796A">
            <w:pPr>
              <w:spacing w:after="0" w:line="240" w:lineRule="auto"/>
              <w:jc w:val="left"/>
              <w:rPr>
                <w:sz w:val="22"/>
                <w:lang w:val="bg-BG"/>
              </w:rPr>
            </w:pPr>
            <w:r w:rsidRPr="00EA7BE6">
              <w:rPr>
                <w:b/>
                <w:sz w:val="22"/>
                <w:lang w:val="bg-BG"/>
              </w:rPr>
              <w:t xml:space="preserve">Обща администрация: </w:t>
            </w:r>
            <w:r w:rsidRPr="00EA7BE6">
              <w:rPr>
                <w:sz w:val="22"/>
                <w:lang w:val="bg-BG"/>
              </w:rPr>
              <w:t>Финансово, стопански и правни дейности, в т.ч. и в териториалните структури</w:t>
            </w:r>
          </w:p>
        </w:tc>
        <w:tc>
          <w:tcPr>
            <w:tcW w:w="1672" w:type="dxa"/>
            <w:shd w:val="clear" w:color="auto" w:fill="FFFFFF" w:themeFill="background1"/>
            <w:vAlign w:val="center"/>
          </w:tcPr>
          <w:p w:rsidR="0055216F" w:rsidRPr="00EA7BE6" w:rsidRDefault="0055216F" w:rsidP="0097796A">
            <w:pPr>
              <w:spacing w:after="0" w:line="240" w:lineRule="auto"/>
              <w:jc w:val="right"/>
              <w:rPr>
                <w:sz w:val="22"/>
                <w:lang w:val="bg-BG"/>
              </w:rPr>
            </w:pPr>
            <w:r w:rsidRPr="00EA7BE6">
              <w:rPr>
                <w:sz w:val="22"/>
                <w:lang w:val="bg-BG"/>
              </w:rPr>
              <w:t>33</w:t>
            </w:r>
          </w:p>
        </w:tc>
        <w:tc>
          <w:tcPr>
            <w:tcW w:w="1672" w:type="dxa"/>
            <w:shd w:val="clear" w:color="auto" w:fill="FFFFFF" w:themeFill="background1"/>
            <w:vAlign w:val="center"/>
          </w:tcPr>
          <w:p w:rsidR="0055216F" w:rsidRPr="00EA7BE6" w:rsidRDefault="0055216F" w:rsidP="0097796A">
            <w:pPr>
              <w:spacing w:after="0" w:line="240" w:lineRule="auto"/>
              <w:jc w:val="right"/>
              <w:rPr>
                <w:sz w:val="22"/>
                <w:lang w:val="bg-BG"/>
              </w:rPr>
            </w:pPr>
            <w:r w:rsidRPr="00EA7BE6">
              <w:rPr>
                <w:sz w:val="22"/>
                <w:lang w:val="bg-BG"/>
              </w:rPr>
              <w:t>33</w:t>
            </w:r>
          </w:p>
        </w:tc>
        <w:tc>
          <w:tcPr>
            <w:tcW w:w="1672" w:type="dxa"/>
            <w:shd w:val="clear" w:color="auto" w:fill="FFFFFF" w:themeFill="background1"/>
            <w:vAlign w:val="center"/>
          </w:tcPr>
          <w:p w:rsidR="0055216F" w:rsidRPr="00EA7BE6" w:rsidRDefault="0055216F" w:rsidP="0097796A">
            <w:pPr>
              <w:spacing w:after="0" w:line="240" w:lineRule="auto"/>
              <w:jc w:val="right"/>
              <w:rPr>
                <w:sz w:val="22"/>
                <w:lang w:val="bg-BG"/>
              </w:rPr>
            </w:pPr>
            <w:r w:rsidRPr="00EA7BE6">
              <w:rPr>
                <w:sz w:val="22"/>
                <w:lang w:val="bg-BG"/>
              </w:rPr>
              <w:t>26</w:t>
            </w:r>
          </w:p>
        </w:tc>
        <w:tc>
          <w:tcPr>
            <w:tcW w:w="1673" w:type="dxa"/>
            <w:shd w:val="clear" w:color="auto" w:fill="FFFFFF" w:themeFill="background1"/>
            <w:vAlign w:val="center"/>
          </w:tcPr>
          <w:p w:rsidR="0055216F" w:rsidRPr="00EA7BE6" w:rsidRDefault="0055216F" w:rsidP="0097796A">
            <w:pPr>
              <w:spacing w:after="0" w:line="240" w:lineRule="auto"/>
              <w:jc w:val="right"/>
              <w:rPr>
                <w:sz w:val="22"/>
                <w:lang w:val="bg-BG"/>
              </w:rPr>
            </w:pPr>
            <w:r w:rsidRPr="00EA7BE6">
              <w:rPr>
                <w:sz w:val="22"/>
                <w:lang w:val="bg-BG"/>
              </w:rPr>
              <w:t>7</w:t>
            </w:r>
          </w:p>
        </w:tc>
      </w:tr>
      <w:tr w:rsidR="0055216F" w:rsidRPr="00EA7BE6" w:rsidTr="0097796A">
        <w:trPr>
          <w:trHeight w:val="871"/>
          <w:jc w:val="center"/>
        </w:trPr>
        <w:tc>
          <w:tcPr>
            <w:tcW w:w="3124" w:type="dxa"/>
            <w:shd w:val="clear" w:color="auto" w:fill="FFFFFF" w:themeFill="background1"/>
            <w:vAlign w:val="center"/>
          </w:tcPr>
          <w:p w:rsidR="0055216F" w:rsidRPr="00EA7BE6" w:rsidRDefault="0055216F" w:rsidP="0097796A">
            <w:pPr>
              <w:spacing w:after="0" w:line="240" w:lineRule="auto"/>
              <w:jc w:val="left"/>
              <w:rPr>
                <w:b/>
                <w:sz w:val="22"/>
                <w:lang w:val="bg-BG"/>
              </w:rPr>
            </w:pPr>
            <w:r w:rsidRPr="00EA7BE6">
              <w:rPr>
                <w:b/>
                <w:sz w:val="22"/>
                <w:lang w:val="bg-BG"/>
              </w:rPr>
              <w:t>Специализирана администрация, в това число:</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722</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rPr>
            </w:pPr>
            <w:r w:rsidRPr="00EA7BE6">
              <w:rPr>
                <w:b/>
                <w:sz w:val="22"/>
                <w:lang w:val="bg-BG"/>
              </w:rPr>
              <w:t>6</w:t>
            </w:r>
            <w:r w:rsidRPr="00EA7BE6">
              <w:rPr>
                <w:b/>
                <w:sz w:val="22"/>
              </w:rPr>
              <w:t>96</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743</w:t>
            </w:r>
          </w:p>
        </w:tc>
        <w:tc>
          <w:tcPr>
            <w:tcW w:w="1673" w:type="dxa"/>
            <w:shd w:val="clear" w:color="auto" w:fill="FFFFFF" w:themeFill="background1"/>
            <w:vAlign w:val="center"/>
          </w:tcPr>
          <w:p w:rsidR="0055216F" w:rsidRPr="00EA7BE6" w:rsidRDefault="0055216F" w:rsidP="0097796A">
            <w:pPr>
              <w:spacing w:after="0" w:line="240" w:lineRule="auto"/>
              <w:jc w:val="right"/>
              <w:rPr>
                <w:b/>
                <w:sz w:val="22"/>
              </w:rPr>
            </w:pPr>
            <w:r w:rsidRPr="00EA7BE6">
              <w:rPr>
                <w:b/>
                <w:sz w:val="22"/>
              </w:rPr>
              <w:t>17</w:t>
            </w:r>
          </w:p>
        </w:tc>
      </w:tr>
      <w:tr w:rsidR="0055216F" w:rsidRPr="00EA7BE6" w:rsidTr="0097796A">
        <w:trPr>
          <w:trHeight w:val="292"/>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Централно управление – София</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11</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0</w:t>
            </w:r>
          </w:p>
        </w:tc>
      </w:tr>
      <w:tr w:rsidR="0055216F" w:rsidRPr="00EA7BE6" w:rsidTr="0097796A">
        <w:trPr>
          <w:trHeight w:val="892"/>
          <w:jc w:val="center"/>
        </w:trPr>
        <w:tc>
          <w:tcPr>
            <w:tcW w:w="3124" w:type="dxa"/>
            <w:shd w:val="clear" w:color="auto" w:fill="FFFFFF" w:themeFill="background1"/>
            <w:vAlign w:val="center"/>
          </w:tcPr>
          <w:p w:rsidR="0055216F" w:rsidRPr="00EA7BE6" w:rsidRDefault="0055216F" w:rsidP="0097796A">
            <w:pPr>
              <w:spacing w:after="0" w:line="240" w:lineRule="auto"/>
              <w:jc w:val="left"/>
              <w:rPr>
                <w:b/>
                <w:sz w:val="22"/>
                <w:lang w:val="bg-BG"/>
              </w:rPr>
            </w:pPr>
            <w:r w:rsidRPr="00EA7BE6">
              <w:rPr>
                <w:b/>
                <w:sz w:val="22"/>
                <w:lang w:val="bg-BG"/>
              </w:rPr>
              <w:t>Регионални дирекции „Борба с градушките“ (РДБГ), в това число:</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711</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685</w:t>
            </w:r>
          </w:p>
        </w:tc>
        <w:tc>
          <w:tcPr>
            <w:tcW w:w="1672"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732</w:t>
            </w:r>
          </w:p>
        </w:tc>
        <w:tc>
          <w:tcPr>
            <w:tcW w:w="1673" w:type="dxa"/>
            <w:shd w:val="clear" w:color="auto" w:fill="FFFFFF" w:themeFill="background1"/>
            <w:vAlign w:val="center"/>
          </w:tcPr>
          <w:p w:rsidR="0055216F" w:rsidRPr="00EA7BE6" w:rsidRDefault="0055216F" w:rsidP="0097796A">
            <w:pPr>
              <w:spacing w:after="0" w:line="240" w:lineRule="auto"/>
              <w:jc w:val="right"/>
              <w:rPr>
                <w:b/>
                <w:sz w:val="22"/>
                <w:lang w:val="bg-BG"/>
              </w:rPr>
            </w:pPr>
            <w:r w:rsidRPr="00EA7BE6">
              <w:rPr>
                <w:b/>
                <w:sz w:val="22"/>
                <w:lang w:val="bg-BG"/>
              </w:rPr>
              <w:t>17</w:t>
            </w:r>
          </w:p>
        </w:tc>
      </w:tr>
      <w:tr w:rsidR="0055216F" w:rsidRPr="00EA7BE6" w:rsidTr="0097796A">
        <w:trPr>
          <w:trHeight w:val="250"/>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Пазарджик</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69</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63</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64</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2</w:t>
            </w:r>
          </w:p>
        </w:tc>
      </w:tr>
      <w:tr w:rsidR="0055216F" w:rsidRPr="00EA7BE6" w:rsidTr="0097796A">
        <w:trPr>
          <w:trHeight w:val="306"/>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Пловдив</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178</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179</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184</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3</w:t>
            </w:r>
          </w:p>
        </w:tc>
      </w:tr>
      <w:tr w:rsidR="0055216F" w:rsidRPr="00EA7BE6" w:rsidTr="0097796A">
        <w:trPr>
          <w:trHeight w:val="292"/>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Видин</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85</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80</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88</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3</w:t>
            </w:r>
          </w:p>
        </w:tc>
      </w:tr>
      <w:tr w:rsidR="0055216F" w:rsidRPr="00EA7BE6" w:rsidTr="0097796A">
        <w:trPr>
          <w:trHeight w:val="306"/>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Монтана</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71</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69</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74</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2</w:t>
            </w:r>
          </w:p>
        </w:tc>
      </w:tr>
      <w:tr w:rsidR="0055216F" w:rsidRPr="00EA7BE6" w:rsidTr="0097796A">
        <w:trPr>
          <w:trHeight w:val="292"/>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Враца</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84</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77</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84</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4</w:t>
            </w:r>
          </w:p>
        </w:tc>
      </w:tr>
      <w:tr w:rsidR="0055216F" w:rsidRPr="00EA7BE6" w:rsidTr="0097796A">
        <w:trPr>
          <w:trHeight w:val="306"/>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Плевен</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69</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75</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74</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1</w:t>
            </w:r>
          </w:p>
        </w:tc>
      </w:tr>
      <w:tr w:rsidR="0055216F" w:rsidRPr="00EA7BE6" w:rsidTr="0097796A">
        <w:trPr>
          <w:trHeight w:val="292"/>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Сливен</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69</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63</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73</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2</w:t>
            </w:r>
          </w:p>
        </w:tc>
      </w:tr>
      <w:tr w:rsidR="0055216F" w:rsidRPr="00EA7BE6" w:rsidTr="0097796A">
        <w:trPr>
          <w:trHeight w:val="320"/>
          <w:jc w:val="center"/>
        </w:trPr>
        <w:tc>
          <w:tcPr>
            <w:tcW w:w="3124" w:type="dxa"/>
            <w:shd w:val="clear" w:color="auto" w:fill="auto"/>
            <w:vAlign w:val="center"/>
          </w:tcPr>
          <w:p w:rsidR="0055216F" w:rsidRPr="00EA7BE6" w:rsidRDefault="0055216F" w:rsidP="0097796A">
            <w:pPr>
              <w:spacing w:after="0" w:line="240" w:lineRule="auto"/>
              <w:jc w:val="left"/>
              <w:rPr>
                <w:sz w:val="22"/>
                <w:lang w:val="bg-BG"/>
              </w:rPr>
            </w:pPr>
            <w:r w:rsidRPr="00EA7BE6">
              <w:rPr>
                <w:sz w:val="22"/>
                <w:lang w:val="bg-BG"/>
              </w:rPr>
              <w:t>РДБГ- Стара Загора</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86</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79</w:t>
            </w:r>
          </w:p>
        </w:tc>
        <w:tc>
          <w:tcPr>
            <w:tcW w:w="1672"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91</w:t>
            </w:r>
          </w:p>
        </w:tc>
        <w:tc>
          <w:tcPr>
            <w:tcW w:w="1673" w:type="dxa"/>
            <w:shd w:val="clear" w:color="auto" w:fill="auto"/>
            <w:vAlign w:val="center"/>
          </w:tcPr>
          <w:p w:rsidR="0055216F" w:rsidRPr="00EA7BE6" w:rsidRDefault="0055216F" w:rsidP="0097796A">
            <w:pPr>
              <w:spacing w:after="0" w:line="240" w:lineRule="auto"/>
              <w:jc w:val="right"/>
              <w:rPr>
                <w:sz w:val="22"/>
                <w:lang w:val="bg-BG"/>
              </w:rPr>
            </w:pPr>
            <w:r w:rsidRPr="00EA7BE6">
              <w:rPr>
                <w:sz w:val="22"/>
                <w:lang w:val="bg-BG"/>
              </w:rPr>
              <w:t>0</w:t>
            </w:r>
          </w:p>
        </w:tc>
      </w:tr>
    </w:tbl>
    <w:p w:rsidR="003517B9" w:rsidRDefault="00284957" w:rsidP="00284957">
      <w:pPr>
        <w:spacing w:after="120"/>
        <w:rPr>
          <w:i/>
          <w:sz w:val="16"/>
          <w:szCs w:val="16"/>
          <w:lang w:val="bg-BG"/>
        </w:rPr>
      </w:pPr>
      <w:bookmarkStart w:id="9" w:name="_Toc496709940"/>
      <w:r>
        <w:rPr>
          <w:i/>
          <w:sz w:val="16"/>
          <w:szCs w:val="16"/>
          <w:lang w:val="bg-BG"/>
        </w:rPr>
        <w:t>Източник: ИАБГ</w:t>
      </w:r>
    </w:p>
    <w:p w:rsidR="00284957" w:rsidRPr="00284957" w:rsidRDefault="00284957" w:rsidP="00284957">
      <w:pPr>
        <w:spacing w:after="120"/>
        <w:rPr>
          <w:i/>
          <w:sz w:val="16"/>
          <w:szCs w:val="16"/>
          <w:lang w:val="bg-BG"/>
        </w:rPr>
      </w:pPr>
    </w:p>
    <w:p w:rsidR="003517B9" w:rsidRPr="00EA7BE6" w:rsidRDefault="0096709C" w:rsidP="005133FE">
      <w:pPr>
        <w:pStyle w:val="ListParagraph"/>
        <w:spacing w:after="0"/>
        <w:ind w:left="0"/>
        <w:rPr>
          <w:b/>
          <w:sz w:val="22"/>
          <w:lang w:val="bg-BG"/>
        </w:rPr>
      </w:pPr>
      <w:r w:rsidRPr="00EA7BE6">
        <w:rPr>
          <w:b/>
          <w:sz w:val="22"/>
          <w:lang w:val="bg-BG"/>
        </w:rPr>
        <w:t>Недостатъчно финансиране на Изпълнителна агенция „Борба с градушките“</w:t>
      </w:r>
    </w:p>
    <w:p w:rsidR="0096709C" w:rsidRPr="00EA7BE6" w:rsidRDefault="0096709C" w:rsidP="005133FE">
      <w:pPr>
        <w:pStyle w:val="ListParagraph"/>
        <w:spacing w:after="0"/>
        <w:ind w:left="0"/>
        <w:rPr>
          <w:b/>
          <w:sz w:val="22"/>
          <w:lang w:val="bg-BG"/>
        </w:rPr>
      </w:pPr>
    </w:p>
    <w:p w:rsidR="0096709C" w:rsidRDefault="0096709C" w:rsidP="005133FE">
      <w:pPr>
        <w:pStyle w:val="ListParagraph"/>
        <w:spacing w:after="0"/>
        <w:ind w:left="0"/>
        <w:rPr>
          <w:sz w:val="22"/>
          <w:lang w:val="bg-BG"/>
        </w:rPr>
      </w:pPr>
      <w:r w:rsidRPr="00EA7BE6">
        <w:rPr>
          <w:sz w:val="22"/>
          <w:lang w:val="bg-BG"/>
        </w:rPr>
        <w:t xml:space="preserve">Към месец </w:t>
      </w:r>
      <w:r w:rsidR="00B1390F" w:rsidRPr="00EA7BE6">
        <w:rPr>
          <w:sz w:val="22"/>
          <w:lang w:val="bg-BG"/>
        </w:rPr>
        <w:t>февруари</w:t>
      </w:r>
      <w:r w:rsidRPr="00EA7BE6">
        <w:rPr>
          <w:sz w:val="22"/>
          <w:lang w:val="bg-BG"/>
        </w:rPr>
        <w:t xml:space="preserve"> 201</w:t>
      </w:r>
      <w:r w:rsidR="00B1390F" w:rsidRPr="00EA7BE6">
        <w:rPr>
          <w:sz w:val="22"/>
          <w:lang w:val="bg-BG"/>
        </w:rPr>
        <w:t>8</w:t>
      </w:r>
      <w:r w:rsidRPr="00EA7BE6">
        <w:rPr>
          <w:sz w:val="22"/>
          <w:lang w:val="bg-BG"/>
        </w:rPr>
        <w:t xml:space="preserve"> г. постоянната численост на персонала на Изпълнителна агенция „Борба с градушките“ възлиза на 772 души (съгласно действащия Устройствен правилник на агенцията – 593 щатни бройки).</w:t>
      </w:r>
      <w:r w:rsidR="00BE1AE5" w:rsidRPr="00EA7BE6">
        <w:rPr>
          <w:sz w:val="22"/>
          <w:lang w:val="bg-BG"/>
        </w:rPr>
        <w:t xml:space="preserve"> В таблицата по-долу са посочени разходите по пера на агенцията. </w:t>
      </w:r>
      <w:r w:rsidR="00962ACE" w:rsidRPr="00EA7BE6">
        <w:rPr>
          <w:sz w:val="22"/>
          <w:lang w:val="bg-BG"/>
        </w:rPr>
        <w:t>Обоснованият извод, който можем да направим</w:t>
      </w:r>
      <w:r w:rsidR="00BE1AE5" w:rsidRPr="00EA7BE6">
        <w:rPr>
          <w:sz w:val="22"/>
          <w:lang w:val="bg-BG"/>
        </w:rPr>
        <w:t xml:space="preserve"> от нея</w:t>
      </w:r>
      <w:r w:rsidR="00962ACE" w:rsidRPr="00EA7BE6">
        <w:rPr>
          <w:sz w:val="22"/>
          <w:lang w:val="bg-BG"/>
        </w:rPr>
        <w:t xml:space="preserve"> е, че</w:t>
      </w:r>
      <w:r w:rsidR="00BE1AE5" w:rsidRPr="00EA7BE6">
        <w:rPr>
          <w:sz w:val="22"/>
          <w:lang w:val="bg-BG"/>
        </w:rPr>
        <w:t xml:space="preserve"> средната заплата на служителите (772 души) възлиза на 645,55 лв. на месец брутно възнаграждение.</w:t>
      </w:r>
    </w:p>
    <w:p w:rsidR="00284957" w:rsidRDefault="00284957" w:rsidP="005133FE">
      <w:pPr>
        <w:pStyle w:val="ListParagraph"/>
        <w:spacing w:after="0"/>
        <w:ind w:left="0"/>
        <w:rPr>
          <w:sz w:val="22"/>
          <w:lang w:val="bg-BG"/>
        </w:rPr>
      </w:pPr>
    </w:p>
    <w:p w:rsidR="00F764E2" w:rsidRDefault="00F764E2" w:rsidP="005133FE">
      <w:pPr>
        <w:pStyle w:val="ListParagraph"/>
        <w:spacing w:after="0"/>
        <w:ind w:left="0"/>
        <w:rPr>
          <w:sz w:val="22"/>
          <w:lang w:val="bg-BG"/>
        </w:rPr>
      </w:pPr>
    </w:p>
    <w:p w:rsidR="00F764E2" w:rsidRDefault="00F764E2" w:rsidP="005133FE">
      <w:pPr>
        <w:pStyle w:val="ListParagraph"/>
        <w:spacing w:after="0"/>
        <w:ind w:left="0"/>
        <w:rPr>
          <w:sz w:val="22"/>
          <w:lang w:val="bg-BG"/>
        </w:rPr>
      </w:pPr>
    </w:p>
    <w:p w:rsidR="00F764E2" w:rsidRDefault="00F764E2" w:rsidP="005133FE">
      <w:pPr>
        <w:pStyle w:val="ListParagraph"/>
        <w:spacing w:after="0"/>
        <w:ind w:left="0"/>
        <w:rPr>
          <w:sz w:val="22"/>
          <w:lang w:val="bg-BG"/>
        </w:rPr>
      </w:pPr>
    </w:p>
    <w:p w:rsidR="00F764E2" w:rsidRDefault="00F764E2" w:rsidP="005133FE">
      <w:pPr>
        <w:pStyle w:val="ListParagraph"/>
        <w:spacing w:after="0"/>
        <w:ind w:left="0"/>
        <w:rPr>
          <w:sz w:val="22"/>
          <w:lang w:val="bg-BG"/>
        </w:rPr>
      </w:pPr>
    </w:p>
    <w:p w:rsidR="003517B9" w:rsidRPr="00C53587" w:rsidRDefault="003517B9" w:rsidP="00C53587">
      <w:pPr>
        <w:pStyle w:val="ListParagraph"/>
        <w:spacing w:after="0" w:line="288" w:lineRule="auto"/>
        <w:ind w:left="0"/>
        <w:rPr>
          <w:b/>
          <w:sz w:val="22"/>
          <w:lang w:val="ru-RU"/>
        </w:rPr>
      </w:pPr>
    </w:p>
    <w:p w:rsidR="00D86BFF" w:rsidRPr="00D86BFF" w:rsidRDefault="00D86BFF" w:rsidP="00C53587">
      <w:pPr>
        <w:pStyle w:val="ListParagraph"/>
        <w:spacing w:after="0" w:line="288" w:lineRule="auto"/>
        <w:ind w:left="0"/>
        <w:rPr>
          <w:b/>
          <w:sz w:val="22"/>
          <w:lang w:val="ru-RU"/>
        </w:rPr>
      </w:pPr>
      <w:r w:rsidRPr="00D86BFF">
        <w:rPr>
          <w:b/>
          <w:sz w:val="22"/>
          <w:lang w:val="bg-BG"/>
        </w:rPr>
        <w:t xml:space="preserve">Таблица </w:t>
      </w:r>
      <w:r w:rsidRPr="00D86BFF">
        <w:rPr>
          <w:b/>
          <w:sz w:val="22"/>
          <w:lang w:val="ru-RU"/>
        </w:rPr>
        <w:t>3</w:t>
      </w:r>
    </w:p>
    <w:p w:rsidR="00D86BFF" w:rsidRPr="00EA7BE6" w:rsidRDefault="00D86BFF" w:rsidP="00D86BFF">
      <w:pPr>
        <w:pStyle w:val="ListParagraph"/>
        <w:spacing w:after="0"/>
        <w:ind w:left="0"/>
        <w:rPr>
          <w:sz w:val="22"/>
          <w:lang w:val="bg-BG"/>
        </w:rPr>
      </w:pPr>
      <w:r w:rsidRPr="00C53587">
        <w:rPr>
          <w:b/>
          <w:sz w:val="22"/>
          <w:lang w:val="ru-RU"/>
        </w:rPr>
        <w:t>Разходи за дейността на ИАБГ за 2017 г.,млн. лева</w:t>
      </w:r>
    </w:p>
    <w:tbl>
      <w:tblPr>
        <w:tblW w:w="5871" w:type="dxa"/>
        <w:tblInd w:w="55" w:type="dxa"/>
        <w:tblCellMar>
          <w:left w:w="70" w:type="dxa"/>
          <w:right w:w="70" w:type="dxa"/>
        </w:tblCellMar>
        <w:tblLook w:val="04A0" w:firstRow="1" w:lastRow="0" w:firstColumn="1" w:lastColumn="0" w:noHBand="0" w:noVBand="1"/>
      </w:tblPr>
      <w:tblGrid>
        <w:gridCol w:w="4300"/>
        <w:gridCol w:w="1571"/>
      </w:tblGrid>
      <w:tr w:rsidR="00AC02E3" w:rsidRPr="00AC02E3" w:rsidTr="00AC02E3">
        <w:trPr>
          <w:trHeight w:val="549"/>
        </w:trPr>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02E3" w:rsidRPr="00AC02E3" w:rsidRDefault="00AC02E3" w:rsidP="00AC02E3">
            <w:pPr>
              <w:spacing w:after="0" w:line="240" w:lineRule="auto"/>
              <w:jc w:val="center"/>
              <w:rPr>
                <w:rFonts w:eastAsia="Times New Roman"/>
                <w:b/>
                <w:bCs/>
                <w:color w:val="000000"/>
                <w:sz w:val="22"/>
                <w:lang w:val="bg-BG" w:eastAsia="bg-BG"/>
              </w:rPr>
            </w:pPr>
            <w:r w:rsidRPr="00C53587">
              <w:rPr>
                <w:rFonts w:eastAsia="Times New Roman"/>
                <w:b/>
                <w:bCs/>
                <w:color w:val="000000"/>
                <w:sz w:val="22"/>
                <w:lang w:eastAsia="bg-BG"/>
              </w:rPr>
              <w:t>ПОКАЗАТЕЛ</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AC02E3" w:rsidRPr="00AC02E3" w:rsidRDefault="00AC02E3" w:rsidP="00AC02E3">
            <w:pPr>
              <w:spacing w:after="0" w:line="240" w:lineRule="auto"/>
              <w:jc w:val="center"/>
              <w:rPr>
                <w:rFonts w:eastAsia="Times New Roman"/>
                <w:b/>
                <w:bCs/>
                <w:color w:val="000000"/>
                <w:sz w:val="22"/>
                <w:lang w:val="bg-BG" w:eastAsia="bg-BG"/>
              </w:rPr>
            </w:pPr>
            <w:r w:rsidRPr="00AC02E3">
              <w:rPr>
                <w:rFonts w:eastAsia="Times New Roman"/>
                <w:b/>
                <w:bCs/>
                <w:color w:val="000000"/>
                <w:sz w:val="22"/>
                <w:lang w:eastAsia="bg-BG"/>
              </w:rPr>
              <w:t>2017 г.</w:t>
            </w:r>
          </w:p>
        </w:tc>
      </w:tr>
      <w:tr w:rsidR="00AC02E3" w:rsidRPr="00AC02E3" w:rsidTr="00AC02E3">
        <w:trPr>
          <w:trHeight w:val="401"/>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C02E3" w:rsidRPr="00AC02E3" w:rsidRDefault="00AC02E3" w:rsidP="00AC02E3">
            <w:pPr>
              <w:spacing w:after="0" w:line="240" w:lineRule="auto"/>
              <w:rPr>
                <w:rFonts w:eastAsia="Times New Roman"/>
                <w:color w:val="000000"/>
                <w:sz w:val="22"/>
                <w:lang w:val="bg-BG" w:eastAsia="bg-BG"/>
              </w:rPr>
            </w:pPr>
            <w:proofErr w:type="spellStart"/>
            <w:r w:rsidRPr="00C53587">
              <w:rPr>
                <w:rFonts w:eastAsia="Times New Roman"/>
                <w:color w:val="000000"/>
                <w:sz w:val="22"/>
                <w:lang w:eastAsia="bg-BG"/>
              </w:rPr>
              <w:t>Персонал</w:t>
            </w:r>
            <w:proofErr w:type="spellEnd"/>
          </w:p>
        </w:tc>
        <w:tc>
          <w:tcPr>
            <w:tcW w:w="1571" w:type="dxa"/>
            <w:tcBorders>
              <w:top w:val="nil"/>
              <w:left w:val="nil"/>
              <w:bottom w:val="single" w:sz="4" w:space="0" w:color="auto"/>
              <w:right w:val="single" w:sz="4" w:space="0" w:color="auto"/>
            </w:tcBorders>
            <w:shd w:val="clear" w:color="000000" w:fill="FFFFFF"/>
            <w:vAlign w:val="center"/>
            <w:hideMark/>
          </w:tcPr>
          <w:p w:rsidR="00AC02E3" w:rsidRPr="00AC02E3" w:rsidRDefault="00AC02E3" w:rsidP="00AC02E3">
            <w:pPr>
              <w:spacing w:after="0" w:line="240" w:lineRule="auto"/>
              <w:jc w:val="right"/>
              <w:rPr>
                <w:rFonts w:eastAsia="Times New Roman"/>
                <w:color w:val="000000"/>
                <w:szCs w:val="24"/>
                <w:lang w:val="bg-BG" w:eastAsia="bg-BG"/>
              </w:rPr>
            </w:pPr>
            <w:r w:rsidRPr="00AC02E3">
              <w:rPr>
                <w:rFonts w:eastAsia="Times New Roman"/>
                <w:color w:val="000000"/>
                <w:szCs w:val="24"/>
                <w:lang w:val="bg-BG" w:eastAsia="bg-BG"/>
              </w:rPr>
              <w:t>6,3</w:t>
            </w:r>
          </w:p>
        </w:tc>
      </w:tr>
      <w:tr w:rsidR="00AC02E3" w:rsidRPr="00AC02E3" w:rsidTr="00AC02E3">
        <w:trPr>
          <w:trHeight w:val="401"/>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C02E3" w:rsidRPr="00AC02E3" w:rsidRDefault="00AC02E3" w:rsidP="00AC02E3">
            <w:pPr>
              <w:spacing w:after="0" w:line="240" w:lineRule="auto"/>
              <w:rPr>
                <w:rFonts w:eastAsia="Times New Roman"/>
                <w:color w:val="000000"/>
                <w:sz w:val="22"/>
                <w:lang w:val="bg-BG" w:eastAsia="bg-BG"/>
              </w:rPr>
            </w:pPr>
            <w:proofErr w:type="spellStart"/>
            <w:r w:rsidRPr="00C53587">
              <w:rPr>
                <w:rFonts w:eastAsia="Times New Roman"/>
                <w:color w:val="000000"/>
                <w:sz w:val="22"/>
                <w:lang w:eastAsia="bg-BG"/>
              </w:rPr>
              <w:t>Постоянна</w:t>
            </w:r>
            <w:proofErr w:type="spellEnd"/>
            <w:r w:rsidRPr="00C53587">
              <w:rPr>
                <w:rFonts w:eastAsia="Times New Roman"/>
                <w:color w:val="000000"/>
                <w:sz w:val="22"/>
                <w:lang w:eastAsia="bg-BG"/>
              </w:rPr>
              <w:t xml:space="preserve"> </w:t>
            </w:r>
            <w:proofErr w:type="spellStart"/>
            <w:r w:rsidRPr="00C53587">
              <w:rPr>
                <w:rFonts w:eastAsia="Times New Roman"/>
                <w:color w:val="000000"/>
                <w:sz w:val="22"/>
                <w:lang w:eastAsia="bg-BG"/>
              </w:rPr>
              <w:t>издръжка</w:t>
            </w:r>
            <w:proofErr w:type="spellEnd"/>
          </w:p>
        </w:tc>
        <w:tc>
          <w:tcPr>
            <w:tcW w:w="1571" w:type="dxa"/>
            <w:tcBorders>
              <w:top w:val="nil"/>
              <w:left w:val="nil"/>
              <w:bottom w:val="single" w:sz="4" w:space="0" w:color="auto"/>
              <w:right w:val="single" w:sz="4" w:space="0" w:color="auto"/>
            </w:tcBorders>
            <w:shd w:val="clear" w:color="000000" w:fill="FFFFFF"/>
            <w:vAlign w:val="center"/>
            <w:hideMark/>
          </w:tcPr>
          <w:p w:rsidR="00AC02E3" w:rsidRPr="00AC02E3" w:rsidRDefault="00AC02E3" w:rsidP="00AC02E3">
            <w:pPr>
              <w:spacing w:after="0" w:line="240" w:lineRule="auto"/>
              <w:jc w:val="right"/>
              <w:rPr>
                <w:rFonts w:eastAsia="Times New Roman"/>
                <w:color w:val="000000"/>
                <w:szCs w:val="24"/>
                <w:lang w:val="bg-BG" w:eastAsia="bg-BG"/>
              </w:rPr>
            </w:pPr>
            <w:r w:rsidRPr="00AC02E3">
              <w:rPr>
                <w:rFonts w:eastAsia="Times New Roman"/>
                <w:color w:val="000000"/>
                <w:szCs w:val="24"/>
                <w:lang w:val="bg-BG" w:eastAsia="bg-BG"/>
              </w:rPr>
              <w:t>1,6</w:t>
            </w:r>
          </w:p>
        </w:tc>
      </w:tr>
      <w:tr w:rsidR="00AC02E3" w:rsidRPr="00AC02E3" w:rsidTr="00AC02E3">
        <w:trPr>
          <w:trHeight w:val="401"/>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C02E3" w:rsidRPr="00AC02E3" w:rsidRDefault="00AC02E3" w:rsidP="00AC02E3">
            <w:pPr>
              <w:spacing w:after="0" w:line="240" w:lineRule="auto"/>
              <w:rPr>
                <w:rFonts w:eastAsia="Times New Roman"/>
                <w:color w:val="000000"/>
                <w:sz w:val="22"/>
                <w:lang w:val="bg-BG" w:eastAsia="bg-BG"/>
              </w:rPr>
            </w:pPr>
            <w:proofErr w:type="spellStart"/>
            <w:r w:rsidRPr="00C53587">
              <w:rPr>
                <w:rFonts w:eastAsia="Times New Roman"/>
                <w:color w:val="000000"/>
                <w:sz w:val="22"/>
                <w:lang w:eastAsia="bg-BG"/>
              </w:rPr>
              <w:t>Разходи</w:t>
            </w:r>
            <w:proofErr w:type="spellEnd"/>
            <w:r w:rsidRPr="00C53587">
              <w:rPr>
                <w:rFonts w:eastAsia="Times New Roman"/>
                <w:color w:val="000000"/>
                <w:sz w:val="22"/>
                <w:lang w:eastAsia="bg-BG"/>
              </w:rPr>
              <w:t xml:space="preserve"> </w:t>
            </w:r>
            <w:proofErr w:type="spellStart"/>
            <w:r w:rsidRPr="00C53587">
              <w:rPr>
                <w:rFonts w:eastAsia="Times New Roman"/>
                <w:color w:val="000000"/>
                <w:sz w:val="22"/>
                <w:lang w:eastAsia="bg-BG"/>
              </w:rPr>
              <w:t>за</w:t>
            </w:r>
            <w:proofErr w:type="spellEnd"/>
            <w:r w:rsidRPr="00C53587">
              <w:rPr>
                <w:rFonts w:eastAsia="Times New Roman"/>
                <w:color w:val="000000"/>
                <w:sz w:val="22"/>
                <w:lang w:eastAsia="bg-BG"/>
              </w:rPr>
              <w:t xml:space="preserve"> </w:t>
            </w:r>
            <w:proofErr w:type="spellStart"/>
            <w:r w:rsidRPr="00C53587">
              <w:rPr>
                <w:rFonts w:eastAsia="Times New Roman"/>
                <w:color w:val="000000"/>
                <w:sz w:val="22"/>
                <w:lang w:eastAsia="bg-BG"/>
              </w:rPr>
              <w:t>ракети</w:t>
            </w:r>
            <w:proofErr w:type="spellEnd"/>
          </w:p>
        </w:tc>
        <w:tc>
          <w:tcPr>
            <w:tcW w:w="1571" w:type="dxa"/>
            <w:tcBorders>
              <w:top w:val="nil"/>
              <w:left w:val="nil"/>
              <w:bottom w:val="single" w:sz="4" w:space="0" w:color="auto"/>
              <w:right w:val="single" w:sz="4" w:space="0" w:color="auto"/>
            </w:tcBorders>
            <w:shd w:val="clear" w:color="000000" w:fill="FFFFFF"/>
            <w:vAlign w:val="center"/>
            <w:hideMark/>
          </w:tcPr>
          <w:p w:rsidR="00AC02E3" w:rsidRPr="00AC02E3" w:rsidRDefault="00AC02E3" w:rsidP="00AC02E3">
            <w:pPr>
              <w:spacing w:after="0" w:line="240" w:lineRule="auto"/>
              <w:jc w:val="right"/>
              <w:rPr>
                <w:rFonts w:eastAsia="Times New Roman"/>
                <w:color w:val="000000"/>
                <w:szCs w:val="24"/>
                <w:lang w:val="bg-BG" w:eastAsia="bg-BG"/>
              </w:rPr>
            </w:pPr>
            <w:r w:rsidRPr="00AC02E3">
              <w:rPr>
                <w:rFonts w:eastAsia="Times New Roman"/>
                <w:color w:val="000000"/>
                <w:szCs w:val="24"/>
                <w:lang w:val="bg-BG" w:eastAsia="bg-BG"/>
              </w:rPr>
              <w:t>5,8</w:t>
            </w:r>
          </w:p>
        </w:tc>
      </w:tr>
      <w:tr w:rsidR="00AC02E3" w:rsidRPr="00AC02E3" w:rsidTr="00C53587">
        <w:trPr>
          <w:trHeight w:val="527"/>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C02E3" w:rsidRPr="00AC02E3" w:rsidRDefault="00AC02E3" w:rsidP="00AC02E3">
            <w:pPr>
              <w:spacing w:after="0" w:line="240" w:lineRule="auto"/>
              <w:rPr>
                <w:rFonts w:eastAsia="Times New Roman"/>
                <w:b/>
                <w:bCs/>
                <w:color w:val="000000"/>
                <w:sz w:val="22"/>
                <w:lang w:val="bg-BG" w:eastAsia="bg-BG"/>
              </w:rPr>
            </w:pPr>
            <w:r w:rsidRPr="00C53587">
              <w:rPr>
                <w:rFonts w:eastAsia="Times New Roman"/>
                <w:b/>
                <w:bCs/>
                <w:color w:val="000000"/>
                <w:sz w:val="22"/>
                <w:lang w:eastAsia="bg-BG"/>
              </w:rPr>
              <w:t>ОБЩО СРЕДСТВА ЗА ДЕЙНОСТТА</w:t>
            </w:r>
          </w:p>
        </w:tc>
        <w:tc>
          <w:tcPr>
            <w:tcW w:w="1571" w:type="dxa"/>
            <w:tcBorders>
              <w:top w:val="nil"/>
              <w:left w:val="nil"/>
              <w:bottom w:val="single" w:sz="4" w:space="0" w:color="auto"/>
              <w:right w:val="single" w:sz="4" w:space="0" w:color="auto"/>
            </w:tcBorders>
            <w:shd w:val="clear" w:color="auto" w:fill="auto"/>
            <w:noWrap/>
            <w:vAlign w:val="center"/>
            <w:hideMark/>
          </w:tcPr>
          <w:p w:rsidR="00AC02E3" w:rsidRPr="00AC02E3" w:rsidRDefault="00AC02E3" w:rsidP="00AC02E3">
            <w:pPr>
              <w:spacing w:after="0" w:line="240" w:lineRule="auto"/>
              <w:jc w:val="right"/>
              <w:rPr>
                <w:rFonts w:eastAsia="Times New Roman"/>
                <w:color w:val="000000"/>
                <w:sz w:val="22"/>
                <w:lang w:val="bg-BG" w:eastAsia="bg-BG"/>
              </w:rPr>
            </w:pPr>
            <w:r w:rsidRPr="00AC02E3">
              <w:rPr>
                <w:rFonts w:eastAsia="Times New Roman"/>
                <w:color w:val="000000"/>
                <w:sz w:val="22"/>
                <w:lang w:val="bg-BG" w:eastAsia="bg-BG"/>
              </w:rPr>
              <w:t>13,7</w:t>
            </w:r>
          </w:p>
        </w:tc>
      </w:tr>
      <w:tr w:rsidR="00AC02E3" w:rsidRPr="00AC02E3" w:rsidTr="00C53587">
        <w:trPr>
          <w:trHeight w:val="446"/>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C02E3" w:rsidRPr="00AC02E3" w:rsidRDefault="00AC02E3" w:rsidP="00AC02E3">
            <w:pPr>
              <w:spacing w:after="0" w:line="240" w:lineRule="auto"/>
              <w:rPr>
                <w:rFonts w:eastAsia="Times New Roman"/>
                <w:color w:val="000000"/>
                <w:sz w:val="22"/>
                <w:lang w:val="bg-BG" w:eastAsia="bg-BG"/>
              </w:rPr>
            </w:pPr>
            <w:proofErr w:type="spellStart"/>
            <w:r w:rsidRPr="00C53587">
              <w:rPr>
                <w:rFonts w:eastAsia="Times New Roman"/>
                <w:color w:val="000000"/>
                <w:sz w:val="22"/>
                <w:lang w:eastAsia="bg-BG"/>
              </w:rPr>
              <w:t>Инвестиционна</w:t>
            </w:r>
            <w:proofErr w:type="spellEnd"/>
            <w:r w:rsidRPr="00C53587">
              <w:rPr>
                <w:rFonts w:eastAsia="Times New Roman"/>
                <w:color w:val="000000"/>
                <w:sz w:val="22"/>
                <w:lang w:eastAsia="bg-BG"/>
              </w:rPr>
              <w:t xml:space="preserve"> </w:t>
            </w:r>
            <w:proofErr w:type="spellStart"/>
            <w:r w:rsidRPr="00C53587">
              <w:rPr>
                <w:rFonts w:eastAsia="Times New Roman"/>
                <w:color w:val="000000"/>
                <w:sz w:val="22"/>
                <w:lang w:eastAsia="bg-BG"/>
              </w:rPr>
              <w:t>програма</w:t>
            </w:r>
            <w:proofErr w:type="spellEnd"/>
          </w:p>
        </w:tc>
        <w:tc>
          <w:tcPr>
            <w:tcW w:w="1571" w:type="dxa"/>
            <w:tcBorders>
              <w:top w:val="nil"/>
              <w:left w:val="nil"/>
              <w:bottom w:val="single" w:sz="4" w:space="0" w:color="auto"/>
              <w:right w:val="single" w:sz="4" w:space="0" w:color="auto"/>
            </w:tcBorders>
            <w:shd w:val="clear" w:color="auto" w:fill="auto"/>
            <w:noWrap/>
            <w:vAlign w:val="center"/>
            <w:hideMark/>
          </w:tcPr>
          <w:p w:rsidR="00AC02E3" w:rsidRPr="00AC02E3" w:rsidRDefault="00AC02E3" w:rsidP="00AC02E3">
            <w:pPr>
              <w:spacing w:after="0" w:line="240" w:lineRule="auto"/>
              <w:jc w:val="right"/>
              <w:rPr>
                <w:rFonts w:eastAsia="Times New Roman"/>
                <w:color w:val="000000"/>
                <w:sz w:val="22"/>
                <w:lang w:val="bg-BG" w:eastAsia="bg-BG"/>
              </w:rPr>
            </w:pPr>
            <w:r w:rsidRPr="00AC02E3">
              <w:rPr>
                <w:rFonts w:eastAsia="Times New Roman"/>
                <w:color w:val="000000"/>
                <w:sz w:val="22"/>
                <w:lang w:val="bg-BG" w:eastAsia="bg-BG"/>
              </w:rPr>
              <w:t>4,9</w:t>
            </w:r>
          </w:p>
        </w:tc>
      </w:tr>
      <w:tr w:rsidR="00AC02E3" w:rsidRPr="00AC02E3" w:rsidTr="00C53587">
        <w:trPr>
          <w:trHeight w:val="549"/>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C02E3" w:rsidRPr="00AC02E3" w:rsidRDefault="00AC02E3" w:rsidP="00AC02E3">
            <w:pPr>
              <w:spacing w:after="0" w:line="240" w:lineRule="auto"/>
              <w:rPr>
                <w:rFonts w:eastAsia="Times New Roman"/>
                <w:b/>
                <w:bCs/>
                <w:color w:val="000000"/>
                <w:sz w:val="22"/>
                <w:lang w:val="bg-BG" w:eastAsia="bg-BG"/>
              </w:rPr>
            </w:pPr>
            <w:r w:rsidRPr="00C53587">
              <w:rPr>
                <w:rFonts w:eastAsia="Times New Roman"/>
                <w:b/>
                <w:bCs/>
                <w:color w:val="000000"/>
                <w:sz w:val="22"/>
                <w:lang w:eastAsia="bg-BG"/>
              </w:rPr>
              <w:t>ОБЩ БЮДЖЕТ</w:t>
            </w:r>
          </w:p>
        </w:tc>
        <w:tc>
          <w:tcPr>
            <w:tcW w:w="1571" w:type="dxa"/>
            <w:tcBorders>
              <w:top w:val="nil"/>
              <w:left w:val="nil"/>
              <w:bottom w:val="single" w:sz="4" w:space="0" w:color="auto"/>
              <w:right w:val="single" w:sz="4" w:space="0" w:color="auto"/>
            </w:tcBorders>
            <w:shd w:val="clear" w:color="auto" w:fill="auto"/>
            <w:noWrap/>
            <w:vAlign w:val="center"/>
            <w:hideMark/>
          </w:tcPr>
          <w:p w:rsidR="00AC02E3" w:rsidRPr="00AC02E3" w:rsidRDefault="00AC02E3" w:rsidP="00AC02E3">
            <w:pPr>
              <w:spacing w:after="0" w:line="240" w:lineRule="auto"/>
              <w:jc w:val="right"/>
              <w:rPr>
                <w:rFonts w:eastAsia="Times New Roman"/>
                <w:color w:val="000000"/>
                <w:sz w:val="22"/>
                <w:lang w:val="bg-BG" w:eastAsia="bg-BG"/>
              </w:rPr>
            </w:pPr>
            <w:r w:rsidRPr="00AC02E3">
              <w:rPr>
                <w:rFonts w:eastAsia="Times New Roman"/>
                <w:color w:val="000000"/>
                <w:sz w:val="22"/>
                <w:lang w:val="bg-BG" w:eastAsia="bg-BG"/>
              </w:rPr>
              <w:t>18,6</w:t>
            </w:r>
          </w:p>
        </w:tc>
      </w:tr>
    </w:tbl>
    <w:p w:rsidR="00AC02E3" w:rsidRDefault="00AC02E3" w:rsidP="002F0C19">
      <w:pPr>
        <w:pStyle w:val="ListParagraph"/>
        <w:spacing w:after="0"/>
        <w:ind w:left="0"/>
        <w:rPr>
          <w:b/>
          <w:sz w:val="22"/>
          <w:lang w:val="bg-BG"/>
        </w:rPr>
      </w:pPr>
    </w:p>
    <w:p w:rsidR="00AC02E3" w:rsidRDefault="00AC02E3" w:rsidP="002F0C19">
      <w:pPr>
        <w:pStyle w:val="ListParagraph"/>
        <w:spacing w:after="0"/>
        <w:ind w:left="0"/>
        <w:rPr>
          <w:b/>
          <w:sz w:val="22"/>
          <w:lang w:val="bg-BG"/>
        </w:rPr>
      </w:pPr>
    </w:p>
    <w:p w:rsidR="00610AAE" w:rsidRPr="00EA7BE6" w:rsidRDefault="00C9776C" w:rsidP="002F0C19">
      <w:pPr>
        <w:pStyle w:val="ListParagraph"/>
        <w:spacing w:after="0"/>
        <w:ind w:left="0"/>
        <w:rPr>
          <w:b/>
          <w:sz w:val="22"/>
          <w:lang w:val="bg-BG"/>
        </w:rPr>
      </w:pPr>
      <w:r w:rsidRPr="00EA7BE6">
        <w:rPr>
          <w:b/>
          <w:sz w:val="22"/>
          <w:lang w:val="bg-BG"/>
        </w:rPr>
        <w:t>Организационна форма на структура за управление на риска срещу неблагоприятни климатични събития в земеделието</w:t>
      </w:r>
    </w:p>
    <w:p w:rsidR="002F6380" w:rsidRPr="00EA7BE6" w:rsidRDefault="002F6380" w:rsidP="0089582B">
      <w:pPr>
        <w:spacing w:after="0"/>
        <w:rPr>
          <w:sz w:val="22"/>
          <w:lang w:val="bg-BG"/>
        </w:rPr>
      </w:pPr>
    </w:p>
    <w:p w:rsidR="00C9776C" w:rsidRPr="00EA7BE6" w:rsidRDefault="00C9776C" w:rsidP="0089582B">
      <w:pPr>
        <w:spacing w:after="0"/>
        <w:rPr>
          <w:sz w:val="22"/>
          <w:lang w:val="bg-BG"/>
        </w:rPr>
      </w:pPr>
      <w:r w:rsidRPr="00EA7BE6">
        <w:rPr>
          <w:sz w:val="22"/>
          <w:lang w:val="bg-BG"/>
        </w:rPr>
        <w:t xml:space="preserve">Във връзка с по-горе изложените проблеми и спецификата на рисковете, които следва да бъдат управлявани, е необходимо да </w:t>
      </w:r>
      <w:r w:rsidR="00852AD9" w:rsidRPr="00EA7BE6">
        <w:rPr>
          <w:sz w:val="22"/>
          <w:lang w:val="bg-BG"/>
        </w:rPr>
        <w:t xml:space="preserve">бъдат разгледани различните възможности за правно-организационна форма </w:t>
      </w:r>
      <w:r w:rsidR="002F0C19" w:rsidRPr="00EA7BE6">
        <w:rPr>
          <w:sz w:val="22"/>
          <w:lang w:val="bg-BG"/>
        </w:rPr>
        <w:t xml:space="preserve">на </w:t>
      </w:r>
      <w:r w:rsidR="00852AD9" w:rsidRPr="00EA7BE6">
        <w:rPr>
          <w:sz w:val="22"/>
          <w:lang w:val="bg-BG"/>
        </w:rPr>
        <w:t>структурата за управление на риска срещу неблагоприятни климатични събития в земеделието, която да отразява в максимална степен особеностите на сега действащите правни режими и законодателство</w:t>
      </w:r>
      <w:r w:rsidR="002F0C19" w:rsidRPr="00EA7BE6">
        <w:rPr>
          <w:sz w:val="22"/>
          <w:lang w:val="bg-BG"/>
        </w:rPr>
        <w:t>то</w:t>
      </w:r>
      <w:r w:rsidR="00852AD9" w:rsidRPr="00EA7BE6">
        <w:rPr>
          <w:sz w:val="22"/>
          <w:lang w:val="bg-BG"/>
        </w:rPr>
        <w:t xml:space="preserve"> в страната. </w:t>
      </w:r>
      <w:r w:rsidR="000F1168" w:rsidRPr="00EA7BE6">
        <w:rPr>
          <w:sz w:val="22"/>
          <w:lang w:val="bg-BG"/>
        </w:rPr>
        <w:t>Възможно е да бъдат разширени функциите на сега съществуващата Изпълнителна агенция „Борба с градушките“ или да бъде създадена нова структура за управление на риска срещу природни бедствия и неблагоприятни климатични събития в земеделието.</w:t>
      </w:r>
      <w:r w:rsidR="00096796" w:rsidRPr="00EA7BE6">
        <w:rPr>
          <w:sz w:val="22"/>
          <w:lang w:val="bg-BG"/>
        </w:rPr>
        <w:t xml:space="preserve"> </w:t>
      </w:r>
    </w:p>
    <w:p w:rsidR="00096796" w:rsidRPr="00EA7BE6" w:rsidRDefault="00096796" w:rsidP="0089582B">
      <w:pPr>
        <w:spacing w:after="0"/>
        <w:rPr>
          <w:sz w:val="22"/>
          <w:lang w:val="bg-BG"/>
        </w:rPr>
      </w:pPr>
      <w:r w:rsidRPr="00EA7BE6">
        <w:rPr>
          <w:sz w:val="22"/>
          <w:lang w:val="bg-BG"/>
        </w:rPr>
        <w:t>Решаването на горепосочените проблеми не може да бъде осъществено в рамките на сега действащата нормативна уредба, което обуславя необходимостта от нейното изменение.</w:t>
      </w:r>
    </w:p>
    <w:p w:rsidR="00096796" w:rsidRPr="00EA7BE6" w:rsidRDefault="00096796" w:rsidP="0089582B">
      <w:pPr>
        <w:spacing w:after="0"/>
        <w:rPr>
          <w:sz w:val="22"/>
          <w:lang w:val="bg-BG"/>
        </w:rPr>
      </w:pPr>
    </w:p>
    <w:p w:rsidR="009C25BF" w:rsidRPr="00EA7BE6" w:rsidRDefault="009C25BF" w:rsidP="004572C6">
      <w:pPr>
        <w:pStyle w:val="Heading2"/>
        <w:spacing w:before="240" w:after="120"/>
        <w:rPr>
          <w:rFonts w:cs="Times New Roman"/>
          <w:sz w:val="22"/>
          <w:szCs w:val="22"/>
          <w:lang w:val="bg-BG"/>
        </w:rPr>
      </w:pPr>
      <w:r w:rsidRPr="00EA7BE6">
        <w:rPr>
          <w:rFonts w:cs="Times New Roman"/>
          <w:sz w:val="22"/>
          <w:szCs w:val="22"/>
          <w:lang w:val="bg-BG"/>
        </w:rPr>
        <w:t>III. Заинтересовани страни</w:t>
      </w:r>
      <w:bookmarkEnd w:id="9"/>
    </w:p>
    <w:p w:rsidR="004572C6" w:rsidRPr="00EA7BE6" w:rsidRDefault="004572C6" w:rsidP="006B3BB7">
      <w:pPr>
        <w:pStyle w:val="ListParagraph"/>
        <w:tabs>
          <w:tab w:val="left" w:pos="885"/>
        </w:tabs>
        <w:spacing w:after="120"/>
        <w:ind w:left="0"/>
        <w:rPr>
          <w:color w:val="000000" w:themeColor="text1"/>
          <w:sz w:val="22"/>
          <w:lang w:val="bg-BG"/>
        </w:rPr>
      </w:pPr>
    </w:p>
    <w:p w:rsidR="009C25BF" w:rsidRPr="00EA7BE6" w:rsidRDefault="009C25BF" w:rsidP="006B3BB7">
      <w:pPr>
        <w:pStyle w:val="ListParagraph"/>
        <w:tabs>
          <w:tab w:val="left" w:pos="885"/>
        </w:tabs>
        <w:spacing w:after="120"/>
        <w:ind w:left="0"/>
        <w:rPr>
          <w:color w:val="000000" w:themeColor="text1"/>
          <w:sz w:val="22"/>
          <w:lang w:val="bg-BG"/>
        </w:rPr>
      </w:pPr>
      <w:r w:rsidRPr="00EA7BE6">
        <w:rPr>
          <w:color w:val="000000" w:themeColor="text1"/>
          <w:sz w:val="22"/>
          <w:lang w:val="bg-BG"/>
        </w:rPr>
        <w:t xml:space="preserve">При определяне на заинтересованите страни от приемането на проекта на </w:t>
      </w:r>
      <w:r w:rsidR="00B4219C" w:rsidRPr="00EA7BE6">
        <w:rPr>
          <w:bCs/>
          <w:color w:val="000000" w:themeColor="text1"/>
          <w:sz w:val="22"/>
          <w:lang w:val="bg-BG"/>
        </w:rPr>
        <w:t>Закон за превенция от неблагоприятни климатични събития в земеделието</w:t>
      </w:r>
      <w:r w:rsidRPr="00EA7BE6">
        <w:rPr>
          <w:color w:val="000000" w:themeColor="text1"/>
          <w:sz w:val="22"/>
          <w:lang w:val="bg-BG"/>
        </w:rPr>
        <w:t xml:space="preserve"> са взети предвид действащите нормативни положения в сектора и заложените в проекта промени. Според резултатите от направените съпоставки се очаква приемането на проектозакона да засегне правната сфера на </w:t>
      </w:r>
      <w:r w:rsidR="00F60862" w:rsidRPr="00EA7BE6">
        <w:rPr>
          <w:color w:val="000000" w:themeColor="text1"/>
          <w:sz w:val="22"/>
          <w:lang w:val="bg-BG"/>
        </w:rPr>
        <w:t>три</w:t>
      </w:r>
      <w:r w:rsidRPr="00EA7BE6">
        <w:rPr>
          <w:color w:val="000000" w:themeColor="text1"/>
          <w:sz w:val="22"/>
          <w:lang w:val="bg-BG"/>
        </w:rPr>
        <w:t xml:space="preserve"> категории субекти. Това са тези лица, за които в закона са предвидени нови права и задължения </w:t>
      </w:r>
      <w:r w:rsidR="00A36251" w:rsidRPr="00EA7BE6">
        <w:rPr>
          <w:color w:val="000000" w:themeColor="text1"/>
          <w:sz w:val="22"/>
          <w:lang w:val="bg-BG"/>
        </w:rPr>
        <w:t>по отношение на превенцията срещу неблагоприятни климатични събития в земеделието.</w:t>
      </w:r>
      <w:r w:rsidRPr="00EA7BE6">
        <w:rPr>
          <w:color w:val="000000" w:themeColor="text1"/>
          <w:sz w:val="22"/>
          <w:lang w:val="bg-BG"/>
        </w:rPr>
        <w:t xml:space="preserve"> Така заинтересовани страни от приемането на настоящия проект на закон са </w:t>
      </w:r>
      <w:r w:rsidR="00A36251" w:rsidRPr="00EA7BE6">
        <w:rPr>
          <w:color w:val="000000" w:themeColor="text1"/>
          <w:sz w:val="22"/>
          <w:lang w:val="bg-BG"/>
        </w:rPr>
        <w:t>земеделските стопани, които обработват земя и трайни насаждения, застрахователните компании, които предлагат застраховки по класове „Сухопътни превозни средства (без релсови превозни средства)“, „Пожар и природни бедствия“ и „Други щети на имущество“</w:t>
      </w:r>
      <w:r w:rsidRPr="00EA7BE6">
        <w:rPr>
          <w:color w:val="000000" w:themeColor="text1"/>
          <w:sz w:val="22"/>
          <w:lang w:val="bg-BG"/>
        </w:rPr>
        <w:t xml:space="preserve">. Заинтересовани страни са още и държавните институции, отговорни за прилагането на закона. </w:t>
      </w:r>
    </w:p>
    <w:p w:rsidR="009C25BF" w:rsidRPr="00EA7BE6" w:rsidRDefault="009C25BF" w:rsidP="006B3BB7">
      <w:pPr>
        <w:pStyle w:val="Heading2"/>
        <w:spacing w:before="240" w:after="120"/>
        <w:rPr>
          <w:rFonts w:cs="Times New Roman"/>
          <w:sz w:val="22"/>
          <w:szCs w:val="22"/>
          <w:lang w:val="bg-BG"/>
        </w:rPr>
      </w:pPr>
      <w:bookmarkStart w:id="10" w:name="_Toc496709941"/>
      <w:r w:rsidRPr="00EA7BE6">
        <w:rPr>
          <w:rFonts w:cs="Times New Roman"/>
          <w:sz w:val="22"/>
          <w:szCs w:val="22"/>
          <w:lang w:val="bg-BG"/>
        </w:rPr>
        <w:t xml:space="preserve">III.1. </w:t>
      </w:r>
      <w:bookmarkEnd w:id="10"/>
      <w:r w:rsidR="004679C9" w:rsidRPr="00EA7BE6">
        <w:rPr>
          <w:rFonts w:cs="Times New Roman"/>
          <w:sz w:val="22"/>
          <w:szCs w:val="22"/>
          <w:lang w:val="bg-BG"/>
        </w:rPr>
        <w:t>Земеделски стопани</w:t>
      </w:r>
      <w:r w:rsidRPr="00EA7BE6">
        <w:rPr>
          <w:rFonts w:cs="Times New Roman"/>
          <w:sz w:val="22"/>
          <w:szCs w:val="22"/>
          <w:lang w:val="bg-BG"/>
        </w:rPr>
        <w:t xml:space="preserve"> </w:t>
      </w:r>
    </w:p>
    <w:p w:rsidR="00077C27" w:rsidRDefault="00077C27" w:rsidP="00077C27">
      <w:pPr>
        <w:rPr>
          <w:sz w:val="22"/>
          <w:lang w:val="bg-BG"/>
        </w:rPr>
      </w:pPr>
      <w:r w:rsidRPr="00EA7BE6">
        <w:rPr>
          <w:sz w:val="22"/>
          <w:lang w:val="bg-BG"/>
        </w:rPr>
        <w:t xml:space="preserve">В законопроекта е предвидено ежегодни задължителни вноски за превенция от природни бедствия и неблагоприятни климатични събития в земеделието да бъдат заплащани от земеделските стопани. В </w:t>
      </w:r>
      <w:r w:rsidRPr="00EA7BE6">
        <w:rPr>
          <w:sz w:val="22"/>
          <w:lang w:val="bg-BG"/>
        </w:rPr>
        <w:lastRenderedPageBreak/>
        <w:t>обхвата на задължените лица ще попаднат само земеделски стопани, които обработва</w:t>
      </w:r>
      <w:r w:rsidR="00942A3B" w:rsidRPr="00EA7BE6">
        <w:rPr>
          <w:sz w:val="22"/>
          <w:lang w:val="bg-BG"/>
        </w:rPr>
        <w:t>т</w:t>
      </w:r>
      <w:r w:rsidRPr="00EA7BE6">
        <w:rPr>
          <w:sz w:val="22"/>
          <w:lang w:val="bg-BG"/>
        </w:rPr>
        <w:t xml:space="preserve"> земя и трайни насаждения, заявени за подпомагане по Схемата за единно плащане на площ. От кръга на задължените лица са изключени собствениците или ползвателите на пасища, мери и ливади. </w:t>
      </w:r>
      <w:r w:rsidR="00753414" w:rsidRPr="00EA7BE6">
        <w:rPr>
          <w:sz w:val="22"/>
          <w:lang w:val="bg-BG"/>
        </w:rPr>
        <w:t>По данни за кампания 2016 г. за прилагането на Схемата за единно плащане на площ, земеделските стопани, които обработват земя и трайни насаждения</w:t>
      </w:r>
      <w:r w:rsidR="003E4D49">
        <w:rPr>
          <w:sz w:val="22"/>
          <w:lang w:val="bg-BG"/>
        </w:rPr>
        <w:t>,</w:t>
      </w:r>
      <w:r w:rsidR="00753414" w:rsidRPr="00EA7BE6">
        <w:rPr>
          <w:sz w:val="22"/>
          <w:lang w:val="bg-BG"/>
        </w:rPr>
        <w:t xml:space="preserve"> са 61 473. В таблицата по-долу са посочени данни за размера на стопанствата, заявили подпомагане по Схемата за единно плащане на площ за кампания 2016 година.</w:t>
      </w:r>
    </w:p>
    <w:p w:rsidR="00A9178D" w:rsidRDefault="00A9178D" w:rsidP="00C53587">
      <w:pPr>
        <w:spacing w:after="0"/>
        <w:rPr>
          <w:b/>
          <w:sz w:val="22"/>
          <w:lang w:val="ru-RU"/>
        </w:rPr>
      </w:pPr>
      <w:r w:rsidRPr="00EA7BE6">
        <w:rPr>
          <w:b/>
          <w:sz w:val="22"/>
          <w:lang w:val="bg-BG"/>
        </w:rPr>
        <w:t xml:space="preserve">Таблица </w:t>
      </w:r>
      <w:r>
        <w:rPr>
          <w:b/>
          <w:sz w:val="22"/>
          <w:lang w:val="ru-RU"/>
        </w:rPr>
        <w:t>4</w:t>
      </w:r>
    </w:p>
    <w:p w:rsidR="00A9178D" w:rsidRPr="00C53587" w:rsidRDefault="00A9178D" w:rsidP="00C53587">
      <w:pPr>
        <w:spacing w:after="0"/>
        <w:rPr>
          <w:b/>
          <w:sz w:val="22"/>
          <w:lang w:val="ru-RU"/>
        </w:rPr>
      </w:pPr>
      <w:r w:rsidRPr="00EF759E">
        <w:rPr>
          <w:b/>
          <w:bCs/>
          <w:color w:val="000000"/>
          <w:sz w:val="22"/>
          <w:lang w:val="bg-BG" w:eastAsia="bg-BG"/>
        </w:rPr>
        <w:t>Данни за размера на стопанствата, заявили подпомагане по СЕПП, кампани</w:t>
      </w:r>
      <w:r>
        <w:rPr>
          <w:b/>
          <w:bCs/>
          <w:color w:val="000000"/>
          <w:sz w:val="22"/>
          <w:lang w:val="bg-BG" w:eastAsia="bg-BG"/>
        </w:rPr>
        <w:t>я</w:t>
      </w:r>
      <w:r w:rsidRPr="00EF759E">
        <w:rPr>
          <w:b/>
          <w:bCs/>
          <w:color w:val="000000"/>
          <w:sz w:val="22"/>
          <w:lang w:val="bg-BG" w:eastAsia="bg-BG"/>
        </w:rPr>
        <w:t>` 2016</w:t>
      </w:r>
    </w:p>
    <w:tbl>
      <w:tblPr>
        <w:tblW w:w="8419" w:type="dxa"/>
        <w:tblInd w:w="55" w:type="dxa"/>
        <w:tblLayout w:type="fixed"/>
        <w:tblCellMar>
          <w:left w:w="70" w:type="dxa"/>
          <w:right w:w="70" w:type="dxa"/>
        </w:tblCellMar>
        <w:tblLook w:val="04A0" w:firstRow="1" w:lastRow="0" w:firstColumn="1" w:lastColumn="0" w:noHBand="0" w:noVBand="1"/>
      </w:tblPr>
      <w:tblGrid>
        <w:gridCol w:w="3015"/>
        <w:gridCol w:w="2702"/>
        <w:gridCol w:w="2702"/>
      </w:tblGrid>
      <w:tr w:rsidR="00B978FB" w:rsidRPr="00EA7BE6" w:rsidTr="00C53587">
        <w:trPr>
          <w:trHeight w:val="404"/>
        </w:trPr>
        <w:tc>
          <w:tcPr>
            <w:tcW w:w="3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center"/>
              <w:rPr>
                <w:b/>
                <w:bCs/>
                <w:sz w:val="22"/>
                <w:lang w:val="bg-BG"/>
              </w:rPr>
            </w:pPr>
            <w:r w:rsidRPr="00EA7BE6">
              <w:rPr>
                <w:b/>
                <w:bCs/>
                <w:sz w:val="22"/>
                <w:lang w:val="bg-BG"/>
              </w:rPr>
              <w:t>Размер на стопанството</w:t>
            </w:r>
          </w:p>
        </w:tc>
        <w:tc>
          <w:tcPr>
            <w:tcW w:w="5404" w:type="dxa"/>
            <w:gridSpan w:val="2"/>
            <w:tcBorders>
              <w:top w:val="single" w:sz="4" w:space="0" w:color="auto"/>
              <w:left w:val="nil"/>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center"/>
              <w:rPr>
                <w:b/>
                <w:bCs/>
                <w:sz w:val="22"/>
                <w:lang w:val="bg-BG"/>
              </w:rPr>
            </w:pPr>
            <w:r w:rsidRPr="00EA7BE6">
              <w:rPr>
                <w:b/>
                <w:bCs/>
                <w:sz w:val="22"/>
                <w:lang w:val="bg-BG"/>
              </w:rPr>
              <w:t>Кампания` 2016</w:t>
            </w:r>
          </w:p>
        </w:tc>
      </w:tr>
      <w:tr w:rsidR="00B978FB" w:rsidRPr="00EA7BE6" w:rsidTr="00C53587">
        <w:trPr>
          <w:trHeight w:val="649"/>
        </w:trPr>
        <w:tc>
          <w:tcPr>
            <w:tcW w:w="3015" w:type="dxa"/>
            <w:vMerge/>
            <w:tcBorders>
              <w:top w:val="single" w:sz="4" w:space="0" w:color="auto"/>
              <w:left w:val="single" w:sz="4" w:space="0" w:color="auto"/>
              <w:bottom w:val="single" w:sz="4" w:space="0" w:color="auto"/>
              <w:right w:val="single" w:sz="4" w:space="0" w:color="auto"/>
            </w:tcBorders>
            <w:vAlign w:val="center"/>
            <w:hideMark/>
          </w:tcPr>
          <w:p w:rsidR="00B978FB" w:rsidRPr="00EA7BE6" w:rsidRDefault="00B978FB" w:rsidP="00C53587">
            <w:pPr>
              <w:jc w:val="center"/>
              <w:rPr>
                <w:b/>
                <w:bCs/>
                <w:sz w:val="22"/>
                <w:lang w:val="bg-BG"/>
              </w:rPr>
            </w:pPr>
          </w:p>
        </w:tc>
        <w:tc>
          <w:tcPr>
            <w:tcW w:w="2702" w:type="dxa"/>
            <w:tcBorders>
              <w:top w:val="nil"/>
              <w:left w:val="nil"/>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center"/>
              <w:rPr>
                <w:b/>
                <w:bCs/>
                <w:sz w:val="22"/>
                <w:lang w:val="bg-BG"/>
              </w:rPr>
            </w:pPr>
            <w:r w:rsidRPr="00EA7BE6">
              <w:rPr>
                <w:b/>
                <w:bCs/>
                <w:sz w:val="22"/>
                <w:lang w:val="bg-BG"/>
              </w:rPr>
              <w:t xml:space="preserve">Стопанства, </w:t>
            </w:r>
            <w:r w:rsidRPr="00EA7BE6">
              <w:rPr>
                <w:b/>
                <w:bCs/>
                <w:sz w:val="22"/>
                <w:lang w:val="bg-BG"/>
              </w:rPr>
              <w:br/>
              <w:t>брой</w:t>
            </w:r>
          </w:p>
        </w:tc>
        <w:tc>
          <w:tcPr>
            <w:tcW w:w="2702" w:type="dxa"/>
            <w:tcBorders>
              <w:top w:val="nil"/>
              <w:left w:val="nil"/>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center"/>
              <w:rPr>
                <w:b/>
                <w:bCs/>
                <w:sz w:val="22"/>
                <w:lang w:val="bg-BG"/>
              </w:rPr>
            </w:pPr>
            <w:r w:rsidRPr="00EA7BE6">
              <w:rPr>
                <w:b/>
                <w:bCs/>
                <w:sz w:val="22"/>
                <w:lang w:val="bg-BG"/>
              </w:rPr>
              <w:t>Дял на стопанствата,</w:t>
            </w:r>
            <w:r w:rsidRPr="00EA7BE6">
              <w:rPr>
                <w:b/>
                <w:bCs/>
                <w:sz w:val="22"/>
                <w:lang w:val="bg-BG"/>
              </w:rPr>
              <w:br/>
              <w:t>%</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&lt;100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35 865</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58,3%</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100 - 500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16 375</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26,6%</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500</w:t>
            </w:r>
            <w:r w:rsidR="00A9178D">
              <w:rPr>
                <w:sz w:val="22"/>
                <w:lang w:val="bg-BG"/>
              </w:rPr>
              <w:t xml:space="preserve"> </w:t>
            </w:r>
            <w:r w:rsidRPr="00EA7BE6">
              <w:rPr>
                <w:sz w:val="22"/>
                <w:lang w:val="bg-BG"/>
              </w:rPr>
              <w:t>-1 000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3 602</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5,9%</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1 000 - 5 000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3 815</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6,2%</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5 000 - 10 000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1 105</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1,8%</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10 000 - 50 000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690</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1,1%</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50 000 - 100 000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14</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0,02%</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sz w:val="22"/>
                <w:lang w:val="bg-BG"/>
              </w:rPr>
            </w:pPr>
            <w:r w:rsidRPr="00EA7BE6">
              <w:rPr>
                <w:sz w:val="22"/>
                <w:lang w:val="bg-BG"/>
              </w:rPr>
              <w:t>100 000 - 200 000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5</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0,01%</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left"/>
              <w:rPr>
                <w:sz w:val="22"/>
                <w:lang w:val="bg-BG"/>
              </w:rPr>
            </w:pPr>
            <w:r w:rsidRPr="00EA7BE6">
              <w:rPr>
                <w:sz w:val="22"/>
                <w:lang w:val="bg-BG"/>
              </w:rPr>
              <w:t>&gt;200 00 дка</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2</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sz w:val="22"/>
                <w:lang w:val="bg-BG"/>
              </w:rPr>
            </w:pPr>
            <w:r w:rsidRPr="00EA7BE6">
              <w:rPr>
                <w:sz w:val="22"/>
                <w:lang w:val="bg-BG"/>
              </w:rPr>
              <w:t>0,003%</w:t>
            </w:r>
          </w:p>
        </w:tc>
      </w:tr>
      <w:tr w:rsidR="00B978FB" w:rsidRPr="00EA7BE6" w:rsidTr="00C53587">
        <w:trPr>
          <w:trHeight w:val="308"/>
        </w:trPr>
        <w:tc>
          <w:tcPr>
            <w:tcW w:w="3015" w:type="dxa"/>
            <w:tcBorders>
              <w:top w:val="nil"/>
              <w:left w:val="single" w:sz="4" w:space="0" w:color="auto"/>
              <w:bottom w:val="single" w:sz="4" w:space="0" w:color="auto"/>
              <w:right w:val="single" w:sz="4" w:space="0" w:color="auto"/>
            </w:tcBorders>
            <w:shd w:val="clear" w:color="auto" w:fill="auto"/>
            <w:vAlign w:val="center"/>
            <w:hideMark/>
          </w:tcPr>
          <w:p w:rsidR="00B978FB" w:rsidRPr="00EA7BE6" w:rsidRDefault="00B978FB" w:rsidP="00C53587">
            <w:pPr>
              <w:spacing w:after="0" w:line="240" w:lineRule="auto"/>
              <w:jc w:val="left"/>
              <w:rPr>
                <w:b/>
                <w:bCs/>
                <w:sz w:val="22"/>
                <w:lang w:val="bg-BG"/>
              </w:rPr>
            </w:pPr>
            <w:r w:rsidRPr="00EA7BE6">
              <w:rPr>
                <w:b/>
                <w:bCs/>
                <w:sz w:val="22"/>
                <w:lang w:val="bg-BG"/>
              </w:rPr>
              <w:t>Общо</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b/>
                <w:bCs/>
                <w:sz w:val="22"/>
                <w:lang w:val="bg-BG"/>
              </w:rPr>
            </w:pPr>
            <w:r w:rsidRPr="00EA7BE6">
              <w:rPr>
                <w:b/>
                <w:bCs/>
                <w:sz w:val="22"/>
                <w:lang w:val="bg-BG"/>
              </w:rPr>
              <w:t>61 473</w:t>
            </w:r>
          </w:p>
        </w:tc>
        <w:tc>
          <w:tcPr>
            <w:tcW w:w="2702" w:type="dxa"/>
            <w:tcBorders>
              <w:top w:val="nil"/>
              <w:left w:val="nil"/>
              <w:bottom w:val="single" w:sz="4" w:space="0" w:color="auto"/>
              <w:right w:val="single" w:sz="4" w:space="0" w:color="auto"/>
            </w:tcBorders>
            <w:shd w:val="clear" w:color="auto" w:fill="auto"/>
            <w:noWrap/>
            <w:vAlign w:val="center"/>
            <w:hideMark/>
          </w:tcPr>
          <w:p w:rsidR="00B978FB" w:rsidRPr="00EA7BE6" w:rsidRDefault="00B978FB" w:rsidP="00C53587">
            <w:pPr>
              <w:spacing w:after="0" w:line="240" w:lineRule="auto"/>
              <w:jc w:val="right"/>
              <w:rPr>
                <w:b/>
                <w:bCs/>
                <w:sz w:val="22"/>
                <w:lang w:val="bg-BG"/>
              </w:rPr>
            </w:pPr>
            <w:r w:rsidRPr="00EA7BE6">
              <w:rPr>
                <w:b/>
                <w:bCs/>
                <w:sz w:val="22"/>
                <w:lang w:val="bg-BG"/>
              </w:rPr>
              <w:t>100%</w:t>
            </w:r>
          </w:p>
        </w:tc>
      </w:tr>
    </w:tbl>
    <w:p w:rsidR="009C25BF" w:rsidRPr="00EA7BE6" w:rsidRDefault="009C25BF" w:rsidP="006B3BB7">
      <w:pPr>
        <w:pStyle w:val="Heading2"/>
        <w:spacing w:before="240" w:after="120"/>
        <w:rPr>
          <w:rFonts w:cs="Times New Roman"/>
          <w:sz w:val="22"/>
          <w:szCs w:val="22"/>
          <w:lang w:val="bg-BG"/>
        </w:rPr>
      </w:pPr>
      <w:bookmarkStart w:id="11" w:name="_Toc496709942"/>
      <w:r w:rsidRPr="00EA7BE6">
        <w:rPr>
          <w:rFonts w:cs="Times New Roman"/>
          <w:sz w:val="22"/>
          <w:szCs w:val="22"/>
          <w:lang w:val="bg-BG"/>
        </w:rPr>
        <w:t xml:space="preserve">III.2. </w:t>
      </w:r>
      <w:bookmarkEnd w:id="11"/>
      <w:r w:rsidR="003E45A2" w:rsidRPr="00EA7BE6">
        <w:rPr>
          <w:rFonts w:cs="Times New Roman"/>
          <w:sz w:val="22"/>
          <w:szCs w:val="22"/>
          <w:lang w:val="bg-BG"/>
        </w:rPr>
        <w:t>Застрахователни компании</w:t>
      </w:r>
    </w:p>
    <w:p w:rsidR="00F12648" w:rsidRDefault="00986AF4" w:rsidP="00F12648">
      <w:pPr>
        <w:rPr>
          <w:sz w:val="22"/>
          <w:lang w:val="bg-BG"/>
        </w:rPr>
      </w:pPr>
      <w:r w:rsidRPr="00EA7BE6">
        <w:rPr>
          <w:sz w:val="22"/>
          <w:lang w:val="bg-BG"/>
        </w:rPr>
        <w:t>В законопроекта е предвидено ежегодни задължителни вноски за превенция от природни бедствия и неблагоприятни климатични събития в земеделието да бъдат заплащани и от застрахователни компании.</w:t>
      </w:r>
      <w:r w:rsidR="00E51A97" w:rsidRPr="00EA7BE6">
        <w:rPr>
          <w:sz w:val="22"/>
          <w:lang w:val="bg-BG"/>
        </w:rPr>
        <w:t xml:space="preserve"> </w:t>
      </w:r>
      <w:r w:rsidR="00AB7A1D" w:rsidRPr="00EA7BE6">
        <w:rPr>
          <w:sz w:val="22"/>
          <w:lang w:val="bg-BG"/>
        </w:rPr>
        <w:t>В обхвата на задължените лица ще попаднат само застрахователни компании, които предлагат застраховки по класове „Сухопътни превозни средства (без релсови превозни средства)“, „Пожар и природни бедствия“ и „Други щети на имущество“. По данни за брутния премиен приход, реализиран от застрахователите, които извършват дейност по общо застраховане към 31.12.2017 г., публикувани от Комисията за финансов надзор</w:t>
      </w:r>
      <w:r w:rsidR="003E4D49">
        <w:rPr>
          <w:sz w:val="22"/>
          <w:lang w:val="bg-BG"/>
        </w:rPr>
        <w:t>,</w:t>
      </w:r>
      <w:r w:rsidR="00AB7A1D" w:rsidRPr="00EA7BE6">
        <w:rPr>
          <w:sz w:val="22"/>
          <w:lang w:val="bg-BG"/>
        </w:rPr>
        <w:t xml:space="preserve"> застрахователните компании, които предлагат посочените класове застраховки</w:t>
      </w:r>
      <w:r w:rsidR="003E4D49">
        <w:rPr>
          <w:sz w:val="22"/>
          <w:lang w:val="bg-BG"/>
        </w:rPr>
        <w:t>,</w:t>
      </w:r>
      <w:r w:rsidR="00AB7A1D" w:rsidRPr="00EA7BE6">
        <w:rPr>
          <w:sz w:val="22"/>
          <w:lang w:val="bg-BG"/>
        </w:rPr>
        <w:t xml:space="preserve"> са 21. В таблицата по-долу са посочени данни за брутния премиен приход, реализиран от застрахователите, които извършват дейност по общо застраховане към 31.12.2017 г. за съответните класове застраховки.</w:t>
      </w:r>
    </w:p>
    <w:p w:rsidR="00A9178D" w:rsidRDefault="00A9178D" w:rsidP="00C53587">
      <w:pPr>
        <w:spacing w:after="0" w:line="240" w:lineRule="auto"/>
        <w:rPr>
          <w:b/>
          <w:sz w:val="22"/>
          <w:lang w:val="ru-RU"/>
        </w:rPr>
      </w:pPr>
      <w:r w:rsidRPr="00EA7BE6">
        <w:rPr>
          <w:b/>
          <w:sz w:val="22"/>
          <w:lang w:val="bg-BG"/>
        </w:rPr>
        <w:t xml:space="preserve">Таблица </w:t>
      </w:r>
      <w:r>
        <w:rPr>
          <w:b/>
          <w:sz w:val="22"/>
          <w:lang w:val="ru-RU"/>
        </w:rPr>
        <w:t>5</w:t>
      </w:r>
    </w:p>
    <w:p w:rsidR="00A9178D" w:rsidRPr="00C53587" w:rsidRDefault="00A9178D" w:rsidP="00C53587">
      <w:pPr>
        <w:spacing w:after="0" w:line="240" w:lineRule="auto"/>
        <w:rPr>
          <w:b/>
          <w:sz w:val="22"/>
          <w:lang w:val="bg-BG"/>
        </w:rPr>
      </w:pPr>
      <w:r w:rsidRPr="00C53587">
        <w:rPr>
          <w:b/>
          <w:sz w:val="22"/>
          <w:lang w:val="bg-BG"/>
        </w:rPr>
        <w:t xml:space="preserve">Данни за брутния премиен приход на застрахователните компании </w:t>
      </w:r>
      <w:r w:rsidR="00132F96" w:rsidRPr="00132F96">
        <w:rPr>
          <w:b/>
          <w:sz w:val="22"/>
          <w:lang w:val="bg-BG"/>
        </w:rPr>
        <w:t>по класове</w:t>
      </w:r>
      <w:r w:rsidR="00132F96">
        <w:rPr>
          <w:b/>
          <w:sz w:val="22"/>
          <w:lang w:val="bg-BG"/>
        </w:rPr>
        <w:t xml:space="preserve"> </w:t>
      </w:r>
      <w:r w:rsidRPr="00C53587">
        <w:rPr>
          <w:b/>
          <w:sz w:val="22"/>
          <w:lang w:val="bg-BG"/>
        </w:rPr>
        <w:t>„Сухопътни превозни средства (без релсови превозни средства)“, „Пожар и природни бедствия“ и „Други щети на имущество“ през 2017 г.</w:t>
      </w:r>
      <w:r>
        <w:rPr>
          <w:b/>
          <w:sz w:val="22"/>
          <w:lang w:val="bg-BG"/>
        </w:rPr>
        <w:t>, лева</w:t>
      </w:r>
    </w:p>
    <w:tbl>
      <w:tblPr>
        <w:tblStyle w:val="TableGrid"/>
        <w:tblW w:w="10082" w:type="dxa"/>
        <w:tblLook w:val="04A0" w:firstRow="1" w:lastRow="0" w:firstColumn="1" w:lastColumn="0" w:noHBand="0" w:noVBand="1"/>
      </w:tblPr>
      <w:tblGrid>
        <w:gridCol w:w="438"/>
        <w:gridCol w:w="3045"/>
        <w:gridCol w:w="2199"/>
        <w:gridCol w:w="2200"/>
        <w:gridCol w:w="2200"/>
      </w:tblGrid>
      <w:tr w:rsidR="00A72A3D" w:rsidRPr="00A77283" w:rsidTr="00A9178D">
        <w:trPr>
          <w:trHeight w:val="1051"/>
        </w:trPr>
        <w:tc>
          <w:tcPr>
            <w:tcW w:w="0" w:type="auto"/>
          </w:tcPr>
          <w:p w:rsidR="00A72A3D" w:rsidRPr="00C53587" w:rsidRDefault="00A72A3D" w:rsidP="00A72A3D">
            <w:pPr>
              <w:rPr>
                <w:b/>
                <w:bCs/>
                <w:sz w:val="22"/>
                <w:lang w:val="ru-RU"/>
              </w:rPr>
            </w:pPr>
            <w:r w:rsidRPr="00C53587">
              <w:rPr>
                <w:b/>
                <w:bCs/>
                <w:sz w:val="22"/>
                <w:lang w:val="ru-RU"/>
              </w:rPr>
              <w:t>№</w:t>
            </w:r>
          </w:p>
        </w:tc>
        <w:tc>
          <w:tcPr>
            <w:tcW w:w="3046" w:type="dxa"/>
            <w:vAlign w:val="center"/>
            <w:hideMark/>
          </w:tcPr>
          <w:p w:rsidR="00A72A3D" w:rsidRPr="00A9178D" w:rsidRDefault="00A9178D" w:rsidP="00A9178D">
            <w:pPr>
              <w:jc w:val="center"/>
              <w:rPr>
                <w:b/>
                <w:bCs/>
                <w:sz w:val="22"/>
                <w:lang w:val="bg-BG"/>
              </w:rPr>
            </w:pPr>
            <w:r w:rsidRPr="00C53587">
              <w:rPr>
                <w:b/>
                <w:bCs/>
                <w:sz w:val="22"/>
                <w:lang w:val="ru-RU"/>
              </w:rPr>
              <w:t>Класове застраховки</w:t>
            </w:r>
            <w:r w:rsidR="00A72A3D" w:rsidRPr="00A9178D">
              <w:rPr>
                <w:b/>
                <w:bCs/>
                <w:sz w:val="22"/>
                <w:lang w:val="bg-BG"/>
              </w:rPr>
              <w:t>/</w:t>
            </w:r>
          </w:p>
          <w:p w:rsidR="00A72A3D" w:rsidRPr="00A9178D" w:rsidRDefault="00A9178D" w:rsidP="00A9178D">
            <w:pPr>
              <w:jc w:val="center"/>
              <w:rPr>
                <w:b/>
                <w:bCs/>
                <w:sz w:val="22"/>
                <w:lang w:val="bg-BG"/>
              </w:rPr>
            </w:pPr>
            <w:r w:rsidRPr="00A9178D">
              <w:rPr>
                <w:b/>
                <w:bCs/>
                <w:sz w:val="22"/>
                <w:lang w:val="bg-BG"/>
              </w:rPr>
              <w:t>Застрахователна компания</w:t>
            </w:r>
          </w:p>
        </w:tc>
        <w:tc>
          <w:tcPr>
            <w:tcW w:w="2200" w:type="dxa"/>
            <w:vAlign w:val="center"/>
            <w:hideMark/>
          </w:tcPr>
          <w:p w:rsidR="00A72A3D" w:rsidRPr="00A9178D" w:rsidRDefault="00A9178D" w:rsidP="00A9178D">
            <w:pPr>
              <w:jc w:val="center"/>
              <w:rPr>
                <w:b/>
                <w:sz w:val="22"/>
                <w:lang w:val="bg-BG"/>
              </w:rPr>
            </w:pPr>
            <w:r w:rsidRPr="00A9178D">
              <w:rPr>
                <w:b/>
                <w:sz w:val="22"/>
                <w:lang w:val="ru-RU"/>
              </w:rPr>
              <w:t>"Сухопътни превозни средства (без релсови превозни средства)"</w:t>
            </w:r>
            <w:r w:rsidR="00A72A3D" w:rsidRPr="00A9178D">
              <w:rPr>
                <w:b/>
                <w:sz w:val="22"/>
                <w:lang w:val="bg-BG"/>
              </w:rPr>
              <w:t>,</w:t>
            </w:r>
          </w:p>
          <w:p w:rsidR="00A72A3D" w:rsidRPr="00A9178D" w:rsidRDefault="00A72A3D" w:rsidP="00A9178D">
            <w:pPr>
              <w:jc w:val="center"/>
              <w:rPr>
                <w:b/>
                <w:sz w:val="22"/>
                <w:lang w:val="bg-BG"/>
              </w:rPr>
            </w:pPr>
          </w:p>
        </w:tc>
        <w:tc>
          <w:tcPr>
            <w:tcW w:w="2201" w:type="dxa"/>
            <w:vAlign w:val="center"/>
            <w:hideMark/>
          </w:tcPr>
          <w:p w:rsidR="00A72A3D" w:rsidRPr="00A9178D" w:rsidRDefault="00A9178D" w:rsidP="00A9178D">
            <w:pPr>
              <w:jc w:val="center"/>
              <w:rPr>
                <w:b/>
                <w:sz w:val="22"/>
                <w:lang w:val="bg-BG"/>
              </w:rPr>
            </w:pPr>
            <w:r w:rsidRPr="00A9178D">
              <w:rPr>
                <w:b/>
                <w:sz w:val="22"/>
                <w:lang w:val="ru-RU"/>
              </w:rPr>
              <w:t>"Пожар и природни бедствия"</w:t>
            </w:r>
            <w:r w:rsidR="00A72A3D" w:rsidRPr="00A9178D">
              <w:rPr>
                <w:b/>
                <w:sz w:val="22"/>
                <w:lang w:val="bg-BG"/>
              </w:rPr>
              <w:t>,</w:t>
            </w:r>
          </w:p>
          <w:p w:rsidR="00A72A3D" w:rsidRPr="00A9178D" w:rsidRDefault="00A72A3D" w:rsidP="00A9178D">
            <w:pPr>
              <w:jc w:val="center"/>
              <w:rPr>
                <w:b/>
                <w:sz w:val="22"/>
                <w:lang w:val="bg-BG"/>
              </w:rPr>
            </w:pPr>
          </w:p>
        </w:tc>
        <w:tc>
          <w:tcPr>
            <w:tcW w:w="2201" w:type="dxa"/>
            <w:vAlign w:val="center"/>
            <w:hideMark/>
          </w:tcPr>
          <w:p w:rsidR="00A72A3D" w:rsidRPr="00A9178D" w:rsidRDefault="00A9178D" w:rsidP="00A9178D">
            <w:pPr>
              <w:jc w:val="center"/>
              <w:rPr>
                <w:b/>
                <w:sz w:val="22"/>
                <w:lang w:val="bg-BG"/>
              </w:rPr>
            </w:pPr>
            <w:r w:rsidRPr="00A9178D">
              <w:rPr>
                <w:b/>
                <w:sz w:val="22"/>
                <w:lang w:val="ru-RU"/>
              </w:rPr>
              <w:t>"Други щети на имущество"</w:t>
            </w:r>
            <w:r w:rsidR="00A72A3D" w:rsidRPr="00A9178D">
              <w:rPr>
                <w:b/>
                <w:sz w:val="22"/>
                <w:lang w:val="bg-BG"/>
              </w:rPr>
              <w:t>,</w:t>
            </w:r>
          </w:p>
          <w:p w:rsidR="00A72A3D" w:rsidRPr="00A9178D" w:rsidRDefault="00A72A3D" w:rsidP="00A9178D">
            <w:pPr>
              <w:jc w:val="center"/>
              <w:rPr>
                <w:b/>
                <w:sz w:val="22"/>
                <w:lang w:val="bg-BG"/>
              </w:rPr>
            </w:pPr>
          </w:p>
        </w:tc>
      </w:tr>
      <w:tr w:rsidR="00A72A3D" w:rsidRPr="00EA7BE6" w:rsidTr="00A9178D">
        <w:trPr>
          <w:trHeight w:val="637"/>
        </w:trPr>
        <w:tc>
          <w:tcPr>
            <w:tcW w:w="0" w:type="auto"/>
          </w:tcPr>
          <w:p w:rsidR="00A72A3D" w:rsidRPr="00EA7BE6" w:rsidRDefault="00A72A3D" w:rsidP="00A72A3D">
            <w:pPr>
              <w:rPr>
                <w:b/>
                <w:bCs/>
                <w:sz w:val="22"/>
                <w:lang w:val="bg-BG"/>
              </w:rPr>
            </w:pPr>
            <w:r w:rsidRPr="00EA7BE6">
              <w:rPr>
                <w:b/>
                <w:bCs/>
                <w:sz w:val="22"/>
                <w:lang w:val="bg-BG"/>
              </w:rPr>
              <w:t>1</w:t>
            </w:r>
          </w:p>
        </w:tc>
        <w:tc>
          <w:tcPr>
            <w:tcW w:w="3046" w:type="dxa"/>
            <w:vAlign w:val="center"/>
            <w:hideMark/>
          </w:tcPr>
          <w:p w:rsidR="00A72A3D" w:rsidRPr="00C53587" w:rsidRDefault="00A72A3D">
            <w:pPr>
              <w:jc w:val="left"/>
              <w:rPr>
                <w:b/>
                <w:bCs/>
                <w:sz w:val="22"/>
                <w:lang w:val="ru-RU"/>
              </w:rPr>
            </w:pPr>
            <w:r w:rsidRPr="00C53587">
              <w:rPr>
                <w:b/>
                <w:bCs/>
                <w:sz w:val="22"/>
                <w:lang w:val="ru-RU"/>
              </w:rPr>
              <w:t>ЗАД “Булстрад Виена Иншурънс Груп”</w:t>
            </w:r>
          </w:p>
        </w:tc>
        <w:tc>
          <w:tcPr>
            <w:tcW w:w="2200" w:type="dxa"/>
            <w:vAlign w:val="center"/>
            <w:hideMark/>
          </w:tcPr>
          <w:p w:rsidR="00A72A3D" w:rsidRPr="00EA7BE6" w:rsidRDefault="00A72A3D" w:rsidP="00A9178D">
            <w:pPr>
              <w:jc w:val="right"/>
              <w:rPr>
                <w:sz w:val="22"/>
              </w:rPr>
            </w:pPr>
            <w:r w:rsidRPr="00EA7BE6">
              <w:rPr>
                <w:sz w:val="22"/>
              </w:rPr>
              <w:t>92 010 040</w:t>
            </w:r>
          </w:p>
        </w:tc>
        <w:tc>
          <w:tcPr>
            <w:tcW w:w="2201" w:type="dxa"/>
            <w:vAlign w:val="center"/>
            <w:hideMark/>
          </w:tcPr>
          <w:p w:rsidR="00A72A3D" w:rsidRPr="00EA7BE6" w:rsidRDefault="00A72A3D" w:rsidP="00A9178D">
            <w:pPr>
              <w:jc w:val="right"/>
              <w:rPr>
                <w:sz w:val="22"/>
              </w:rPr>
            </w:pPr>
            <w:r w:rsidRPr="00EA7BE6">
              <w:rPr>
                <w:sz w:val="22"/>
              </w:rPr>
              <w:t>35 698 663</w:t>
            </w:r>
          </w:p>
        </w:tc>
        <w:tc>
          <w:tcPr>
            <w:tcW w:w="2201" w:type="dxa"/>
            <w:vAlign w:val="center"/>
            <w:hideMark/>
          </w:tcPr>
          <w:p w:rsidR="00A72A3D" w:rsidRPr="00EA7BE6" w:rsidRDefault="00A72A3D" w:rsidP="00A9178D">
            <w:pPr>
              <w:jc w:val="right"/>
              <w:rPr>
                <w:sz w:val="22"/>
              </w:rPr>
            </w:pPr>
            <w:r w:rsidRPr="00EA7BE6">
              <w:rPr>
                <w:sz w:val="22"/>
              </w:rPr>
              <w:t>5 546 221</w:t>
            </w:r>
          </w:p>
        </w:tc>
      </w:tr>
      <w:tr w:rsidR="00A72A3D" w:rsidRPr="00EA7BE6" w:rsidTr="00A9178D">
        <w:trPr>
          <w:trHeight w:val="375"/>
        </w:trPr>
        <w:tc>
          <w:tcPr>
            <w:tcW w:w="0" w:type="auto"/>
          </w:tcPr>
          <w:p w:rsidR="00A72A3D" w:rsidRPr="00EA7BE6" w:rsidRDefault="00A72A3D" w:rsidP="00A72A3D">
            <w:pPr>
              <w:rPr>
                <w:b/>
                <w:bCs/>
                <w:sz w:val="22"/>
                <w:lang w:val="bg-BG"/>
              </w:rPr>
            </w:pPr>
            <w:r w:rsidRPr="00EA7BE6">
              <w:rPr>
                <w:b/>
                <w:bCs/>
                <w:sz w:val="22"/>
                <w:lang w:val="bg-BG"/>
              </w:rPr>
              <w:lastRenderedPageBreak/>
              <w:t>2</w:t>
            </w:r>
          </w:p>
        </w:tc>
        <w:tc>
          <w:tcPr>
            <w:tcW w:w="3046" w:type="dxa"/>
            <w:vAlign w:val="center"/>
            <w:hideMark/>
          </w:tcPr>
          <w:p w:rsidR="00A72A3D" w:rsidRPr="00EA7BE6" w:rsidRDefault="00A72A3D">
            <w:pPr>
              <w:jc w:val="left"/>
              <w:rPr>
                <w:b/>
                <w:bCs/>
                <w:sz w:val="22"/>
              </w:rPr>
            </w:pPr>
            <w:r w:rsidRPr="00EA7BE6">
              <w:rPr>
                <w:b/>
                <w:bCs/>
                <w:sz w:val="22"/>
              </w:rPr>
              <w:t>ЗК "</w:t>
            </w:r>
            <w:proofErr w:type="spellStart"/>
            <w:r w:rsidRPr="00EA7BE6">
              <w:rPr>
                <w:b/>
                <w:bCs/>
                <w:sz w:val="22"/>
              </w:rPr>
              <w:t>Лев</w:t>
            </w:r>
            <w:proofErr w:type="spellEnd"/>
            <w:r w:rsidRPr="00EA7BE6">
              <w:rPr>
                <w:b/>
                <w:bCs/>
                <w:sz w:val="22"/>
              </w:rPr>
              <w:t xml:space="preserve"> </w:t>
            </w:r>
            <w:proofErr w:type="spellStart"/>
            <w:r w:rsidRPr="00EA7BE6">
              <w:rPr>
                <w:b/>
                <w:bCs/>
                <w:sz w:val="22"/>
              </w:rPr>
              <w:t>Инс</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45 529 959</w:t>
            </w:r>
          </w:p>
        </w:tc>
        <w:tc>
          <w:tcPr>
            <w:tcW w:w="2201" w:type="dxa"/>
            <w:vAlign w:val="center"/>
            <w:hideMark/>
          </w:tcPr>
          <w:p w:rsidR="00A72A3D" w:rsidRPr="00EA7BE6" w:rsidRDefault="00A72A3D" w:rsidP="00A9178D">
            <w:pPr>
              <w:jc w:val="right"/>
              <w:rPr>
                <w:sz w:val="22"/>
              </w:rPr>
            </w:pPr>
            <w:r w:rsidRPr="00EA7BE6">
              <w:rPr>
                <w:sz w:val="22"/>
              </w:rPr>
              <w:t>2 398 657</w:t>
            </w:r>
          </w:p>
        </w:tc>
        <w:tc>
          <w:tcPr>
            <w:tcW w:w="2201" w:type="dxa"/>
            <w:vAlign w:val="center"/>
            <w:hideMark/>
          </w:tcPr>
          <w:p w:rsidR="00A72A3D" w:rsidRPr="00EA7BE6" w:rsidRDefault="00A72A3D" w:rsidP="00A9178D">
            <w:pPr>
              <w:jc w:val="right"/>
              <w:rPr>
                <w:sz w:val="22"/>
              </w:rPr>
            </w:pPr>
            <w:r w:rsidRPr="00EA7BE6">
              <w:rPr>
                <w:sz w:val="22"/>
              </w:rPr>
              <w:t>1 835 011</w:t>
            </w:r>
          </w:p>
        </w:tc>
      </w:tr>
      <w:tr w:rsidR="00A72A3D" w:rsidRPr="00EA7BE6" w:rsidTr="00A9178D">
        <w:trPr>
          <w:trHeight w:val="330"/>
        </w:trPr>
        <w:tc>
          <w:tcPr>
            <w:tcW w:w="0" w:type="auto"/>
          </w:tcPr>
          <w:p w:rsidR="00A72A3D" w:rsidRPr="00EA7BE6" w:rsidRDefault="00A72A3D" w:rsidP="00A72A3D">
            <w:pPr>
              <w:rPr>
                <w:b/>
                <w:bCs/>
                <w:sz w:val="22"/>
                <w:lang w:val="bg-BG"/>
              </w:rPr>
            </w:pPr>
            <w:r w:rsidRPr="00EA7BE6">
              <w:rPr>
                <w:b/>
                <w:bCs/>
                <w:sz w:val="22"/>
                <w:lang w:val="bg-BG"/>
              </w:rPr>
              <w:t>3</w:t>
            </w:r>
          </w:p>
        </w:tc>
        <w:tc>
          <w:tcPr>
            <w:tcW w:w="3046" w:type="dxa"/>
            <w:vAlign w:val="center"/>
            <w:hideMark/>
          </w:tcPr>
          <w:p w:rsidR="00A72A3D" w:rsidRPr="00EA7BE6" w:rsidRDefault="00A72A3D">
            <w:pPr>
              <w:jc w:val="left"/>
              <w:rPr>
                <w:b/>
                <w:bCs/>
                <w:sz w:val="22"/>
              </w:rPr>
            </w:pPr>
            <w:r w:rsidRPr="00EA7BE6">
              <w:rPr>
                <w:b/>
                <w:bCs/>
                <w:sz w:val="22"/>
              </w:rPr>
              <w:t xml:space="preserve"> ЗАД “</w:t>
            </w:r>
            <w:proofErr w:type="spellStart"/>
            <w:r w:rsidRPr="00EA7BE6">
              <w:rPr>
                <w:b/>
                <w:bCs/>
                <w:sz w:val="22"/>
              </w:rPr>
              <w:t>Армеец</w:t>
            </w:r>
            <w:proofErr w:type="spellEnd"/>
            <w:r w:rsidRPr="00EA7BE6">
              <w:rPr>
                <w:b/>
                <w:bCs/>
                <w:sz w:val="22"/>
              </w:rPr>
              <w:t xml:space="preserve">” </w:t>
            </w:r>
          </w:p>
        </w:tc>
        <w:tc>
          <w:tcPr>
            <w:tcW w:w="2200" w:type="dxa"/>
            <w:vAlign w:val="center"/>
            <w:hideMark/>
          </w:tcPr>
          <w:p w:rsidR="00A72A3D" w:rsidRPr="00EA7BE6" w:rsidRDefault="00A72A3D" w:rsidP="00A9178D">
            <w:pPr>
              <w:jc w:val="right"/>
              <w:rPr>
                <w:sz w:val="22"/>
              </w:rPr>
            </w:pPr>
            <w:r w:rsidRPr="00EA7BE6">
              <w:rPr>
                <w:sz w:val="22"/>
              </w:rPr>
              <w:t>110 851 111</w:t>
            </w:r>
          </w:p>
        </w:tc>
        <w:tc>
          <w:tcPr>
            <w:tcW w:w="2201" w:type="dxa"/>
            <w:vAlign w:val="center"/>
            <w:hideMark/>
          </w:tcPr>
          <w:p w:rsidR="00A72A3D" w:rsidRPr="00EA7BE6" w:rsidRDefault="00A72A3D" w:rsidP="00A9178D">
            <w:pPr>
              <w:jc w:val="right"/>
              <w:rPr>
                <w:sz w:val="22"/>
              </w:rPr>
            </w:pPr>
            <w:r w:rsidRPr="00EA7BE6">
              <w:rPr>
                <w:sz w:val="22"/>
              </w:rPr>
              <w:t>15 093 419</w:t>
            </w:r>
          </w:p>
        </w:tc>
        <w:tc>
          <w:tcPr>
            <w:tcW w:w="2201" w:type="dxa"/>
            <w:vAlign w:val="center"/>
            <w:hideMark/>
          </w:tcPr>
          <w:p w:rsidR="00A72A3D" w:rsidRPr="00EA7BE6" w:rsidRDefault="00A72A3D" w:rsidP="00A9178D">
            <w:pPr>
              <w:jc w:val="right"/>
              <w:rPr>
                <w:sz w:val="22"/>
              </w:rPr>
            </w:pPr>
            <w:r w:rsidRPr="00EA7BE6">
              <w:rPr>
                <w:sz w:val="22"/>
              </w:rPr>
              <w:t>31 372</w:t>
            </w:r>
          </w:p>
        </w:tc>
      </w:tr>
      <w:tr w:rsidR="00A72A3D" w:rsidRPr="00EA7BE6" w:rsidTr="00A9178D">
        <w:trPr>
          <w:trHeight w:val="566"/>
        </w:trPr>
        <w:tc>
          <w:tcPr>
            <w:tcW w:w="0" w:type="auto"/>
          </w:tcPr>
          <w:p w:rsidR="00A72A3D" w:rsidRPr="00EA7BE6" w:rsidRDefault="00A72A3D" w:rsidP="00A72A3D">
            <w:pPr>
              <w:rPr>
                <w:b/>
                <w:bCs/>
                <w:sz w:val="22"/>
                <w:lang w:val="bg-BG"/>
              </w:rPr>
            </w:pPr>
            <w:r w:rsidRPr="00EA7BE6">
              <w:rPr>
                <w:b/>
                <w:bCs/>
                <w:sz w:val="22"/>
                <w:lang w:val="bg-BG"/>
              </w:rPr>
              <w:t>4</w:t>
            </w:r>
          </w:p>
        </w:tc>
        <w:tc>
          <w:tcPr>
            <w:tcW w:w="3046" w:type="dxa"/>
            <w:vAlign w:val="center"/>
            <w:hideMark/>
          </w:tcPr>
          <w:p w:rsidR="00A72A3D" w:rsidRPr="00EA7BE6" w:rsidRDefault="00A72A3D">
            <w:pPr>
              <w:jc w:val="left"/>
              <w:rPr>
                <w:b/>
                <w:bCs/>
                <w:sz w:val="22"/>
              </w:rPr>
            </w:pPr>
            <w:r w:rsidRPr="00EA7BE6">
              <w:rPr>
                <w:b/>
                <w:bCs/>
                <w:sz w:val="22"/>
              </w:rPr>
              <w:t xml:space="preserve">“ДЗИ - </w:t>
            </w:r>
            <w:proofErr w:type="spellStart"/>
            <w:r w:rsidRPr="00EA7BE6">
              <w:rPr>
                <w:b/>
                <w:bCs/>
                <w:sz w:val="22"/>
              </w:rPr>
              <w:t>Общо</w:t>
            </w:r>
            <w:proofErr w:type="spellEnd"/>
            <w:r w:rsidRPr="00EA7BE6">
              <w:rPr>
                <w:b/>
                <w:bCs/>
                <w:sz w:val="22"/>
              </w:rPr>
              <w:t xml:space="preserve"> </w:t>
            </w:r>
            <w:proofErr w:type="spellStart"/>
            <w:r w:rsidRPr="00EA7BE6">
              <w:rPr>
                <w:b/>
                <w:bCs/>
                <w:sz w:val="22"/>
              </w:rPr>
              <w:t>застраховане</w:t>
            </w:r>
            <w:proofErr w:type="spellEnd"/>
            <w:r w:rsidRPr="00EA7BE6">
              <w:rPr>
                <w:b/>
                <w:bCs/>
                <w:sz w:val="22"/>
              </w:rPr>
              <w:t>” ЕАД</w:t>
            </w:r>
          </w:p>
        </w:tc>
        <w:tc>
          <w:tcPr>
            <w:tcW w:w="2200" w:type="dxa"/>
            <w:vAlign w:val="center"/>
            <w:hideMark/>
          </w:tcPr>
          <w:p w:rsidR="00A72A3D" w:rsidRPr="00EA7BE6" w:rsidRDefault="00A72A3D" w:rsidP="00A9178D">
            <w:pPr>
              <w:jc w:val="right"/>
              <w:rPr>
                <w:sz w:val="22"/>
              </w:rPr>
            </w:pPr>
            <w:r w:rsidRPr="00EA7BE6">
              <w:rPr>
                <w:sz w:val="22"/>
              </w:rPr>
              <w:t>93 291 625</w:t>
            </w:r>
          </w:p>
        </w:tc>
        <w:tc>
          <w:tcPr>
            <w:tcW w:w="2201" w:type="dxa"/>
            <w:vAlign w:val="center"/>
            <w:hideMark/>
          </w:tcPr>
          <w:p w:rsidR="00A72A3D" w:rsidRPr="00EA7BE6" w:rsidRDefault="00A72A3D" w:rsidP="00A9178D">
            <w:pPr>
              <w:jc w:val="right"/>
              <w:rPr>
                <w:sz w:val="22"/>
              </w:rPr>
            </w:pPr>
            <w:r w:rsidRPr="00EA7BE6">
              <w:rPr>
                <w:sz w:val="22"/>
              </w:rPr>
              <w:t>25 348 525</w:t>
            </w:r>
          </w:p>
        </w:tc>
        <w:tc>
          <w:tcPr>
            <w:tcW w:w="2201" w:type="dxa"/>
            <w:vAlign w:val="center"/>
            <w:hideMark/>
          </w:tcPr>
          <w:p w:rsidR="00A72A3D" w:rsidRPr="00EA7BE6" w:rsidRDefault="00A72A3D" w:rsidP="00A9178D">
            <w:pPr>
              <w:jc w:val="right"/>
              <w:rPr>
                <w:sz w:val="22"/>
              </w:rPr>
            </w:pPr>
            <w:r w:rsidRPr="00EA7BE6">
              <w:rPr>
                <w:sz w:val="22"/>
              </w:rPr>
              <w:t>2 727 361</w:t>
            </w:r>
          </w:p>
        </w:tc>
      </w:tr>
      <w:tr w:rsidR="00A72A3D" w:rsidRPr="00EA7BE6" w:rsidTr="00A9178D">
        <w:trPr>
          <w:trHeight w:val="330"/>
        </w:trPr>
        <w:tc>
          <w:tcPr>
            <w:tcW w:w="0" w:type="auto"/>
          </w:tcPr>
          <w:p w:rsidR="00A72A3D" w:rsidRPr="00EA7BE6" w:rsidRDefault="00A72A3D" w:rsidP="00A72A3D">
            <w:pPr>
              <w:rPr>
                <w:b/>
                <w:bCs/>
                <w:sz w:val="22"/>
                <w:lang w:val="bg-BG"/>
              </w:rPr>
            </w:pPr>
            <w:r w:rsidRPr="00EA7BE6">
              <w:rPr>
                <w:b/>
                <w:bCs/>
                <w:sz w:val="22"/>
                <w:lang w:val="bg-BG"/>
              </w:rPr>
              <w:t>5</w:t>
            </w:r>
          </w:p>
        </w:tc>
        <w:tc>
          <w:tcPr>
            <w:tcW w:w="3046" w:type="dxa"/>
            <w:vAlign w:val="center"/>
            <w:hideMark/>
          </w:tcPr>
          <w:p w:rsidR="00A72A3D" w:rsidRPr="00EA7BE6" w:rsidRDefault="00A72A3D">
            <w:pPr>
              <w:jc w:val="left"/>
              <w:rPr>
                <w:b/>
                <w:bCs/>
                <w:sz w:val="22"/>
              </w:rPr>
            </w:pPr>
            <w:r w:rsidRPr="00EA7BE6">
              <w:rPr>
                <w:b/>
                <w:bCs/>
                <w:sz w:val="22"/>
              </w:rPr>
              <w:t>ЗАД "</w:t>
            </w:r>
            <w:proofErr w:type="spellStart"/>
            <w:r w:rsidRPr="00EA7BE6">
              <w:rPr>
                <w:b/>
                <w:bCs/>
                <w:sz w:val="22"/>
              </w:rPr>
              <w:t>Алианц</w:t>
            </w:r>
            <w:proofErr w:type="spellEnd"/>
            <w:r w:rsidRPr="00EA7BE6">
              <w:rPr>
                <w:b/>
                <w:bCs/>
                <w:sz w:val="22"/>
              </w:rPr>
              <w:t xml:space="preserve"> </w:t>
            </w:r>
            <w:proofErr w:type="spellStart"/>
            <w:r w:rsidRPr="00EA7BE6">
              <w:rPr>
                <w:b/>
                <w:bCs/>
                <w:sz w:val="22"/>
              </w:rPr>
              <w:t>България</w:t>
            </w:r>
            <w:proofErr w:type="spellEnd"/>
            <w:r w:rsidRPr="00EA7BE6">
              <w:rPr>
                <w:b/>
                <w:bCs/>
                <w:sz w:val="22"/>
              </w:rPr>
              <w:t xml:space="preserve">" </w:t>
            </w:r>
          </w:p>
        </w:tc>
        <w:tc>
          <w:tcPr>
            <w:tcW w:w="2200" w:type="dxa"/>
            <w:vAlign w:val="center"/>
            <w:hideMark/>
          </w:tcPr>
          <w:p w:rsidR="00A72A3D" w:rsidRPr="00EA7BE6" w:rsidRDefault="00A72A3D" w:rsidP="00A9178D">
            <w:pPr>
              <w:jc w:val="right"/>
              <w:rPr>
                <w:sz w:val="22"/>
              </w:rPr>
            </w:pPr>
            <w:r w:rsidRPr="00EA7BE6">
              <w:rPr>
                <w:sz w:val="22"/>
              </w:rPr>
              <w:t>86 162 790</w:t>
            </w:r>
          </w:p>
        </w:tc>
        <w:tc>
          <w:tcPr>
            <w:tcW w:w="2201" w:type="dxa"/>
            <w:vAlign w:val="center"/>
            <w:hideMark/>
          </w:tcPr>
          <w:p w:rsidR="00A72A3D" w:rsidRPr="00EA7BE6" w:rsidRDefault="00A72A3D" w:rsidP="00A9178D">
            <w:pPr>
              <w:jc w:val="right"/>
              <w:rPr>
                <w:sz w:val="22"/>
              </w:rPr>
            </w:pPr>
            <w:r w:rsidRPr="00EA7BE6">
              <w:rPr>
                <w:sz w:val="22"/>
              </w:rPr>
              <w:t>37 993 166</w:t>
            </w:r>
          </w:p>
        </w:tc>
        <w:tc>
          <w:tcPr>
            <w:tcW w:w="2201" w:type="dxa"/>
            <w:vAlign w:val="center"/>
            <w:hideMark/>
          </w:tcPr>
          <w:p w:rsidR="00A72A3D" w:rsidRPr="00EA7BE6" w:rsidRDefault="00A72A3D" w:rsidP="00A9178D">
            <w:pPr>
              <w:jc w:val="right"/>
              <w:rPr>
                <w:sz w:val="22"/>
              </w:rPr>
            </w:pPr>
            <w:r w:rsidRPr="00EA7BE6">
              <w:rPr>
                <w:sz w:val="22"/>
              </w:rPr>
              <w:t>2 266 658</w:t>
            </w:r>
          </w:p>
        </w:tc>
      </w:tr>
      <w:tr w:rsidR="00A72A3D" w:rsidRPr="00EA7BE6" w:rsidTr="00A9178D">
        <w:trPr>
          <w:trHeight w:val="539"/>
        </w:trPr>
        <w:tc>
          <w:tcPr>
            <w:tcW w:w="0" w:type="auto"/>
          </w:tcPr>
          <w:p w:rsidR="00A72A3D" w:rsidRPr="00EA7BE6" w:rsidRDefault="00A72A3D" w:rsidP="00A72A3D">
            <w:pPr>
              <w:rPr>
                <w:b/>
                <w:bCs/>
                <w:sz w:val="22"/>
                <w:lang w:val="bg-BG"/>
              </w:rPr>
            </w:pPr>
            <w:r w:rsidRPr="00EA7BE6">
              <w:rPr>
                <w:b/>
                <w:bCs/>
                <w:sz w:val="22"/>
                <w:lang w:val="bg-BG"/>
              </w:rPr>
              <w:t>6</w:t>
            </w:r>
          </w:p>
        </w:tc>
        <w:tc>
          <w:tcPr>
            <w:tcW w:w="3046" w:type="dxa"/>
            <w:vAlign w:val="center"/>
            <w:hideMark/>
          </w:tcPr>
          <w:p w:rsidR="00A72A3D" w:rsidRPr="00EA7BE6" w:rsidRDefault="00A72A3D">
            <w:pPr>
              <w:jc w:val="left"/>
              <w:rPr>
                <w:b/>
                <w:bCs/>
                <w:sz w:val="22"/>
              </w:rPr>
            </w:pPr>
            <w:r w:rsidRPr="00EA7BE6">
              <w:rPr>
                <w:b/>
                <w:bCs/>
                <w:sz w:val="22"/>
              </w:rPr>
              <w:t>"</w:t>
            </w:r>
            <w:proofErr w:type="spellStart"/>
            <w:r w:rsidRPr="00EA7BE6">
              <w:rPr>
                <w:b/>
                <w:bCs/>
                <w:sz w:val="22"/>
              </w:rPr>
              <w:t>Дженерали</w:t>
            </w:r>
            <w:proofErr w:type="spellEnd"/>
            <w:r w:rsidRPr="00EA7BE6">
              <w:rPr>
                <w:b/>
                <w:bCs/>
                <w:sz w:val="22"/>
              </w:rPr>
              <w:t xml:space="preserve"> </w:t>
            </w:r>
            <w:proofErr w:type="spellStart"/>
            <w:r w:rsidRPr="00EA7BE6">
              <w:rPr>
                <w:b/>
                <w:bCs/>
                <w:sz w:val="22"/>
              </w:rPr>
              <w:t>Застраховане</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45 221 867</w:t>
            </w:r>
          </w:p>
        </w:tc>
        <w:tc>
          <w:tcPr>
            <w:tcW w:w="2201" w:type="dxa"/>
            <w:vAlign w:val="center"/>
            <w:hideMark/>
          </w:tcPr>
          <w:p w:rsidR="00A72A3D" w:rsidRPr="00EA7BE6" w:rsidRDefault="00A72A3D" w:rsidP="00A9178D">
            <w:pPr>
              <w:jc w:val="right"/>
              <w:rPr>
                <w:sz w:val="22"/>
              </w:rPr>
            </w:pPr>
            <w:r w:rsidRPr="00EA7BE6">
              <w:rPr>
                <w:sz w:val="22"/>
              </w:rPr>
              <w:t>39 124 726</w:t>
            </w:r>
          </w:p>
        </w:tc>
        <w:tc>
          <w:tcPr>
            <w:tcW w:w="2201" w:type="dxa"/>
            <w:vAlign w:val="center"/>
            <w:hideMark/>
          </w:tcPr>
          <w:p w:rsidR="00A72A3D" w:rsidRPr="00EA7BE6" w:rsidRDefault="00A72A3D" w:rsidP="00A9178D">
            <w:pPr>
              <w:jc w:val="right"/>
              <w:rPr>
                <w:sz w:val="22"/>
              </w:rPr>
            </w:pPr>
            <w:r w:rsidRPr="00EA7BE6">
              <w:rPr>
                <w:sz w:val="22"/>
              </w:rPr>
              <w:t>727 062</w:t>
            </w:r>
          </w:p>
        </w:tc>
      </w:tr>
      <w:tr w:rsidR="00A72A3D" w:rsidRPr="00EA7BE6" w:rsidTr="00A9178D">
        <w:trPr>
          <w:trHeight w:val="638"/>
        </w:trPr>
        <w:tc>
          <w:tcPr>
            <w:tcW w:w="0" w:type="auto"/>
          </w:tcPr>
          <w:p w:rsidR="00A72A3D" w:rsidRPr="00EA7BE6" w:rsidRDefault="00A72A3D" w:rsidP="00A72A3D">
            <w:pPr>
              <w:rPr>
                <w:b/>
                <w:bCs/>
                <w:sz w:val="22"/>
                <w:lang w:val="bg-BG"/>
              </w:rPr>
            </w:pPr>
            <w:r w:rsidRPr="00EA7BE6">
              <w:rPr>
                <w:b/>
                <w:bCs/>
                <w:sz w:val="22"/>
                <w:lang w:val="bg-BG"/>
              </w:rPr>
              <w:t>7</w:t>
            </w:r>
          </w:p>
        </w:tc>
        <w:tc>
          <w:tcPr>
            <w:tcW w:w="3046" w:type="dxa"/>
            <w:vAlign w:val="center"/>
            <w:hideMark/>
          </w:tcPr>
          <w:p w:rsidR="00A72A3D" w:rsidRPr="00EA7BE6" w:rsidRDefault="00A72A3D">
            <w:pPr>
              <w:jc w:val="left"/>
              <w:rPr>
                <w:b/>
                <w:bCs/>
                <w:sz w:val="22"/>
              </w:rPr>
            </w:pPr>
            <w:r w:rsidRPr="00EA7BE6">
              <w:rPr>
                <w:b/>
                <w:bCs/>
                <w:sz w:val="22"/>
              </w:rPr>
              <w:t>"</w:t>
            </w:r>
            <w:proofErr w:type="spellStart"/>
            <w:r w:rsidRPr="00EA7BE6">
              <w:rPr>
                <w:b/>
                <w:bCs/>
                <w:sz w:val="22"/>
              </w:rPr>
              <w:t>Застрахователно</w:t>
            </w:r>
            <w:proofErr w:type="spellEnd"/>
            <w:r w:rsidRPr="00EA7BE6">
              <w:rPr>
                <w:b/>
                <w:bCs/>
                <w:sz w:val="22"/>
              </w:rPr>
              <w:t xml:space="preserve"> </w:t>
            </w:r>
            <w:proofErr w:type="spellStart"/>
            <w:r w:rsidRPr="00EA7BE6">
              <w:rPr>
                <w:b/>
                <w:bCs/>
                <w:sz w:val="22"/>
              </w:rPr>
              <w:t>дружество</w:t>
            </w:r>
            <w:proofErr w:type="spellEnd"/>
            <w:r w:rsidRPr="00EA7BE6">
              <w:rPr>
                <w:b/>
                <w:bCs/>
                <w:sz w:val="22"/>
              </w:rPr>
              <w:t xml:space="preserve"> </w:t>
            </w:r>
            <w:proofErr w:type="spellStart"/>
            <w:r w:rsidRPr="00EA7BE6">
              <w:rPr>
                <w:b/>
                <w:bCs/>
                <w:sz w:val="22"/>
              </w:rPr>
              <w:t>Евроинс</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26 722 672</w:t>
            </w:r>
          </w:p>
        </w:tc>
        <w:tc>
          <w:tcPr>
            <w:tcW w:w="2201" w:type="dxa"/>
            <w:vAlign w:val="center"/>
            <w:hideMark/>
          </w:tcPr>
          <w:p w:rsidR="00A72A3D" w:rsidRPr="00EA7BE6" w:rsidRDefault="00A72A3D" w:rsidP="00A9178D">
            <w:pPr>
              <w:jc w:val="right"/>
              <w:rPr>
                <w:sz w:val="22"/>
              </w:rPr>
            </w:pPr>
            <w:r w:rsidRPr="00EA7BE6">
              <w:rPr>
                <w:sz w:val="22"/>
              </w:rPr>
              <w:t>16 797 479</w:t>
            </w:r>
          </w:p>
        </w:tc>
        <w:tc>
          <w:tcPr>
            <w:tcW w:w="2201" w:type="dxa"/>
            <w:vAlign w:val="center"/>
            <w:hideMark/>
          </w:tcPr>
          <w:p w:rsidR="00A72A3D" w:rsidRPr="00EA7BE6" w:rsidRDefault="00A72A3D" w:rsidP="00A9178D">
            <w:pPr>
              <w:jc w:val="right"/>
              <w:rPr>
                <w:sz w:val="22"/>
              </w:rPr>
            </w:pPr>
            <w:r w:rsidRPr="00EA7BE6">
              <w:rPr>
                <w:sz w:val="22"/>
              </w:rPr>
              <w:t>1 460 251</w:t>
            </w:r>
          </w:p>
        </w:tc>
      </w:tr>
      <w:tr w:rsidR="00A72A3D" w:rsidRPr="00EA7BE6" w:rsidTr="00A9178D">
        <w:trPr>
          <w:trHeight w:val="375"/>
        </w:trPr>
        <w:tc>
          <w:tcPr>
            <w:tcW w:w="0" w:type="auto"/>
          </w:tcPr>
          <w:p w:rsidR="00A72A3D" w:rsidRPr="00EA7BE6" w:rsidRDefault="00A72A3D" w:rsidP="00A72A3D">
            <w:pPr>
              <w:rPr>
                <w:b/>
                <w:bCs/>
                <w:sz w:val="22"/>
                <w:lang w:val="bg-BG"/>
              </w:rPr>
            </w:pPr>
            <w:r w:rsidRPr="00EA7BE6">
              <w:rPr>
                <w:b/>
                <w:bCs/>
                <w:sz w:val="22"/>
                <w:lang w:val="bg-BG"/>
              </w:rPr>
              <w:t>8</w:t>
            </w:r>
          </w:p>
        </w:tc>
        <w:tc>
          <w:tcPr>
            <w:tcW w:w="3046" w:type="dxa"/>
            <w:vAlign w:val="center"/>
            <w:hideMark/>
          </w:tcPr>
          <w:p w:rsidR="00A72A3D" w:rsidRPr="00EA7BE6" w:rsidRDefault="00A72A3D">
            <w:pPr>
              <w:jc w:val="left"/>
              <w:rPr>
                <w:b/>
                <w:bCs/>
                <w:sz w:val="22"/>
              </w:rPr>
            </w:pPr>
            <w:r w:rsidRPr="00EA7BE6">
              <w:rPr>
                <w:b/>
                <w:bCs/>
                <w:sz w:val="22"/>
              </w:rPr>
              <w:t>ЗД “</w:t>
            </w:r>
            <w:proofErr w:type="spellStart"/>
            <w:r w:rsidRPr="00EA7BE6">
              <w:rPr>
                <w:b/>
                <w:bCs/>
                <w:sz w:val="22"/>
              </w:rPr>
              <w:t>Бул</w:t>
            </w:r>
            <w:proofErr w:type="spellEnd"/>
            <w:r w:rsidRPr="00EA7BE6">
              <w:rPr>
                <w:b/>
                <w:bCs/>
                <w:sz w:val="22"/>
              </w:rPr>
              <w:t xml:space="preserve"> </w:t>
            </w:r>
            <w:proofErr w:type="spellStart"/>
            <w:r w:rsidRPr="00EA7BE6">
              <w:rPr>
                <w:b/>
                <w:bCs/>
                <w:sz w:val="22"/>
              </w:rPr>
              <w:t>инс</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20 390 516</w:t>
            </w:r>
          </w:p>
        </w:tc>
        <w:tc>
          <w:tcPr>
            <w:tcW w:w="2201" w:type="dxa"/>
            <w:vAlign w:val="center"/>
            <w:hideMark/>
          </w:tcPr>
          <w:p w:rsidR="00A72A3D" w:rsidRPr="00EA7BE6" w:rsidRDefault="00A72A3D" w:rsidP="00A9178D">
            <w:pPr>
              <w:jc w:val="right"/>
              <w:rPr>
                <w:sz w:val="22"/>
              </w:rPr>
            </w:pPr>
            <w:r w:rsidRPr="00EA7BE6">
              <w:rPr>
                <w:sz w:val="22"/>
              </w:rPr>
              <w:t>366 368</w:t>
            </w:r>
          </w:p>
        </w:tc>
        <w:tc>
          <w:tcPr>
            <w:tcW w:w="2201" w:type="dxa"/>
            <w:vAlign w:val="center"/>
            <w:hideMark/>
          </w:tcPr>
          <w:p w:rsidR="00A72A3D" w:rsidRPr="00EA7BE6" w:rsidRDefault="00A72A3D" w:rsidP="00A9178D">
            <w:pPr>
              <w:jc w:val="right"/>
              <w:rPr>
                <w:sz w:val="22"/>
              </w:rPr>
            </w:pPr>
            <w:r w:rsidRPr="00EA7BE6">
              <w:rPr>
                <w:sz w:val="22"/>
              </w:rPr>
              <w:t>1 635 907</w:t>
            </w:r>
          </w:p>
        </w:tc>
      </w:tr>
      <w:tr w:rsidR="00A72A3D" w:rsidRPr="00EA7BE6" w:rsidTr="00A9178D">
        <w:trPr>
          <w:trHeight w:val="653"/>
        </w:trPr>
        <w:tc>
          <w:tcPr>
            <w:tcW w:w="0" w:type="auto"/>
          </w:tcPr>
          <w:p w:rsidR="00A72A3D" w:rsidRPr="00EA7BE6" w:rsidRDefault="00A72A3D" w:rsidP="00A72A3D">
            <w:pPr>
              <w:rPr>
                <w:b/>
                <w:bCs/>
                <w:sz w:val="22"/>
                <w:lang w:val="bg-BG"/>
              </w:rPr>
            </w:pPr>
            <w:r w:rsidRPr="00EA7BE6">
              <w:rPr>
                <w:b/>
                <w:bCs/>
                <w:sz w:val="22"/>
                <w:lang w:val="bg-BG"/>
              </w:rPr>
              <w:t>9</w:t>
            </w:r>
          </w:p>
        </w:tc>
        <w:tc>
          <w:tcPr>
            <w:tcW w:w="3046" w:type="dxa"/>
            <w:vAlign w:val="center"/>
            <w:hideMark/>
          </w:tcPr>
          <w:p w:rsidR="00A72A3D" w:rsidRPr="00EA7BE6" w:rsidRDefault="00A72A3D">
            <w:pPr>
              <w:jc w:val="left"/>
              <w:rPr>
                <w:b/>
                <w:bCs/>
                <w:sz w:val="22"/>
              </w:rPr>
            </w:pPr>
            <w:r w:rsidRPr="00EA7BE6">
              <w:rPr>
                <w:b/>
                <w:bCs/>
                <w:sz w:val="22"/>
              </w:rPr>
              <w:t xml:space="preserve">ЗАД "ОЗК - </w:t>
            </w:r>
            <w:proofErr w:type="spellStart"/>
            <w:r w:rsidRPr="00EA7BE6">
              <w:rPr>
                <w:b/>
                <w:bCs/>
                <w:sz w:val="22"/>
              </w:rPr>
              <w:t>Застраховане</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10 469 950</w:t>
            </w:r>
          </w:p>
        </w:tc>
        <w:tc>
          <w:tcPr>
            <w:tcW w:w="2201" w:type="dxa"/>
            <w:vAlign w:val="center"/>
            <w:hideMark/>
          </w:tcPr>
          <w:p w:rsidR="00A72A3D" w:rsidRPr="00EA7BE6" w:rsidRDefault="00A72A3D" w:rsidP="00A9178D">
            <w:pPr>
              <w:jc w:val="right"/>
              <w:rPr>
                <w:sz w:val="22"/>
              </w:rPr>
            </w:pPr>
            <w:r w:rsidRPr="00EA7BE6">
              <w:rPr>
                <w:sz w:val="22"/>
              </w:rPr>
              <w:t>17 930 881</w:t>
            </w:r>
          </w:p>
        </w:tc>
        <w:tc>
          <w:tcPr>
            <w:tcW w:w="2201" w:type="dxa"/>
            <w:vAlign w:val="center"/>
            <w:hideMark/>
          </w:tcPr>
          <w:p w:rsidR="00A72A3D" w:rsidRPr="00EA7BE6" w:rsidRDefault="00A72A3D" w:rsidP="00A9178D">
            <w:pPr>
              <w:jc w:val="right"/>
              <w:rPr>
                <w:sz w:val="22"/>
              </w:rPr>
            </w:pPr>
            <w:r w:rsidRPr="00EA7BE6">
              <w:rPr>
                <w:sz w:val="22"/>
              </w:rPr>
              <w:t>356 158</w:t>
            </w:r>
          </w:p>
        </w:tc>
      </w:tr>
      <w:tr w:rsidR="00A72A3D" w:rsidRPr="00EA7BE6" w:rsidTr="00A9178D">
        <w:trPr>
          <w:trHeight w:val="533"/>
        </w:trPr>
        <w:tc>
          <w:tcPr>
            <w:tcW w:w="0" w:type="auto"/>
          </w:tcPr>
          <w:p w:rsidR="00A72A3D" w:rsidRPr="00EA7BE6" w:rsidRDefault="00A72A3D" w:rsidP="00A72A3D">
            <w:pPr>
              <w:rPr>
                <w:b/>
                <w:bCs/>
                <w:sz w:val="22"/>
                <w:lang w:val="bg-BG"/>
              </w:rPr>
            </w:pPr>
            <w:r w:rsidRPr="00EA7BE6">
              <w:rPr>
                <w:b/>
                <w:bCs/>
                <w:sz w:val="22"/>
                <w:lang w:val="bg-BG"/>
              </w:rPr>
              <w:t>10</w:t>
            </w:r>
          </w:p>
        </w:tc>
        <w:tc>
          <w:tcPr>
            <w:tcW w:w="3046" w:type="dxa"/>
            <w:vAlign w:val="center"/>
            <w:hideMark/>
          </w:tcPr>
          <w:p w:rsidR="00A72A3D" w:rsidRPr="00C53587" w:rsidRDefault="00A72A3D">
            <w:pPr>
              <w:jc w:val="left"/>
              <w:rPr>
                <w:b/>
                <w:bCs/>
                <w:sz w:val="22"/>
                <w:lang w:val="ru-RU"/>
              </w:rPr>
            </w:pPr>
            <w:r w:rsidRPr="00C53587">
              <w:rPr>
                <w:b/>
                <w:bCs/>
                <w:sz w:val="22"/>
                <w:lang w:val="ru-RU"/>
              </w:rPr>
              <w:t>"ЗЕАД ДаллБогг: Живот и здраве'' ЕАД</w:t>
            </w:r>
          </w:p>
        </w:tc>
        <w:tc>
          <w:tcPr>
            <w:tcW w:w="2200" w:type="dxa"/>
            <w:vAlign w:val="center"/>
            <w:hideMark/>
          </w:tcPr>
          <w:p w:rsidR="00A72A3D" w:rsidRPr="00EA7BE6" w:rsidRDefault="00A72A3D" w:rsidP="00A9178D">
            <w:pPr>
              <w:jc w:val="right"/>
              <w:rPr>
                <w:sz w:val="22"/>
              </w:rPr>
            </w:pPr>
            <w:r w:rsidRPr="00EA7BE6">
              <w:rPr>
                <w:sz w:val="22"/>
              </w:rPr>
              <w:t>814 635</w:t>
            </w:r>
          </w:p>
        </w:tc>
        <w:tc>
          <w:tcPr>
            <w:tcW w:w="2201" w:type="dxa"/>
            <w:vAlign w:val="center"/>
            <w:hideMark/>
          </w:tcPr>
          <w:p w:rsidR="00A72A3D" w:rsidRPr="00EA7BE6" w:rsidRDefault="00A72A3D" w:rsidP="00A9178D">
            <w:pPr>
              <w:jc w:val="right"/>
              <w:rPr>
                <w:sz w:val="22"/>
              </w:rPr>
            </w:pPr>
            <w:r w:rsidRPr="00EA7BE6">
              <w:rPr>
                <w:sz w:val="22"/>
              </w:rPr>
              <w:t>371 778</w:t>
            </w:r>
          </w:p>
        </w:tc>
        <w:tc>
          <w:tcPr>
            <w:tcW w:w="2201" w:type="dxa"/>
            <w:vAlign w:val="center"/>
            <w:hideMark/>
          </w:tcPr>
          <w:p w:rsidR="00A72A3D" w:rsidRPr="00EA7BE6" w:rsidRDefault="00A72A3D" w:rsidP="00A9178D">
            <w:pPr>
              <w:jc w:val="right"/>
              <w:rPr>
                <w:sz w:val="22"/>
              </w:rPr>
            </w:pPr>
            <w:r w:rsidRPr="00EA7BE6">
              <w:rPr>
                <w:sz w:val="22"/>
              </w:rPr>
              <w:t>0</w:t>
            </w:r>
          </w:p>
        </w:tc>
      </w:tr>
      <w:tr w:rsidR="00A72A3D" w:rsidRPr="00EA7BE6" w:rsidTr="00A9178D">
        <w:trPr>
          <w:trHeight w:val="373"/>
        </w:trPr>
        <w:tc>
          <w:tcPr>
            <w:tcW w:w="0" w:type="auto"/>
          </w:tcPr>
          <w:p w:rsidR="00A72A3D" w:rsidRPr="00EA7BE6" w:rsidRDefault="00A72A3D" w:rsidP="00A72A3D">
            <w:pPr>
              <w:rPr>
                <w:b/>
                <w:bCs/>
                <w:sz w:val="22"/>
                <w:lang w:val="bg-BG"/>
              </w:rPr>
            </w:pPr>
            <w:r w:rsidRPr="00EA7BE6">
              <w:rPr>
                <w:b/>
                <w:bCs/>
                <w:sz w:val="22"/>
                <w:lang w:val="bg-BG"/>
              </w:rPr>
              <w:t>11</w:t>
            </w:r>
          </w:p>
        </w:tc>
        <w:tc>
          <w:tcPr>
            <w:tcW w:w="3046" w:type="dxa"/>
            <w:vAlign w:val="center"/>
            <w:hideMark/>
          </w:tcPr>
          <w:p w:rsidR="00A72A3D" w:rsidRPr="00EA7BE6" w:rsidRDefault="00A72A3D">
            <w:pPr>
              <w:jc w:val="left"/>
              <w:rPr>
                <w:b/>
                <w:bCs/>
                <w:sz w:val="22"/>
              </w:rPr>
            </w:pPr>
            <w:r w:rsidRPr="00EA7BE6">
              <w:rPr>
                <w:b/>
                <w:bCs/>
                <w:sz w:val="22"/>
              </w:rPr>
              <w:t>ЗК "</w:t>
            </w:r>
            <w:proofErr w:type="spellStart"/>
            <w:r w:rsidRPr="00EA7BE6">
              <w:rPr>
                <w:b/>
                <w:bCs/>
                <w:sz w:val="22"/>
              </w:rPr>
              <w:t>Уника</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21 022 216</w:t>
            </w:r>
          </w:p>
        </w:tc>
        <w:tc>
          <w:tcPr>
            <w:tcW w:w="2201" w:type="dxa"/>
            <w:vAlign w:val="center"/>
            <w:hideMark/>
          </w:tcPr>
          <w:p w:rsidR="00A72A3D" w:rsidRPr="00EA7BE6" w:rsidRDefault="00A72A3D" w:rsidP="00A9178D">
            <w:pPr>
              <w:jc w:val="right"/>
              <w:rPr>
                <w:sz w:val="22"/>
              </w:rPr>
            </w:pPr>
            <w:r w:rsidRPr="00EA7BE6">
              <w:rPr>
                <w:sz w:val="22"/>
              </w:rPr>
              <w:t>16 305 878</w:t>
            </w:r>
          </w:p>
        </w:tc>
        <w:tc>
          <w:tcPr>
            <w:tcW w:w="2201" w:type="dxa"/>
            <w:vAlign w:val="center"/>
            <w:hideMark/>
          </w:tcPr>
          <w:p w:rsidR="00A72A3D" w:rsidRPr="00EA7BE6" w:rsidRDefault="00A72A3D" w:rsidP="00A9178D">
            <w:pPr>
              <w:jc w:val="right"/>
              <w:rPr>
                <w:sz w:val="22"/>
              </w:rPr>
            </w:pPr>
            <w:r w:rsidRPr="00EA7BE6">
              <w:rPr>
                <w:sz w:val="22"/>
              </w:rPr>
              <w:t>3 704 712</w:t>
            </w:r>
          </w:p>
        </w:tc>
      </w:tr>
      <w:tr w:rsidR="00A72A3D" w:rsidRPr="00EA7BE6" w:rsidTr="00A9178D">
        <w:trPr>
          <w:trHeight w:val="391"/>
        </w:trPr>
        <w:tc>
          <w:tcPr>
            <w:tcW w:w="0" w:type="auto"/>
          </w:tcPr>
          <w:p w:rsidR="00A72A3D" w:rsidRPr="00EA7BE6" w:rsidRDefault="00A72A3D" w:rsidP="00A72A3D">
            <w:pPr>
              <w:rPr>
                <w:b/>
                <w:bCs/>
                <w:sz w:val="22"/>
                <w:lang w:val="bg-BG"/>
              </w:rPr>
            </w:pPr>
            <w:r w:rsidRPr="00EA7BE6">
              <w:rPr>
                <w:b/>
                <w:bCs/>
                <w:sz w:val="22"/>
                <w:lang w:val="bg-BG"/>
              </w:rPr>
              <w:t>12</w:t>
            </w:r>
          </w:p>
        </w:tc>
        <w:tc>
          <w:tcPr>
            <w:tcW w:w="3046" w:type="dxa"/>
            <w:vAlign w:val="center"/>
            <w:hideMark/>
          </w:tcPr>
          <w:p w:rsidR="00A72A3D" w:rsidRPr="00EA7BE6" w:rsidRDefault="00A72A3D">
            <w:pPr>
              <w:jc w:val="left"/>
              <w:rPr>
                <w:b/>
                <w:bCs/>
                <w:sz w:val="22"/>
              </w:rPr>
            </w:pPr>
            <w:r w:rsidRPr="00EA7BE6">
              <w:rPr>
                <w:b/>
                <w:bCs/>
                <w:sz w:val="22"/>
              </w:rPr>
              <w:t>ЗАД “</w:t>
            </w:r>
            <w:proofErr w:type="spellStart"/>
            <w:r w:rsidRPr="00EA7BE6">
              <w:rPr>
                <w:b/>
                <w:bCs/>
                <w:sz w:val="22"/>
              </w:rPr>
              <w:t>Енергия</w:t>
            </w:r>
            <w:proofErr w:type="spellEnd"/>
            <w:r w:rsidRPr="00EA7BE6">
              <w:rPr>
                <w:b/>
                <w:bCs/>
                <w:sz w:val="22"/>
              </w:rPr>
              <w:t>”</w:t>
            </w:r>
          </w:p>
        </w:tc>
        <w:tc>
          <w:tcPr>
            <w:tcW w:w="2200" w:type="dxa"/>
            <w:vAlign w:val="center"/>
            <w:hideMark/>
          </w:tcPr>
          <w:p w:rsidR="00A72A3D" w:rsidRPr="00EA7BE6" w:rsidRDefault="00A72A3D" w:rsidP="00A9178D">
            <w:pPr>
              <w:jc w:val="right"/>
              <w:rPr>
                <w:sz w:val="22"/>
              </w:rPr>
            </w:pPr>
            <w:r w:rsidRPr="00EA7BE6">
              <w:rPr>
                <w:sz w:val="22"/>
              </w:rPr>
              <w:t>238 794</w:t>
            </w:r>
          </w:p>
        </w:tc>
        <w:tc>
          <w:tcPr>
            <w:tcW w:w="2201" w:type="dxa"/>
            <w:vAlign w:val="center"/>
            <w:hideMark/>
          </w:tcPr>
          <w:p w:rsidR="00A72A3D" w:rsidRPr="00EA7BE6" w:rsidRDefault="00A72A3D" w:rsidP="00A9178D">
            <w:pPr>
              <w:jc w:val="right"/>
              <w:rPr>
                <w:sz w:val="22"/>
              </w:rPr>
            </w:pPr>
            <w:r w:rsidRPr="00EA7BE6">
              <w:rPr>
                <w:sz w:val="22"/>
              </w:rPr>
              <w:t>44 631 111</w:t>
            </w:r>
          </w:p>
        </w:tc>
        <w:tc>
          <w:tcPr>
            <w:tcW w:w="2201" w:type="dxa"/>
            <w:vAlign w:val="center"/>
            <w:hideMark/>
          </w:tcPr>
          <w:p w:rsidR="00A72A3D" w:rsidRPr="00EA7BE6" w:rsidRDefault="00A72A3D" w:rsidP="00A9178D">
            <w:pPr>
              <w:jc w:val="right"/>
              <w:rPr>
                <w:sz w:val="22"/>
              </w:rPr>
            </w:pPr>
            <w:r w:rsidRPr="00EA7BE6">
              <w:rPr>
                <w:sz w:val="22"/>
              </w:rPr>
              <w:t>89 227</w:t>
            </w:r>
          </w:p>
        </w:tc>
      </w:tr>
      <w:tr w:rsidR="00A72A3D" w:rsidRPr="00EA7BE6" w:rsidTr="00A9178D">
        <w:trPr>
          <w:trHeight w:val="501"/>
        </w:trPr>
        <w:tc>
          <w:tcPr>
            <w:tcW w:w="0" w:type="auto"/>
          </w:tcPr>
          <w:p w:rsidR="00A72A3D" w:rsidRPr="00EA7BE6" w:rsidRDefault="00A72A3D" w:rsidP="00A72A3D">
            <w:pPr>
              <w:rPr>
                <w:b/>
                <w:bCs/>
                <w:sz w:val="22"/>
                <w:lang w:val="bg-BG"/>
              </w:rPr>
            </w:pPr>
            <w:r w:rsidRPr="00EA7BE6">
              <w:rPr>
                <w:b/>
                <w:bCs/>
                <w:sz w:val="22"/>
                <w:lang w:val="bg-BG"/>
              </w:rPr>
              <w:t>13</w:t>
            </w:r>
          </w:p>
          <w:p w:rsidR="00A72A3D" w:rsidRPr="00EA7BE6" w:rsidRDefault="00A72A3D" w:rsidP="00A72A3D">
            <w:pPr>
              <w:rPr>
                <w:b/>
                <w:bCs/>
                <w:sz w:val="22"/>
                <w:lang w:val="bg-BG"/>
              </w:rPr>
            </w:pPr>
          </w:p>
        </w:tc>
        <w:tc>
          <w:tcPr>
            <w:tcW w:w="3046" w:type="dxa"/>
            <w:vAlign w:val="center"/>
            <w:hideMark/>
          </w:tcPr>
          <w:p w:rsidR="00A72A3D" w:rsidRPr="00EA7BE6" w:rsidRDefault="00A72A3D">
            <w:pPr>
              <w:jc w:val="left"/>
              <w:rPr>
                <w:b/>
                <w:bCs/>
                <w:sz w:val="22"/>
              </w:rPr>
            </w:pPr>
            <w:r w:rsidRPr="00EA7BE6">
              <w:rPr>
                <w:b/>
                <w:bCs/>
                <w:sz w:val="22"/>
              </w:rPr>
              <w:t>ЗАД "</w:t>
            </w:r>
            <w:proofErr w:type="spellStart"/>
            <w:r w:rsidRPr="00EA7BE6">
              <w:rPr>
                <w:b/>
                <w:bCs/>
                <w:sz w:val="22"/>
              </w:rPr>
              <w:t>Асет</w:t>
            </w:r>
            <w:proofErr w:type="spellEnd"/>
            <w:r w:rsidRPr="00EA7BE6">
              <w:rPr>
                <w:b/>
                <w:bCs/>
                <w:sz w:val="22"/>
              </w:rPr>
              <w:t xml:space="preserve"> </w:t>
            </w:r>
            <w:proofErr w:type="spellStart"/>
            <w:r w:rsidRPr="00EA7BE6">
              <w:rPr>
                <w:b/>
                <w:bCs/>
                <w:sz w:val="22"/>
              </w:rPr>
              <w:t>Иншурънс</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11 650 731</w:t>
            </w:r>
          </w:p>
        </w:tc>
        <w:tc>
          <w:tcPr>
            <w:tcW w:w="2201" w:type="dxa"/>
            <w:vAlign w:val="center"/>
            <w:hideMark/>
          </w:tcPr>
          <w:p w:rsidR="00A72A3D" w:rsidRPr="00EA7BE6" w:rsidRDefault="00A72A3D" w:rsidP="00A9178D">
            <w:pPr>
              <w:jc w:val="right"/>
              <w:rPr>
                <w:sz w:val="22"/>
              </w:rPr>
            </w:pPr>
            <w:r w:rsidRPr="00EA7BE6">
              <w:rPr>
                <w:sz w:val="22"/>
              </w:rPr>
              <w:t>1 500 013</w:t>
            </w:r>
          </w:p>
        </w:tc>
        <w:tc>
          <w:tcPr>
            <w:tcW w:w="2201" w:type="dxa"/>
            <w:vAlign w:val="center"/>
            <w:hideMark/>
          </w:tcPr>
          <w:p w:rsidR="00A72A3D" w:rsidRPr="00EA7BE6" w:rsidRDefault="00A72A3D" w:rsidP="00A9178D">
            <w:pPr>
              <w:jc w:val="right"/>
              <w:rPr>
                <w:sz w:val="22"/>
              </w:rPr>
            </w:pPr>
            <w:r w:rsidRPr="00EA7BE6">
              <w:rPr>
                <w:sz w:val="22"/>
              </w:rPr>
              <w:t>159 834</w:t>
            </w:r>
          </w:p>
        </w:tc>
      </w:tr>
      <w:tr w:rsidR="00A72A3D" w:rsidRPr="00EA7BE6" w:rsidTr="00A9178D">
        <w:trPr>
          <w:trHeight w:val="508"/>
        </w:trPr>
        <w:tc>
          <w:tcPr>
            <w:tcW w:w="0" w:type="auto"/>
          </w:tcPr>
          <w:p w:rsidR="00A72A3D" w:rsidRPr="00EA7BE6" w:rsidRDefault="00A72A3D" w:rsidP="00A72A3D">
            <w:pPr>
              <w:rPr>
                <w:b/>
                <w:bCs/>
                <w:sz w:val="22"/>
                <w:lang w:val="bg-BG"/>
              </w:rPr>
            </w:pPr>
            <w:r w:rsidRPr="00EA7BE6">
              <w:rPr>
                <w:b/>
                <w:bCs/>
                <w:sz w:val="22"/>
                <w:lang w:val="bg-BG"/>
              </w:rPr>
              <w:t>14</w:t>
            </w:r>
          </w:p>
        </w:tc>
        <w:tc>
          <w:tcPr>
            <w:tcW w:w="3046" w:type="dxa"/>
            <w:vAlign w:val="center"/>
            <w:hideMark/>
          </w:tcPr>
          <w:p w:rsidR="00A72A3D" w:rsidRPr="00EA7BE6" w:rsidRDefault="00A72A3D">
            <w:pPr>
              <w:jc w:val="left"/>
              <w:rPr>
                <w:b/>
                <w:bCs/>
                <w:sz w:val="22"/>
              </w:rPr>
            </w:pPr>
            <w:r w:rsidRPr="00EA7BE6">
              <w:rPr>
                <w:b/>
                <w:bCs/>
                <w:sz w:val="22"/>
              </w:rPr>
              <w:t>"</w:t>
            </w:r>
            <w:proofErr w:type="spellStart"/>
            <w:r w:rsidRPr="00EA7BE6">
              <w:rPr>
                <w:b/>
                <w:bCs/>
                <w:sz w:val="22"/>
              </w:rPr>
              <w:t>Групама</w:t>
            </w:r>
            <w:proofErr w:type="spellEnd"/>
            <w:r w:rsidRPr="00EA7BE6">
              <w:rPr>
                <w:b/>
                <w:bCs/>
                <w:sz w:val="22"/>
              </w:rPr>
              <w:t xml:space="preserve"> </w:t>
            </w:r>
            <w:proofErr w:type="spellStart"/>
            <w:r w:rsidRPr="00EA7BE6">
              <w:rPr>
                <w:b/>
                <w:bCs/>
                <w:sz w:val="22"/>
              </w:rPr>
              <w:t>Застраховане</w:t>
            </w:r>
            <w:proofErr w:type="spellEnd"/>
            <w:r w:rsidRPr="00EA7BE6">
              <w:rPr>
                <w:b/>
                <w:bCs/>
                <w:sz w:val="22"/>
              </w:rPr>
              <w:t>" ЕАД</w:t>
            </w:r>
          </w:p>
        </w:tc>
        <w:tc>
          <w:tcPr>
            <w:tcW w:w="2200" w:type="dxa"/>
            <w:vAlign w:val="center"/>
            <w:hideMark/>
          </w:tcPr>
          <w:p w:rsidR="00A72A3D" w:rsidRPr="00EA7BE6" w:rsidRDefault="00A72A3D" w:rsidP="00A9178D">
            <w:pPr>
              <w:jc w:val="right"/>
              <w:rPr>
                <w:sz w:val="22"/>
              </w:rPr>
            </w:pPr>
            <w:r w:rsidRPr="00EA7BE6">
              <w:rPr>
                <w:sz w:val="22"/>
              </w:rPr>
              <w:t>1 771 125</w:t>
            </w:r>
          </w:p>
        </w:tc>
        <w:tc>
          <w:tcPr>
            <w:tcW w:w="2201" w:type="dxa"/>
            <w:vAlign w:val="center"/>
            <w:hideMark/>
          </w:tcPr>
          <w:p w:rsidR="00A72A3D" w:rsidRPr="00EA7BE6" w:rsidRDefault="00A72A3D" w:rsidP="00A9178D">
            <w:pPr>
              <w:jc w:val="right"/>
              <w:rPr>
                <w:sz w:val="22"/>
              </w:rPr>
            </w:pPr>
            <w:r w:rsidRPr="00EA7BE6">
              <w:rPr>
                <w:sz w:val="22"/>
              </w:rPr>
              <w:t>5 481 784</w:t>
            </w:r>
          </w:p>
        </w:tc>
        <w:tc>
          <w:tcPr>
            <w:tcW w:w="2201" w:type="dxa"/>
            <w:vAlign w:val="center"/>
            <w:hideMark/>
          </w:tcPr>
          <w:p w:rsidR="00A72A3D" w:rsidRPr="00EA7BE6" w:rsidRDefault="00A72A3D" w:rsidP="00A9178D">
            <w:pPr>
              <w:jc w:val="right"/>
              <w:rPr>
                <w:sz w:val="22"/>
              </w:rPr>
            </w:pPr>
            <w:r w:rsidRPr="00EA7BE6">
              <w:rPr>
                <w:sz w:val="22"/>
              </w:rPr>
              <w:t>140</w:t>
            </w:r>
          </w:p>
        </w:tc>
      </w:tr>
      <w:tr w:rsidR="00A72A3D" w:rsidRPr="00EA7BE6" w:rsidTr="00A9178D">
        <w:trPr>
          <w:trHeight w:val="386"/>
        </w:trPr>
        <w:tc>
          <w:tcPr>
            <w:tcW w:w="0" w:type="auto"/>
          </w:tcPr>
          <w:p w:rsidR="00A72A3D" w:rsidRPr="00EA7BE6" w:rsidRDefault="00A72A3D" w:rsidP="00A72A3D">
            <w:pPr>
              <w:rPr>
                <w:b/>
                <w:bCs/>
                <w:sz w:val="22"/>
                <w:lang w:val="bg-BG"/>
              </w:rPr>
            </w:pPr>
            <w:r w:rsidRPr="00EA7BE6">
              <w:rPr>
                <w:b/>
                <w:bCs/>
                <w:sz w:val="22"/>
                <w:lang w:val="bg-BG"/>
              </w:rPr>
              <w:t>15</w:t>
            </w:r>
          </w:p>
        </w:tc>
        <w:tc>
          <w:tcPr>
            <w:tcW w:w="3046" w:type="dxa"/>
            <w:vAlign w:val="center"/>
            <w:hideMark/>
          </w:tcPr>
          <w:p w:rsidR="00A72A3D" w:rsidRPr="00EA7BE6" w:rsidRDefault="00A72A3D">
            <w:pPr>
              <w:jc w:val="left"/>
              <w:rPr>
                <w:b/>
                <w:bCs/>
                <w:sz w:val="22"/>
              </w:rPr>
            </w:pPr>
            <w:r w:rsidRPr="00EA7BE6">
              <w:rPr>
                <w:b/>
                <w:bCs/>
                <w:sz w:val="22"/>
              </w:rPr>
              <w:t xml:space="preserve">"ЗАД </w:t>
            </w:r>
            <w:proofErr w:type="spellStart"/>
            <w:r w:rsidRPr="00EA7BE6">
              <w:rPr>
                <w:b/>
                <w:bCs/>
                <w:sz w:val="22"/>
              </w:rPr>
              <w:t>България</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1 253 240</w:t>
            </w:r>
          </w:p>
        </w:tc>
        <w:tc>
          <w:tcPr>
            <w:tcW w:w="2201" w:type="dxa"/>
            <w:vAlign w:val="center"/>
            <w:hideMark/>
          </w:tcPr>
          <w:p w:rsidR="00A72A3D" w:rsidRPr="00EA7BE6" w:rsidRDefault="00A72A3D" w:rsidP="00A9178D">
            <w:pPr>
              <w:jc w:val="right"/>
              <w:rPr>
                <w:sz w:val="22"/>
              </w:rPr>
            </w:pPr>
            <w:r w:rsidRPr="00EA7BE6">
              <w:rPr>
                <w:sz w:val="22"/>
              </w:rPr>
              <w:t>609 149</w:t>
            </w:r>
          </w:p>
        </w:tc>
      </w:tr>
      <w:tr w:rsidR="00A72A3D" w:rsidRPr="00EA7BE6" w:rsidTr="00A9178D">
        <w:trPr>
          <w:trHeight w:val="247"/>
        </w:trPr>
        <w:tc>
          <w:tcPr>
            <w:tcW w:w="0" w:type="auto"/>
          </w:tcPr>
          <w:p w:rsidR="00A72A3D" w:rsidRPr="00EA7BE6" w:rsidRDefault="00A72A3D" w:rsidP="00A72A3D">
            <w:pPr>
              <w:rPr>
                <w:b/>
                <w:bCs/>
                <w:sz w:val="22"/>
                <w:lang w:val="bg-BG"/>
              </w:rPr>
            </w:pPr>
            <w:r w:rsidRPr="00EA7BE6">
              <w:rPr>
                <w:b/>
                <w:bCs/>
                <w:sz w:val="22"/>
                <w:lang w:val="bg-BG"/>
              </w:rPr>
              <w:t>16</w:t>
            </w:r>
          </w:p>
        </w:tc>
        <w:tc>
          <w:tcPr>
            <w:tcW w:w="3046" w:type="dxa"/>
            <w:vAlign w:val="center"/>
            <w:hideMark/>
          </w:tcPr>
          <w:p w:rsidR="00A72A3D" w:rsidRPr="00EA7BE6" w:rsidRDefault="00A72A3D">
            <w:pPr>
              <w:jc w:val="left"/>
              <w:rPr>
                <w:b/>
                <w:bCs/>
                <w:sz w:val="22"/>
              </w:rPr>
            </w:pPr>
            <w:r w:rsidRPr="00EA7BE6">
              <w:rPr>
                <w:b/>
                <w:bCs/>
                <w:sz w:val="22"/>
              </w:rPr>
              <w:t>"ЕИГ РЕ" ЕАД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1 566 391</w:t>
            </w:r>
          </w:p>
        </w:tc>
        <w:tc>
          <w:tcPr>
            <w:tcW w:w="2201" w:type="dxa"/>
            <w:vAlign w:val="center"/>
            <w:hideMark/>
          </w:tcPr>
          <w:p w:rsidR="00A72A3D" w:rsidRPr="00EA7BE6" w:rsidRDefault="00A72A3D" w:rsidP="00A9178D">
            <w:pPr>
              <w:jc w:val="right"/>
              <w:rPr>
                <w:sz w:val="22"/>
              </w:rPr>
            </w:pPr>
            <w:r w:rsidRPr="00EA7BE6">
              <w:rPr>
                <w:sz w:val="22"/>
              </w:rPr>
              <w:t>95 049</w:t>
            </w:r>
          </w:p>
        </w:tc>
      </w:tr>
      <w:tr w:rsidR="00A72A3D" w:rsidRPr="00EA7BE6" w:rsidTr="00A9178D">
        <w:trPr>
          <w:trHeight w:val="382"/>
        </w:trPr>
        <w:tc>
          <w:tcPr>
            <w:tcW w:w="0" w:type="auto"/>
          </w:tcPr>
          <w:p w:rsidR="00A72A3D" w:rsidRPr="00EA7BE6" w:rsidRDefault="00A72A3D" w:rsidP="00A72A3D">
            <w:pPr>
              <w:rPr>
                <w:b/>
                <w:bCs/>
                <w:sz w:val="22"/>
                <w:lang w:val="bg-BG"/>
              </w:rPr>
            </w:pPr>
            <w:r w:rsidRPr="00EA7BE6">
              <w:rPr>
                <w:b/>
                <w:bCs/>
                <w:sz w:val="22"/>
                <w:lang w:val="bg-BG"/>
              </w:rPr>
              <w:t>17</w:t>
            </w:r>
          </w:p>
        </w:tc>
        <w:tc>
          <w:tcPr>
            <w:tcW w:w="3046" w:type="dxa"/>
            <w:vAlign w:val="center"/>
            <w:hideMark/>
          </w:tcPr>
          <w:p w:rsidR="00A72A3D" w:rsidRPr="00EA7BE6" w:rsidRDefault="00A72A3D">
            <w:pPr>
              <w:jc w:val="left"/>
              <w:rPr>
                <w:b/>
                <w:bCs/>
                <w:sz w:val="22"/>
              </w:rPr>
            </w:pPr>
            <w:r w:rsidRPr="00EA7BE6">
              <w:rPr>
                <w:b/>
                <w:bCs/>
                <w:sz w:val="22"/>
              </w:rPr>
              <w:t xml:space="preserve"> "</w:t>
            </w:r>
            <w:proofErr w:type="spellStart"/>
            <w:r w:rsidRPr="00EA7BE6">
              <w:rPr>
                <w:b/>
                <w:bCs/>
                <w:sz w:val="22"/>
              </w:rPr>
              <w:t>Нова</w:t>
            </w:r>
            <w:proofErr w:type="spellEnd"/>
            <w:r w:rsidRPr="00EA7BE6">
              <w:rPr>
                <w:b/>
                <w:bCs/>
                <w:sz w:val="22"/>
              </w:rPr>
              <w:t xml:space="preserve"> </w:t>
            </w:r>
            <w:proofErr w:type="spellStart"/>
            <w:r w:rsidRPr="00EA7BE6">
              <w:rPr>
                <w:b/>
                <w:bCs/>
                <w:sz w:val="22"/>
              </w:rPr>
              <w:t>инс</w:t>
            </w:r>
            <w:proofErr w:type="spellEnd"/>
            <w:r w:rsidRPr="00EA7BE6">
              <w:rPr>
                <w:b/>
                <w:bCs/>
                <w:sz w:val="22"/>
              </w:rPr>
              <w:t xml:space="preserve"> 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2 527 764</w:t>
            </w:r>
          </w:p>
        </w:tc>
        <w:tc>
          <w:tcPr>
            <w:tcW w:w="2201" w:type="dxa"/>
            <w:vAlign w:val="center"/>
            <w:hideMark/>
          </w:tcPr>
          <w:p w:rsidR="00A72A3D" w:rsidRPr="00EA7BE6" w:rsidRDefault="00A72A3D" w:rsidP="00A9178D">
            <w:pPr>
              <w:jc w:val="right"/>
              <w:rPr>
                <w:sz w:val="22"/>
              </w:rPr>
            </w:pPr>
            <w:r w:rsidRPr="00EA7BE6">
              <w:rPr>
                <w:sz w:val="22"/>
              </w:rPr>
              <w:t>18 478</w:t>
            </w:r>
          </w:p>
        </w:tc>
      </w:tr>
      <w:tr w:rsidR="00A72A3D" w:rsidRPr="00EA7BE6" w:rsidTr="00A9178D">
        <w:trPr>
          <w:trHeight w:val="375"/>
        </w:trPr>
        <w:tc>
          <w:tcPr>
            <w:tcW w:w="0" w:type="auto"/>
          </w:tcPr>
          <w:p w:rsidR="00A72A3D" w:rsidRPr="00EA7BE6" w:rsidRDefault="00A72A3D" w:rsidP="00A72A3D">
            <w:pPr>
              <w:rPr>
                <w:b/>
                <w:bCs/>
                <w:sz w:val="22"/>
                <w:lang w:val="bg-BG"/>
              </w:rPr>
            </w:pPr>
            <w:r w:rsidRPr="00EA7BE6">
              <w:rPr>
                <w:b/>
                <w:bCs/>
                <w:sz w:val="22"/>
                <w:lang w:val="bg-BG"/>
              </w:rPr>
              <w:t>18</w:t>
            </w:r>
          </w:p>
        </w:tc>
        <w:tc>
          <w:tcPr>
            <w:tcW w:w="3046" w:type="dxa"/>
            <w:vAlign w:val="center"/>
            <w:hideMark/>
          </w:tcPr>
          <w:p w:rsidR="00A72A3D" w:rsidRPr="00EA7BE6" w:rsidRDefault="00A72A3D">
            <w:pPr>
              <w:jc w:val="left"/>
              <w:rPr>
                <w:b/>
                <w:bCs/>
                <w:sz w:val="22"/>
              </w:rPr>
            </w:pPr>
            <w:r w:rsidRPr="00EA7BE6">
              <w:rPr>
                <w:b/>
                <w:bCs/>
                <w:sz w:val="22"/>
              </w:rPr>
              <w:t xml:space="preserve">"ЗК </w:t>
            </w:r>
            <w:proofErr w:type="spellStart"/>
            <w:r w:rsidRPr="00EA7BE6">
              <w:rPr>
                <w:b/>
                <w:bCs/>
                <w:sz w:val="22"/>
              </w:rPr>
              <w:t>Медико</w:t>
            </w:r>
            <w:proofErr w:type="spellEnd"/>
            <w:r w:rsidRPr="00EA7BE6">
              <w:rPr>
                <w:b/>
                <w:bCs/>
                <w:sz w:val="22"/>
              </w:rPr>
              <w:t xml:space="preserve"> – 21'' 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2 570</w:t>
            </w:r>
          </w:p>
        </w:tc>
        <w:tc>
          <w:tcPr>
            <w:tcW w:w="2201" w:type="dxa"/>
            <w:vAlign w:val="center"/>
            <w:hideMark/>
          </w:tcPr>
          <w:p w:rsidR="00A72A3D" w:rsidRPr="00EA7BE6" w:rsidRDefault="00A72A3D" w:rsidP="00A9178D">
            <w:pPr>
              <w:jc w:val="right"/>
              <w:rPr>
                <w:sz w:val="22"/>
              </w:rPr>
            </w:pPr>
            <w:r w:rsidRPr="00EA7BE6">
              <w:rPr>
                <w:sz w:val="22"/>
              </w:rPr>
              <w:t>0</w:t>
            </w:r>
          </w:p>
        </w:tc>
      </w:tr>
      <w:tr w:rsidR="00A72A3D" w:rsidRPr="00EA7BE6" w:rsidTr="00A9178D">
        <w:trPr>
          <w:trHeight w:val="383"/>
        </w:trPr>
        <w:tc>
          <w:tcPr>
            <w:tcW w:w="0" w:type="auto"/>
          </w:tcPr>
          <w:p w:rsidR="00A72A3D" w:rsidRPr="00EA7BE6" w:rsidRDefault="00A72A3D" w:rsidP="00A72A3D">
            <w:pPr>
              <w:rPr>
                <w:b/>
                <w:bCs/>
                <w:sz w:val="22"/>
                <w:lang w:val="bg-BG"/>
              </w:rPr>
            </w:pPr>
            <w:r w:rsidRPr="00EA7BE6">
              <w:rPr>
                <w:b/>
                <w:bCs/>
                <w:sz w:val="22"/>
                <w:lang w:val="bg-BG"/>
              </w:rPr>
              <w:t>19</w:t>
            </w:r>
          </w:p>
        </w:tc>
        <w:tc>
          <w:tcPr>
            <w:tcW w:w="3046" w:type="dxa"/>
            <w:vAlign w:val="center"/>
            <w:hideMark/>
          </w:tcPr>
          <w:p w:rsidR="00A72A3D" w:rsidRPr="00EA7BE6" w:rsidRDefault="00A72A3D">
            <w:pPr>
              <w:jc w:val="left"/>
              <w:rPr>
                <w:b/>
                <w:bCs/>
                <w:sz w:val="22"/>
              </w:rPr>
            </w:pPr>
            <w:r w:rsidRPr="00EA7BE6">
              <w:rPr>
                <w:b/>
                <w:bCs/>
                <w:sz w:val="22"/>
              </w:rPr>
              <w:t xml:space="preserve">ЗД "ОЗОК </w:t>
            </w:r>
            <w:proofErr w:type="spellStart"/>
            <w:r w:rsidRPr="00EA7BE6">
              <w:rPr>
                <w:b/>
                <w:bCs/>
                <w:sz w:val="22"/>
              </w:rPr>
              <w:t>Инс</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309 023</w:t>
            </w:r>
          </w:p>
        </w:tc>
        <w:tc>
          <w:tcPr>
            <w:tcW w:w="2201" w:type="dxa"/>
            <w:vAlign w:val="center"/>
            <w:hideMark/>
          </w:tcPr>
          <w:p w:rsidR="00A72A3D" w:rsidRPr="00EA7BE6" w:rsidRDefault="00A72A3D" w:rsidP="00A9178D">
            <w:pPr>
              <w:jc w:val="right"/>
              <w:rPr>
                <w:sz w:val="22"/>
              </w:rPr>
            </w:pPr>
            <w:r w:rsidRPr="00EA7BE6">
              <w:rPr>
                <w:sz w:val="22"/>
              </w:rPr>
              <w:t>32 830</w:t>
            </w:r>
          </w:p>
        </w:tc>
      </w:tr>
      <w:tr w:rsidR="00A72A3D" w:rsidRPr="00EA7BE6" w:rsidTr="00A9178D">
        <w:trPr>
          <w:trHeight w:val="772"/>
        </w:trPr>
        <w:tc>
          <w:tcPr>
            <w:tcW w:w="0" w:type="auto"/>
          </w:tcPr>
          <w:p w:rsidR="00A72A3D" w:rsidRPr="00EA7BE6" w:rsidRDefault="00A72A3D" w:rsidP="00A72A3D">
            <w:pPr>
              <w:rPr>
                <w:b/>
                <w:bCs/>
                <w:sz w:val="22"/>
                <w:lang w:val="bg-BG"/>
              </w:rPr>
            </w:pPr>
            <w:r w:rsidRPr="00EA7BE6">
              <w:rPr>
                <w:b/>
                <w:bCs/>
                <w:sz w:val="22"/>
                <w:lang w:val="bg-BG"/>
              </w:rPr>
              <w:t>20</w:t>
            </w:r>
          </w:p>
        </w:tc>
        <w:tc>
          <w:tcPr>
            <w:tcW w:w="3046" w:type="dxa"/>
            <w:vAlign w:val="center"/>
            <w:hideMark/>
          </w:tcPr>
          <w:p w:rsidR="00A72A3D" w:rsidRPr="00EA7BE6" w:rsidRDefault="00A72A3D">
            <w:pPr>
              <w:jc w:val="left"/>
              <w:rPr>
                <w:b/>
                <w:bCs/>
                <w:sz w:val="22"/>
              </w:rPr>
            </w:pPr>
            <w:r w:rsidRPr="00EA7BE6">
              <w:rPr>
                <w:b/>
                <w:bCs/>
                <w:sz w:val="22"/>
              </w:rPr>
              <w:t>"</w:t>
            </w:r>
            <w:proofErr w:type="spellStart"/>
            <w:r w:rsidRPr="00EA7BE6">
              <w:rPr>
                <w:b/>
                <w:bCs/>
                <w:sz w:val="22"/>
              </w:rPr>
              <w:t>Европейска</w:t>
            </w:r>
            <w:proofErr w:type="spellEnd"/>
            <w:r w:rsidRPr="00EA7BE6">
              <w:rPr>
                <w:b/>
                <w:bCs/>
                <w:sz w:val="22"/>
              </w:rPr>
              <w:t xml:space="preserve"> </w:t>
            </w:r>
            <w:proofErr w:type="spellStart"/>
            <w:r w:rsidRPr="00EA7BE6">
              <w:rPr>
                <w:b/>
                <w:bCs/>
                <w:sz w:val="22"/>
              </w:rPr>
              <w:t>Здравноосигурителна</w:t>
            </w:r>
            <w:proofErr w:type="spellEnd"/>
            <w:r w:rsidRPr="00EA7BE6">
              <w:rPr>
                <w:b/>
                <w:bCs/>
                <w:sz w:val="22"/>
              </w:rPr>
              <w:t xml:space="preserve"> </w:t>
            </w:r>
            <w:proofErr w:type="spellStart"/>
            <w:r w:rsidRPr="00EA7BE6">
              <w:rPr>
                <w:b/>
                <w:bCs/>
                <w:sz w:val="22"/>
              </w:rPr>
              <w:t>каса</w:t>
            </w:r>
            <w:proofErr w:type="spellEnd"/>
            <w:r w:rsidRPr="00EA7BE6">
              <w:rPr>
                <w:b/>
                <w:bCs/>
                <w:sz w:val="22"/>
              </w:rPr>
              <w:t>" ЗАД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8 976</w:t>
            </w:r>
          </w:p>
        </w:tc>
        <w:tc>
          <w:tcPr>
            <w:tcW w:w="2201" w:type="dxa"/>
            <w:vAlign w:val="center"/>
            <w:hideMark/>
          </w:tcPr>
          <w:p w:rsidR="00A72A3D" w:rsidRPr="00EA7BE6" w:rsidRDefault="00A72A3D" w:rsidP="00A9178D">
            <w:pPr>
              <w:jc w:val="right"/>
              <w:rPr>
                <w:sz w:val="22"/>
              </w:rPr>
            </w:pPr>
            <w:r w:rsidRPr="00EA7BE6">
              <w:rPr>
                <w:sz w:val="22"/>
              </w:rPr>
              <w:t>1 020</w:t>
            </w:r>
          </w:p>
        </w:tc>
      </w:tr>
      <w:tr w:rsidR="00A72A3D" w:rsidRPr="00EA7BE6" w:rsidTr="00A9178D">
        <w:trPr>
          <w:trHeight w:val="380"/>
        </w:trPr>
        <w:tc>
          <w:tcPr>
            <w:tcW w:w="0" w:type="auto"/>
          </w:tcPr>
          <w:p w:rsidR="00A72A3D" w:rsidRPr="00EA7BE6" w:rsidRDefault="00A72A3D" w:rsidP="00A72A3D">
            <w:pPr>
              <w:rPr>
                <w:b/>
                <w:bCs/>
                <w:sz w:val="22"/>
                <w:lang w:val="bg-BG"/>
              </w:rPr>
            </w:pPr>
            <w:r w:rsidRPr="00EA7BE6">
              <w:rPr>
                <w:b/>
                <w:bCs/>
                <w:sz w:val="22"/>
                <w:lang w:val="bg-BG"/>
              </w:rPr>
              <w:t>21</w:t>
            </w:r>
          </w:p>
        </w:tc>
        <w:tc>
          <w:tcPr>
            <w:tcW w:w="3046" w:type="dxa"/>
            <w:vAlign w:val="center"/>
            <w:hideMark/>
          </w:tcPr>
          <w:p w:rsidR="00A72A3D" w:rsidRPr="00EA7BE6" w:rsidRDefault="00A72A3D">
            <w:pPr>
              <w:jc w:val="left"/>
              <w:rPr>
                <w:b/>
                <w:bCs/>
                <w:sz w:val="22"/>
              </w:rPr>
            </w:pPr>
            <w:r w:rsidRPr="00EA7BE6">
              <w:rPr>
                <w:b/>
                <w:bCs/>
                <w:sz w:val="22"/>
              </w:rPr>
              <w:t>ЗД "</w:t>
            </w:r>
            <w:proofErr w:type="spellStart"/>
            <w:r w:rsidRPr="00EA7BE6">
              <w:rPr>
                <w:b/>
                <w:bCs/>
                <w:sz w:val="22"/>
              </w:rPr>
              <w:t>Съгласие</w:t>
            </w:r>
            <w:proofErr w:type="spellEnd"/>
            <w:r w:rsidRPr="00EA7BE6">
              <w:rPr>
                <w:b/>
                <w:bCs/>
                <w:sz w:val="22"/>
              </w:rPr>
              <w:t>" АД</w:t>
            </w:r>
          </w:p>
        </w:tc>
        <w:tc>
          <w:tcPr>
            <w:tcW w:w="2200" w:type="dxa"/>
            <w:vAlign w:val="center"/>
            <w:hideMark/>
          </w:tcPr>
          <w:p w:rsidR="00A72A3D" w:rsidRPr="00EA7BE6" w:rsidRDefault="00A72A3D" w:rsidP="00A9178D">
            <w:pPr>
              <w:jc w:val="right"/>
              <w:rPr>
                <w:sz w:val="22"/>
              </w:rPr>
            </w:pPr>
            <w:r w:rsidRPr="00EA7BE6">
              <w:rPr>
                <w:sz w:val="22"/>
              </w:rPr>
              <w:t>0</w:t>
            </w:r>
          </w:p>
        </w:tc>
        <w:tc>
          <w:tcPr>
            <w:tcW w:w="2201" w:type="dxa"/>
            <w:vAlign w:val="center"/>
            <w:hideMark/>
          </w:tcPr>
          <w:p w:rsidR="00A72A3D" w:rsidRPr="00EA7BE6" w:rsidRDefault="00A72A3D" w:rsidP="00A9178D">
            <w:pPr>
              <w:jc w:val="right"/>
              <w:rPr>
                <w:sz w:val="22"/>
              </w:rPr>
            </w:pPr>
            <w:r w:rsidRPr="00EA7BE6">
              <w:rPr>
                <w:sz w:val="22"/>
              </w:rPr>
              <w:t>42 557</w:t>
            </w:r>
          </w:p>
        </w:tc>
        <w:tc>
          <w:tcPr>
            <w:tcW w:w="2201" w:type="dxa"/>
            <w:vAlign w:val="center"/>
            <w:hideMark/>
          </w:tcPr>
          <w:p w:rsidR="00A72A3D" w:rsidRPr="00EA7BE6" w:rsidRDefault="00A72A3D" w:rsidP="00A9178D">
            <w:pPr>
              <w:jc w:val="right"/>
              <w:rPr>
                <w:sz w:val="22"/>
              </w:rPr>
            </w:pPr>
            <w:r w:rsidRPr="00EA7BE6">
              <w:rPr>
                <w:sz w:val="22"/>
              </w:rPr>
              <w:t>0</w:t>
            </w:r>
          </w:p>
        </w:tc>
      </w:tr>
    </w:tbl>
    <w:p w:rsidR="00AB7A1D" w:rsidRPr="00C53587" w:rsidRDefault="002463D8" w:rsidP="00F12648">
      <w:pPr>
        <w:rPr>
          <w:sz w:val="20"/>
          <w:lang w:val="bg-BG"/>
        </w:rPr>
      </w:pPr>
      <w:r w:rsidRPr="00C53587">
        <w:rPr>
          <w:sz w:val="20"/>
          <w:lang w:val="bg-BG"/>
        </w:rPr>
        <w:t>Източник: КФН</w:t>
      </w:r>
    </w:p>
    <w:p w:rsidR="009C25BF" w:rsidRPr="00EA7BE6" w:rsidRDefault="009C25BF" w:rsidP="006B3BB7">
      <w:pPr>
        <w:pStyle w:val="Heading2"/>
        <w:spacing w:before="240" w:after="120"/>
        <w:rPr>
          <w:rFonts w:cs="Times New Roman"/>
          <w:sz w:val="22"/>
          <w:szCs w:val="22"/>
          <w:lang w:val="bg-BG"/>
        </w:rPr>
      </w:pPr>
      <w:bookmarkStart w:id="12" w:name="_Toc496709943"/>
      <w:r w:rsidRPr="00EA7BE6">
        <w:rPr>
          <w:rFonts w:cs="Times New Roman"/>
          <w:sz w:val="22"/>
          <w:szCs w:val="22"/>
          <w:lang w:val="bg-BG"/>
        </w:rPr>
        <w:t xml:space="preserve">III.3. </w:t>
      </w:r>
      <w:bookmarkEnd w:id="12"/>
      <w:r w:rsidR="00A2293F" w:rsidRPr="00EA7BE6">
        <w:rPr>
          <w:rFonts w:cs="Times New Roman"/>
          <w:sz w:val="22"/>
          <w:szCs w:val="22"/>
          <w:lang w:val="bg-BG"/>
        </w:rPr>
        <w:t>Държавни институции, отговорни за прилагането на закона</w:t>
      </w:r>
    </w:p>
    <w:p w:rsidR="009C25BF" w:rsidRPr="00EA7BE6" w:rsidRDefault="009C25BF" w:rsidP="006B3BB7">
      <w:pPr>
        <w:spacing w:after="120"/>
        <w:rPr>
          <w:sz w:val="22"/>
          <w:lang w:val="bg-BG"/>
        </w:rPr>
      </w:pPr>
      <w:r w:rsidRPr="00EA7BE6">
        <w:rPr>
          <w:sz w:val="22"/>
          <w:lang w:val="bg-BG"/>
        </w:rPr>
        <w:t>Органите, натоварени с изпълнението на закона</w:t>
      </w:r>
      <w:r w:rsidR="003E4D49">
        <w:rPr>
          <w:sz w:val="22"/>
          <w:lang w:val="bg-BG"/>
        </w:rPr>
        <w:t>,</w:t>
      </w:r>
      <w:r w:rsidRPr="00EA7BE6">
        <w:rPr>
          <w:sz w:val="22"/>
          <w:lang w:val="bg-BG"/>
        </w:rPr>
        <w:t xml:space="preserve"> ще бъдат пряко засегнати от приемането му. За тях се създават нови задължения </w:t>
      </w:r>
      <w:r w:rsidR="0092109C" w:rsidRPr="00EA7BE6">
        <w:rPr>
          <w:sz w:val="22"/>
          <w:lang w:val="bg-BG"/>
        </w:rPr>
        <w:t>по отношение на превенцията срещу неблагоприятни климатични събития в земеделието</w:t>
      </w:r>
      <w:r w:rsidRPr="00EA7BE6">
        <w:rPr>
          <w:sz w:val="22"/>
          <w:lang w:val="bg-BG"/>
        </w:rPr>
        <w:t xml:space="preserve">. </w:t>
      </w:r>
    </w:p>
    <w:p w:rsidR="009B5440" w:rsidRPr="00EA7BE6" w:rsidRDefault="00974282" w:rsidP="006B3BB7">
      <w:pPr>
        <w:spacing w:after="120"/>
        <w:rPr>
          <w:sz w:val="22"/>
          <w:lang w:val="bg-BG"/>
        </w:rPr>
      </w:pPr>
      <w:r w:rsidRPr="00EA7BE6">
        <w:rPr>
          <w:sz w:val="22"/>
          <w:lang w:val="bg-BG"/>
        </w:rPr>
        <w:t xml:space="preserve">На първо място, засегната ще бъде Изпълнителната агенция „Борба с градушките“. </w:t>
      </w:r>
      <w:r w:rsidRPr="00C53587">
        <w:rPr>
          <w:sz w:val="22"/>
          <w:lang w:val="ru-RU"/>
        </w:rPr>
        <w:t>Агенцията осъществява дейностите по организирането и провеждането на активни въздействия върху градовите процеси и други неблагоприятни атмосферни явления; изкуственото увеличаване и преразпределяне на валежите; радиолокационното площно измерване на валежите; подпомага радиолокационно метеорологичното осигуряване на заинтересуваните ведомства в Република България</w:t>
      </w:r>
      <w:r w:rsidRPr="00EA7BE6">
        <w:rPr>
          <w:sz w:val="22"/>
          <w:lang w:val="bg-BG"/>
        </w:rPr>
        <w:t>.</w:t>
      </w:r>
      <w:r w:rsidR="005578B4" w:rsidRPr="00EA7BE6">
        <w:rPr>
          <w:sz w:val="22"/>
          <w:lang w:val="bg-BG"/>
        </w:rPr>
        <w:t xml:space="preserve"> С проекта на закон се предвижда </w:t>
      </w:r>
      <w:r w:rsidR="00374813" w:rsidRPr="00EA7BE6">
        <w:rPr>
          <w:sz w:val="22"/>
          <w:lang w:val="bg-BG"/>
        </w:rPr>
        <w:t>тези</w:t>
      </w:r>
      <w:r w:rsidR="005578B4" w:rsidRPr="00EA7BE6">
        <w:rPr>
          <w:sz w:val="22"/>
          <w:lang w:val="bg-BG"/>
        </w:rPr>
        <w:t xml:space="preserve"> функции да </w:t>
      </w:r>
      <w:r w:rsidR="00374813" w:rsidRPr="00EA7BE6">
        <w:rPr>
          <w:sz w:val="22"/>
          <w:lang w:val="bg-BG"/>
        </w:rPr>
        <w:t>влязат в обхвата на дейност на</w:t>
      </w:r>
      <w:r w:rsidR="005578B4" w:rsidRPr="00EA7BE6">
        <w:rPr>
          <w:sz w:val="22"/>
          <w:lang w:val="bg-BG"/>
        </w:rPr>
        <w:t xml:space="preserve"> специално създадено държавно предприятие.</w:t>
      </w:r>
      <w:r w:rsidR="002F0E4B" w:rsidRPr="00EA7BE6">
        <w:rPr>
          <w:sz w:val="22"/>
          <w:lang w:val="bg-BG"/>
        </w:rPr>
        <w:t xml:space="preserve"> С оглед избягване дублиране на функциите се предвижда агенцията да се влее в новосъздаденото държавно предприятие.</w:t>
      </w:r>
    </w:p>
    <w:p w:rsidR="00974282" w:rsidRPr="00EA7BE6" w:rsidRDefault="009B5440" w:rsidP="006B3BB7">
      <w:pPr>
        <w:spacing w:after="120"/>
        <w:rPr>
          <w:sz w:val="22"/>
          <w:lang w:val="bg-BG"/>
        </w:rPr>
      </w:pPr>
      <w:r w:rsidRPr="00EA7BE6">
        <w:rPr>
          <w:sz w:val="22"/>
          <w:lang w:val="bg-BG"/>
        </w:rPr>
        <w:lastRenderedPageBreak/>
        <w:t>На следващо място, законопроектът ще засегне Министерството на земеделието, храните и горите</w:t>
      </w:r>
      <w:r w:rsidR="00984D53" w:rsidRPr="00EA7BE6">
        <w:rPr>
          <w:sz w:val="22"/>
          <w:lang w:val="bg-BG"/>
        </w:rPr>
        <w:t>.</w:t>
      </w:r>
      <w:r w:rsidRPr="00EA7BE6">
        <w:rPr>
          <w:sz w:val="22"/>
          <w:lang w:val="bg-BG"/>
        </w:rPr>
        <w:t xml:space="preserve"> </w:t>
      </w:r>
      <w:r w:rsidR="007A32DC" w:rsidRPr="00EA7BE6">
        <w:rPr>
          <w:sz w:val="22"/>
          <w:lang w:val="bg-BG"/>
        </w:rPr>
        <w:t>Ежегодно информацията за заявените за подпомагане площи от земеделските стопани по Схемата за единно плащане на площ ще бъде предоставяна на държавното предприятие от компетентните структурни звена в министерството.</w:t>
      </w:r>
    </w:p>
    <w:p w:rsidR="00A646E4" w:rsidRPr="00EA7BE6" w:rsidRDefault="000179EC" w:rsidP="00A646E4">
      <w:pPr>
        <w:spacing w:after="120"/>
        <w:rPr>
          <w:sz w:val="22"/>
          <w:lang w:val="bg-BG"/>
        </w:rPr>
      </w:pPr>
      <w:r w:rsidRPr="00EA7BE6">
        <w:rPr>
          <w:sz w:val="22"/>
          <w:lang w:val="bg-BG"/>
        </w:rPr>
        <w:t xml:space="preserve">В списъка на засегнатите страни се включва и </w:t>
      </w:r>
      <w:r w:rsidR="007A32DC" w:rsidRPr="00EA7BE6">
        <w:rPr>
          <w:sz w:val="22"/>
          <w:lang w:val="bg-BG"/>
        </w:rPr>
        <w:t>Държавното предприятие „Ръководство на въздушното движение“</w:t>
      </w:r>
      <w:r w:rsidRPr="00EA7BE6">
        <w:rPr>
          <w:sz w:val="22"/>
          <w:lang w:val="bg-BG"/>
        </w:rPr>
        <w:t>.</w:t>
      </w:r>
      <w:r w:rsidR="00762F64" w:rsidRPr="00EA7BE6">
        <w:rPr>
          <w:sz w:val="22"/>
          <w:lang w:val="bg-BG"/>
        </w:rPr>
        <w:t xml:space="preserve"> В законопроекта се предвижда разширяване на сега съществуващата система за защита от градушки чрез ракетен и самолетен способ. Покриването на 100 % от територията на страната и управлението на риска срещу неблагоприятни климатични събития в земеделието ще засегне пряко работата на предприятието във връзка с осигуряване на безопасността на гражданските полети.</w:t>
      </w:r>
      <w:bookmarkStart w:id="13" w:name="_Toc496709947"/>
    </w:p>
    <w:p w:rsidR="00CA75E2" w:rsidRPr="00EA7BE6" w:rsidRDefault="009C25BF" w:rsidP="00A646E4">
      <w:pPr>
        <w:pStyle w:val="Heading2"/>
        <w:spacing w:before="240" w:after="120"/>
        <w:rPr>
          <w:rFonts w:cs="Times New Roman"/>
          <w:sz w:val="22"/>
          <w:szCs w:val="22"/>
          <w:lang w:val="bg-BG"/>
        </w:rPr>
      </w:pPr>
      <w:r w:rsidRPr="00EA7BE6">
        <w:rPr>
          <w:rFonts w:cs="Times New Roman"/>
          <w:sz w:val="22"/>
          <w:szCs w:val="22"/>
          <w:lang w:val="bg-BG"/>
        </w:rPr>
        <w:t>IV</w:t>
      </w:r>
      <w:r w:rsidR="00E47E10" w:rsidRPr="00EA7BE6">
        <w:rPr>
          <w:rFonts w:cs="Times New Roman"/>
          <w:sz w:val="22"/>
          <w:szCs w:val="22"/>
          <w:lang w:val="bg-BG"/>
        </w:rPr>
        <w:t xml:space="preserve">. </w:t>
      </w:r>
      <w:bookmarkEnd w:id="13"/>
      <w:r w:rsidR="005815F3" w:rsidRPr="00EA7BE6">
        <w:rPr>
          <w:rFonts w:cs="Times New Roman"/>
          <w:sz w:val="22"/>
          <w:szCs w:val="22"/>
          <w:lang w:val="bg-BG"/>
        </w:rPr>
        <w:t>Цели на законопроекта</w:t>
      </w:r>
    </w:p>
    <w:p w:rsidR="00E85C77" w:rsidRPr="00EA7BE6" w:rsidRDefault="009C25BF" w:rsidP="006B3BB7">
      <w:pPr>
        <w:pStyle w:val="Heading2"/>
        <w:spacing w:before="240" w:after="120"/>
        <w:rPr>
          <w:rFonts w:cs="Times New Roman"/>
          <w:sz w:val="22"/>
          <w:szCs w:val="22"/>
          <w:lang w:val="bg-BG"/>
        </w:rPr>
      </w:pPr>
      <w:bookmarkStart w:id="14" w:name="_Toc496709948"/>
      <w:r w:rsidRPr="00EA7BE6">
        <w:rPr>
          <w:rFonts w:cs="Times New Roman"/>
          <w:sz w:val="22"/>
          <w:szCs w:val="22"/>
          <w:lang w:val="bg-BG"/>
        </w:rPr>
        <w:t>IV</w:t>
      </w:r>
      <w:r w:rsidR="00061BD0" w:rsidRPr="00EA7BE6">
        <w:rPr>
          <w:rFonts w:cs="Times New Roman"/>
          <w:sz w:val="22"/>
          <w:szCs w:val="22"/>
          <w:lang w:val="bg-BG"/>
        </w:rPr>
        <w:t xml:space="preserve">.1. </w:t>
      </w:r>
      <w:r w:rsidR="00CA75E2" w:rsidRPr="00EA7BE6">
        <w:rPr>
          <w:rFonts w:cs="Times New Roman"/>
          <w:sz w:val="22"/>
          <w:szCs w:val="22"/>
          <w:lang w:val="bg-BG"/>
        </w:rPr>
        <w:t>Обща цел</w:t>
      </w:r>
      <w:bookmarkEnd w:id="14"/>
    </w:p>
    <w:p w:rsidR="00E85C77" w:rsidRPr="00EA7BE6" w:rsidRDefault="00E85C77" w:rsidP="00E85C77">
      <w:pPr>
        <w:rPr>
          <w:sz w:val="22"/>
          <w:lang w:val="bg-BG"/>
        </w:rPr>
      </w:pPr>
      <w:r w:rsidRPr="00EA7BE6">
        <w:rPr>
          <w:sz w:val="22"/>
          <w:lang w:val="bg-BG"/>
        </w:rPr>
        <w:t xml:space="preserve">Проектът на закон ще урежда обществените отношения, свързани с осигуряването на превенция срещу </w:t>
      </w:r>
      <w:r w:rsidR="00FD1323" w:rsidRPr="00EA7BE6">
        <w:rPr>
          <w:sz w:val="22"/>
          <w:lang w:val="bg-BG"/>
        </w:rPr>
        <w:t>неблагоприятни климатични събития в земеделието</w:t>
      </w:r>
      <w:r w:rsidRPr="00EA7BE6">
        <w:rPr>
          <w:sz w:val="22"/>
          <w:lang w:val="bg-BG"/>
        </w:rPr>
        <w:t xml:space="preserve">. </w:t>
      </w:r>
    </w:p>
    <w:p w:rsidR="00E85C77" w:rsidRPr="00EA7BE6" w:rsidRDefault="00E85C77" w:rsidP="00E85C77">
      <w:pPr>
        <w:rPr>
          <w:sz w:val="22"/>
          <w:lang w:val="bg-BG"/>
        </w:rPr>
      </w:pPr>
      <w:r w:rsidRPr="00EA7BE6">
        <w:rPr>
          <w:sz w:val="22"/>
          <w:lang w:val="bg-BG"/>
        </w:rPr>
        <w:t xml:space="preserve">Целта на настоящия законопроект е създаването на ефективна система за управление на </w:t>
      </w:r>
      <w:r w:rsidR="00D30624" w:rsidRPr="00EA7BE6">
        <w:rPr>
          <w:sz w:val="22"/>
          <w:lang w:val="bg-BG"/>
        </w:rPr>
        <w:t xml:space="preserve">риска от </w:t>
      </w:r>
      <w:r w:rsidRPr="00EA7BE6">
        <w:rPr>
          <w:sz w:val="22"/>
          <w:lang w:val="bg-BG"/>
        </w:rPr>
        <w:t xml:space="preserve">неблагоприятни климатични събития в земеделието, която да покрива територията на цялата страна. </w:t>
      </w:r>
    </w:p>
    <w:p w:rsidR="00216431" w:rsidRPr="00EA7BE6" w:rsidRDefault="00216431" w:rsidP="00B22247">
      <w:pPr>
        <w:pStyle w:val="Heading2"/>
        <w:spacing w:before="240" w:after="120"/>
        <w:rPr>
          <w:rFonts w:cs="Times New Roman"/>
          <w:sz w:val="22"/>
          <w:szCs w:val="22"/>
          <w:lang w:val="bg-BG"/>
        </w:rPr>
      </w:pPr>
      <w:r w:rsidRPr="00EA7BE6">
        <w:rPr>
          <w:rFonts w:cs="Times New Roman"/>
          <w:sz w:val="22"/>
          <w:szCs w:val="22"/>
          <w:lang w:val="bg-BG"/>
        </w:rPr>
        <w:t>IV.2. Специфични цели</w:t>
      </w:r>
    </w:p>
    <w:p w:rsidR="0031240B" w:rsidRPr="00EA7BE6" w:rsidRDefault="00B22247" w:rsidP="0031240B">
      <w:pPr>
        <w:rPr>
          <w:sz w:val="22"/>
          <w:lang w:val="bg-BG"/>
        </w:rPr>
      </w:pPr>
      <w:r w:rsidRPr="00EA7BE6">
        <w:rPr>
          <w:sz w:val="22"/>
          <w:lang w:val="bg-BG"/>
        </w:rPr>
        <w:t xml:space="preserve">За постигането на формулираната обща цел се предвижда изпълнението на </w:t>
      </w:r>
      <w:r w:rsidR="0031240B" w:rsidRPr="00EA7BE6">
        <w:rPr>
          <w:sz w:val="22"/>
          <w:lang w:val="bg-BG"/>
        </w:rPr>
        <w:t>редица</w:t>
      </w:r>
      <w:r w:rsidRPr="00EA7BE6">
        <w:rPr>
          <w:sz w:val="22"/>
          <w:lang w:val="bg-BG"/>
        </w:rPr>
        <w:t xml:space="preserve"> специфични </w:t>
      </w:r>
      <w:r w:rsidR="0031240B" w:rsidRPr="00EA7BE6">
        <w:rPr>
          <w:sz w:val="22"/>
          <w:lang w:val="bg-BG"/>
        </w:rPr>
        <w:t>такива.</w:t>
      </w:r>
    </w:p>
    <w:p w:rsidR="0031240B" w:rsidRPr="00EA7BE6" w:rsidRDefault="0031240B" w:rsidP="0031240B">
      <w:pPr>
        <w:rPr>
          <w:sz w:val="22"/>
          <w:lang w:val="bg-BG"/>
        </w:rPr>
      </w:pPr>
      <w:r w:rsidRPr="00EA7BE6">
        <w:rPr>
          <w:sz w:val="22"/>
          <w:lang w:val="bg-BG"/>
        </w:rPr>
        <w:t xml:space="preserve">На първо място, ще бъде </w:t>
      </w:r>
      <w:r w:rsidR="00122B3C" w:rsidRPr="00EA7BE6">
        <w:rPr>
          <w:sz w:val="22"/>
          <w:lang w:val="bg-BG"/>
        </w:rPr>
        <w:t>разшире</w:t>
      </w:r>
      <w:r w:rsidRPr="00EA7BE6">
        <w:rPr>
          <w:sz w:val="22"/>
          <w:lang w:val="bg-BG"/>
        </w:rPr>
        <w:t>н</w:t>
      </w:r>
      <w:r w:rsidR="00B325F8">
        <w:rPr>
          <w:sz w:val="22"/>
          <w:lang w:val="bg-BG"/>
        </w:rPr>
        <w:t xml:space="preserve"> обхватът</w:t>
      </w:r>
      <w:r w:rsidR="00122B3C" w:rsidRPr="00EA7BE6">
        <w:rPr>
          <w:sz w:val="22"/>
          <w:lang w:val="bg-BG"/>
        </w:rPr>
        <w:t xml:space="preserve"> на системата за превенция срещу неблагоприятни климатични събития в земеделието. Това ще се постигне чрез</w:t>
      </w:r>
      <w:r w:rsidRPr="00EA7BE6">
        <w:rPr>
          <w:sz w:val="22"/>
          <w:lang w:val="bg-BG"/>
        </w:rPr>
        <w:t xml:space="preserve"> диверсификация и усъвършенстване на методите за борба с градушките, като се предвижда:</w:t>
      </w:r>
    </w:p>
    <w:p w:rsidR="0031240B" w:rsidRPr="00C53587" w:rsidRDefault="0031240B" w:rsidP="00C53587">
      <w:pPr>
        <w:pStyle w:val="ListParagraph"/>
        <w:numPr>
          <w:ilvl w:val="0"/>
          <w:numId w:val="21"/>
        </w:numPr>
        <w:rPr>
          <w:sz w:val="22"/>
          <w:lang w:val="bg-BG"/>
        </w:rPr>
      </w:pPr>
      <w:r w:rsidRPr="00C53587">
        <w:rPr>
          <w:sz w:val="22"/>
          <w:lang w:val="bg-BG"/>
        </w:rPr>
        <w:t>доизграждане на системата за наблюдение за опасни явления, с разполагане на 4 допълнителни радарни станции, което ще позволи получаване на радарна информация за територията на цялата страна;</w:t>
      </w:r>
    </w:p>
    <w:p w:rsidR="0031240B" w:rsidRPr="00C53587" w:rsidRDefault="0031240B" w:rsidP="00C53587">
      <w:pPr>
        <w:pStyle w:val="ListParagraph"/>
        <w:numPr>
          <w:ilvl w:val="0"/>
          <w:numId w:val="21"/>
        </w:numPr>
        <w:rPr>
          <w:sz w:val="22"/>
          <w:lang w:val="bg-BG"/>
        </w:rPr>
      </w:pPr>
      <w:r w:rsidRPr="00C53587">
        <w:rPr>
          <w:sz w:val="22"/>
          <w:lang w:val="bg-BG"/>
        </w:rPr>
        <w:t>въвеждане в експлоатация на 63 нови ракетни площадки и 2 командни пункта, с цел доизграждане и уплътняване на системата за ракетна защита;</w:t>
      </w:r>
    </w:p>
    <w:p w:rsidR="0031240B" w:rsidRPr="00C53587" w:rsidRDefault="0031240B" w:rsidP="00C53587">
      <w:pPr>
        <w:pStyle w:val="ListParagraph"/>
        <w:numPr>
          <w:ilvl w:val="0"/>
          <w:numId w:val="21"/>
        </w:numPr>
        <w:rPr>
          <w:sz w:val="22"/>
          <w:lang w:val="bg-BG"/>
        </w:rPr>
      </w:pPr>
      <w:r w:rsidRPr="00C53587">
        <w:rPr>
          <w:sz w:val="22"/>
          <w:lang w:val="bg-BG"/>
        </w:rPr>
        <w:t>осъвременяване на материално-техническата база на съществуващите 200 ракетни площадки;</w:t>
      </w:r>
    </w:p>
    <w:p w:rsidR="00B22247" w:rsidRPr="00C53587" w:rsidRDefault="0031240B" w:rsidP="00C53587">
      <w:pPr>
        <w:pStyle w:val="ListParagraph"/>
        <w:numPr>
          <w:ilvl w:val="0"/>
          <w:numId w:val="21"/>
        </w:numPr>
        <w:rPr>
          <w:sz w:val="22"/>
          <w:lang w:val="bg-BG"/>
        </w:rPr>
      </w:pPr>
      <w:r w:rsidRPr="00C53587">
        <w:rPr>
          <w:sz w:val="22"/>
          <w:lang w:val="bg-BG"/>
        </w:rPr>
        <w:t>въвеждане на самолетен способ за борба с градушките и преразпределение на валежите.</w:t>
      </w:r>
    </w:p>
    <w:p w:rsidR="00122B3C" w:rsidRPr="00EA7BE6" w:rsidRDefault="00B4798C" w:rsidP="00B4798C">
      <w:pPr>
        <w:tabs>
          <w:tab w:val="left" w:pos="567"/>
        </w:tabs>
        <w:rPr>
          <w:sz w:val="22"/>
          <w:lang w:val="bg-BG"/>
        </w:rPr>
      </w:pPr>
      <w:r w:rsidRPr="00EA7BE6">
        <w:rPr>
          <w:sz w:val="22"/>
          <w:lang w:val="bg-BG"/>
        </w:rPr>
        <w:t xml:space="preserve">С изпълнението на гореописаните специфични цели ще се постигне </w:t>
      </w:r>
      <w:r w:rsidR="00122B3C" w:rsidRPr="00EA7BE6">
        <w:rPr>
          <w:sz w:val="22"/>
          <w:lang w:val="bg-BG"/>
        </w:rPr>
        <w:t xml:space="preserve">защита върху </w:t>
      </w:r>
      <w:r w:rsidR="003E70C9" w:rsidRPr="00EA7BE6">
        <w:rPr>
          <w:sz w:val="22"/>
          <w:lang w:val="bg-BG"/>
        </w:rPr>
        <w:t>100</w:t>
      </w:r>
      <w:r w:rsidR="00122B3C" w:rsidRPr="00EA7BE6">
        <w:rPr>
          <w:sz w:val="22"/>
          <w:lang w:val="bg-BG"/>
        </w:rPr>
        <w:t xml:space="preserve"> % от обработваемите земеделски земи и трайни насаждения в страната (за които не са налице забрани и ограничения от различно естество)</w:t>
      </w:r>
      <w:r w:rsidRPr="00EA7BE6">
        <w:rPr>
          <w:sz w:val="22"/>
          <w:lang w:val="bg-BG"/>
        </w:rPr>
        <w:t xml:space="preserve">. Ще бъдат </w:t>
      </w:r>
      <w:r w:rsidR="00122B3C" w:rsidRPr="00EA7BE6">
        <w:rPr>
          <w:sz w:val="22"/>
          <w:lang w:val="bg-BG"/>
        </w:rPr>
        <w:t>защит</w:t>
      </w:r>
      <w:r w:rsidRPr="00EA7BE6">
        <w:rPr>
          <w:sz w:val="22"/>
          <w:lang w:val="bg-BG"/>
        </w:rPr>
        <w:t>ени</w:t>
      </w:r>
      <w:r w:rsidR="00122B3C" w:rsidRPr="00EA7BE6">
        <w:rPr>
          <w:sz w:val="22"/>
          <w:lang w:val="bg-BG"/>
        </w:rPr>
        <w:t xml:space="preserve"> </w:t>
      </w:r>
      <w:r w:rsidRPr="00EA7BE6">
        <w:rPr>
          <w:sz w:val="22"/>
          <w:lang w:val="bg-BG"/>
        </w:rPr>
        <w:t>и</w:t>
      </w:r>
      <w:r w:rsidR="00122B3C" w:rsidRPr="00EA7BE6">
        <w:rPr>
          <w:sz w:val="22"/>
          <w:lang w:val="bg-BG"/>
        </w:rPr>
        <w:t xml:space="preserve"> урбанизирани територии, за които съществува техническа възможност (Велико Търново, Ловеч, Габрово, Русе, Търговище, Шумен, Разград, Силистра, Добрич, Варна, Бургас, Ямбол, Кърджали, Смолян, Благоевград, Кюстендил, Перник, София)</w:t>
      </w:r>
      <w:r w:rsidRPr="00EA7BE6">
        <w:rPr>
          <w:sz w:val="22"/>
          <w:lang w:val="bg-BG"/>
        </w:rPr>
        <w:t>.</w:t>
      </w:r>
    </w:p>
    <w:p w:rsidR="00274D0C" w:rsidRPr="00EA7BE6" w:rsidRDefault="002856EE" w:rsidP="002856EE">
      <w:pPr>
        <w:rPr>
          <w:sz w:val="22"/>
          <w:lang w:val="bg-BG"/>
        </w:rPr>
      </w:pPr>
      <w:r w:rsidRPr="00EA7BE6">
        <w:rPr>
          <w:sz w:val="22"/>
          <w:lang w:val="bg-BG"/>
        </w:rPr>
        <w:t xml:space="preserve">На второ място, ще бъде </w:t>
      </w:r>
      <w:r w:rsidR="0031240B" w:rsidRPr="00EA7BE6">
        <w:rPr>
          <w:sz w:val="22"/>
          <w:lang w:val="bg-BG"/>
        </w:rPr>
        <w:t>въве</w:t>
      </w:r>
      <w:r w:rsidRPr="00EA7BE6">
        <w:rPr>
          <w:sz w:val="22"/>
          <w:lang w:val="bg-BG"/>
        </w:rPr>
        <w:t>дено</w:t>
      </w:r>
      <w:r w:rsidR="0031240B" w:rsidRPr="00EA7BE6">
        <w:rPr>
          <w:sz w:val="22"/>
          <w:lang w:val="bg-BG"/>
        </w:rPr>
        <w:t xml:space="preserve"> споделено финанси</w:t>
      </w:r>
      <w:r w:rsidRPr="00EA7BE6">
        <w:rPr>
          <w:sz w:val="22"/>
          <w:lang w:val="bg-BG"/>
        </w:rPr>
        <w:t xml:space="preserve">ране на системата за управление на риска от неблагоприятни климатични събития в земеделието. </w:t>
      </w:r>
    </w:p>
    <w:p w:rsidR="002856EE" w:rsidRPr="00EA7BE6" w:rsidRDefault="002856EE" w:rsidP="002856EE">
      <w:pPr>
        <w:pStyle w:val="ListParagraph"/>
        <w:ind w:left="0"/>
        <w:rPr>
          <w:sz w:val="22"/>
          <w:lang w:val="bg-BG"/>
        </w:rPr>
      </w:pPr>
      <w:r w:rsidRPr="00EA7BE6">
        <w:rPr>
          <w:sz w:val="22"/>
          <w:lang w:val="bg-BG"/>
        </w:rPr>
        <w:t xml:space="preserve">Разширяването на обхвата на градозащита и свързаното с това значително увеличение на средствата за осъществяване на дейността налага прилагане на подход за диверсификация на източниците на финансиране, включващ привличане на заинтересовани страни като земеделски </w:t>
      </w:r>
      <w:r w:rsidR="0039370D" w:rsidRPr="00EA7BE6">
        <w:rPr>
          <w:sz w:val="22"/>
          <w:lang w:val="bg-BG"/>
        </w:rPr>
        <w:t>стопани</w:t>
      </w:r>
      <w:r w:rsidRPr="00EA7BE6">
        <w:rPr>
          <w:sz w:val="22"/>
          <w:lang w:val="bg-BG"/>
        </w:rPr>
        <w:t xml:space="preserve"> и застрахователни компании, предлагащи определени класове застраховки. </w:t>
      </w:r>
    </w:p>
    <w:p w:rsidR="002856EE" w:rsidRPr="00EA7BE6" w:rsidRDefault="002856EE" w:rsidP="002856EE">
      <w:pPr>
        <w:pStyle w:val="ListParagraph"/>
        <w:ind w:left="0"/>
        <w:rPr>
          <w:sz w:val="22"/>
          <w:lang w:val="bg-BG"/>
        </w:rPr>
      </w:pPr>
    </w:p>
    <w:p w:rsidR="002856EE" w:rsidRPr="00EA7BE6" w:rsidRDefault="002856EE" w:rsidP="002856EE">
      <w:pPr>
        <w:pStyle w:val="ListParagraph"/>
        <w:ind w:left="0"/>
        <w:rPr>
          <w:sz w:val="22"/>
          <w:lang w:val="bg-BG"/>
        </w:rPr>
      </w:pPr>
      <w:r w:rsidRPr="00EA7BE6">
        <w:rPr>
          <w:sz w:val="22"/>
          <w:lang w:val="bg-BG"/>
        </w:rPr>
        <w:t xml:space="preserve">Следва да се отчете фактът, че прилаганите методи за борба с градушките не гарантират пълна ефективност на защитата. </w:t>
      </w:r>
    </w:p>
    <w:p w:rsidR="002856EE" w:rsidRPr="00EA7BE6" w:rsidRDefault="002856EE" w:rsidP="002856EE">
      <w:pPr>
        <w:pStyle w:val="ListParagraph"/>
        <w:ind w:left="0"/>
        <w:rPr>
          <w:sz w:val="22"/>
          <w:lang w:val="bg-BG"/>
        </w:rPr>
      </w:pPr>
    </w:p>
    <w:p w:rsidR="002856EE" w:rsidRPr="00EA7BE6" w:rsidRDefault="002856EE" w:rsidP="002856EE">
      <w:pPr>
        <w:pStyle w:val="ListParagraph"/>
        <w:ind w:left="0"/>
        <w:rPr>
          <w:sz w:val="22"/>
          <w:lang w:val="bg-BG"/>
        </w:rPr>
      </w:pPr>
      <w:r w:rsidRPr="00EA7BE6">
        <w:rPr>
          <w:sz w:val="22"/>
          <w:lang w:val="bg-BG"/>
        </w:rPr>
        <w:t xml:space="preserve">Общият размер на средствата за управление на рискове, свързани с градушки, при окончателното изграждане и реално въвеждане в действие на системата (пълно покритие на територията на страната с използване на ракетен и самолетен способ), ще бъде около </w:t>
      </w:r>
      <w:r w:rsidR="00D86BFF">
        <w:rPr>
          <w:sz w:val="22"/>
          <w:lang w:val="bg-BG"/>
        </w:rPr>
        <w:t>28</w:t>
      </w:r>
      <w:r w:rsidR="00D86BFF" w:rsidRPr="00EA7BE6">
        <w:rPr>
          <w:sz w:val="22"/>
          <w:lang w:val="bg-BG"/>
        </w:rPr>
        <w:t xml:space="preserve"> </w:t>
      </w:r>
      <w:r w:rsidRPr="00EA7BE6">
        <w:rPr>
          <w:sz w:val="22"/>
          <w:lang w:val="bg-BG"/>
        </w:rPr>
        <w:t>млн. лева годишно. Част от необходимия ресурс ще се предоставя от държавния бюджет, а останалите средства ще бъдат привлечени от:</w:t>
      </w:r>
    </w:p>
    <w:p w:rsidR="002856EE" w:rsidRPr="00EA7BE6" w:rsidRDefault="002856EE" w:rsidP="003B77D3">
      <w:pPr>
        <w:pStyle w:val="ListParagraph"/>
        <w:numPr>
          <w:ilvl w:val="0"/>
          <w:numId w:val="11"/>
        </w:numPr>
        <w:rPr>
          <w:sz w:val="22"/>
          <w:lang w:val="bg-BG"/>
        </w:rPr>
      </w:pPr>
      <w:r w:rsidRPr="00EA7BE6">
        <w:rPr>
          <w:sz w:val="22"/>
          <w:lang w:val="bg-BG"/>
        </w:rPr>
        <w:t xml:space="preserve">земеделските </w:t>
      </w:r>
      <w:r w:rsidR="00EE095C" w:rsidRPr="00EA7BE6">
        <w:rPr>
          <w:sz w:val="22"/>
          <w:lang w:val="bg-BG"/>
        </w:rPr>
        <w:t>стопани</w:t>
      </w:r>
      <w:r w:rsidRPr="00EA7BE6">
        <w:rPr>
          <w:sz w:val="22"/>
          <w:lang w:val="bg-BG"/>
        </w:rPr>
        <w:t>, чрез въвеждане на годишни задължителни вноски;</w:t>
      </w:r>
    </w:p>
    <w:p w:rsidR="002856EE" w:rsidRPr="00EA7BE6" w:rsidRDefault="002856EE" w:rsidP="003B77D3">
      <w:pPr>
        <w:pStyle w:val="ListParagraph"/>
        <w:numPr>
          <w:ilvl w:val="0"/>
          <w:numId w:val="11"/>
        </w:numPr>
        <w:ind w:left="0" w:firstLine="360"/>
        <w:rPr>
          <w:sz w:val="22"/>
          <w:lang w:val="bg-BG"/>
        </w:rPr>
      </w:pPr>
      <w:r w:rsidRPr="00EA7BE6">
        <w:rPr>
          <w:bCs/>
          <w:sz w:val="22"/>
          <w:lang w:val="bg-BG"/>
        </w:rPr>
        <w:t xml:space="preserve">отчисления от премийния приход на застрахователните компании по </w:t>
      </w:r>
      <w:r w:rsidR="00EE095C" w:rsidRPr="00EA7BE6">
        <w:rPr>
          <w:bCs/>
          <w:sz w:val="22"/>
          <w:lang w:val="bg-BG"/>
        </w:rPr>
        <w:t xml:space="preserve">определени класове </w:t>
      </w:r>
      <w:r w:rsidRPr="00EA7BE6">
        <w:rPr>
          <w:bCs/>
          <w:sz w:val="22"/>
          <w:lang w:val="bg-BG"/>
        </w:rPr>
        <w:t>застраховки</w:t>
      </w:r>
      <w:r w:rsidRPr="00EA7BE6">
        <w:rPr>
          <w:sz w:val="22"/>
          <w:lang w:val="bg-BG"/>
        </w:rPr>
        <w:t>.</w:t>
      </w:r>
    </w:p>
    <w:p w:rsidR="00C14C40" w:rsidRPr="00EA7BE6" w:rsidRDefault="009C25BF" w:rsidP="006B3BB7">
      <w:pPr>
        <w:pStyle w:val="Heading2"/>
        <w:spacing w:before="240" w:after="120"/>
        <w:rPr>
          <w:rFonts w:cs="Times New Roman"/>
          <w:sz w:val="22"/>
          <w:szCs w:val="22"/>
          <w:lang w:val="bg-BG"/>
        </w:rPr>
      </w:pPr>
      <w:bookmarkStart w:id="15" w:name="_Toc496709950"/>
      <w:r w:rsidRPr="00EA7BE6">
        <w:rPr>
          <w:rFonts w:cs="Times New Roman"/>
          <w:sz w:val="22"/>
          <w:szCs w:val="22"/>
          <w:lang w:val="bg-BG"/>
        </w:rPr>
        <w:t>IV.3.</w:t>
      </w:r>
      <w:r w:rsidR="00C14C40" w:rsidRPr="00EA7BE6">
        <w:rPr>
          <w:rFonts w:cs="Times New Roman"/>
          <w:sz w:val="22"/>
          <w:szCs w:val="22"/>
          <w:lang w:val="bg-BG"/>
        </w:rPr>
        <w:t>Времеви график за постигане на целите</w:t>
      </w:r>
      <w:bookmarkEnd w:id="15"/>
    </w:p>
    <w:p w:rsidR="001A6C18" w:rsidRPr="00EA7BE6" w:rsidRDefault="001A6C18" w:rsidP="001A6C18">
      <w:pPr>
        <w:rPr>
          <w:sz w:val="22"/>
          <w:lang w:val="bg-BG"/>
        </w:rPr>
      </w:pPr>
      <w:r w:rsidRPr="00EA7BE6">
        <w:rPr>
          <w:sz w:val="22"/>
          <w:lang w:val="bg-BG"/>
        </w:rPr>
        <w:t xml:space="preserve">Предвижда се проектът на закон да влезе в сила от 1 </w:t>
      </w:r>
      <w:r w:rsidR="003A77FE">
        <w:rPr>
          <w:sz w:val="22"/>
          <w:lang w:val="bg-BG"/>
        </w:rPr>
        <w:t>октомври</w:t>
      </w:r>
      <w:r w:rsidRPr="00EA7BE6">
        <w:rPr>
          <w:sz w:val="22"/>
          <w:lang w:val="bg-BG"/>
        </w:rPr>
        <w:t xml:space="preserve"> 2018 г., когато ще бъде създадено и държавното предприятие за управление на риска от неблагоприятни климатични събития в земеделието. До края на 2018 г. се предвижда да бъдат въведени в експлоатация новите 63 ракетни площадки, с които да </w:t>
      </w:r>
      <w:r w:rsidR="00415424" w:rsidRPr="00EA7BE6">
        <w:rPr>
          <w:sz w:val="22"/>
          <w:lang w:val="bg-BG"/>
        </w:rPr>
        <w:t xml:space="preserve">бъде разширена и уплътнена сега съществуващата мрежа за градозащита. </w:t>
      </w:r>
      <w:proofErr w:type="spellStart"/>
      <w:r w:rsidR="00415424" w:rsidRPr="00EA7BE6">
        <w:rPr>
          <w:sz w:val="22"/>
          <w:lang w:val="bg-BG"/>
        </w:rPr>
        <w:t>Нововъвежданият</w:t>
      </w:r>
      <w:proofErr w:type="spellEnd"/>
      <w:r w:rsidR="00415424" w:rsidRPr="00EA7BE6">
        <w:rPr>
          <w:sz w:val="22"/>
          <w:lang w:val="bg-BG"/>
        </w:rPr>
        <w:t xml:space="preserve"> с проекта на закон самолетен способ ще започне да се прилага през 2019 г. – това ще позволи покритие на 100 % от територията на страната. </w:t>
      </w:r>
      <w:r w:rsidRPr="00EA7BE6">
        <w:rPr>
          <w:sz w:val="22"/>
          <w:lang w:val="bg-BG"/>
        </w:rPr>
        <w:t xml:space="preserve"> </w:t>
      </w:r>
    </w:p>
    <w:p w:rsidR="0072714B" w:rsidRPr="00EA7BE6" w:rsidRDefault="00FC1BC7" w:rsidP="006B3BB7">
      <w:pPr>
        <w:spacing w:after="120"/>
        <w:rPr>
          <w:lang w:val="bg-BG"/>
        </w:rPr>
      </w:pPr>
      <w:r w:rsidRPr="00EA7BE6">
        <w:rPr>
          <w:sz w:val="22"/>
          <w:lang w:val="bg-BG"/>
        </w:rPr>
        <w:t>Очаква се</w:t>
      </w:r>
      <w:r w:rsidR="00AB6594" w:rsidRPr="00EA7BE6">
        <w:rPr>
          <w:sz w:val="22"/>
          <w:lang w:val="bg-BG"/>
        </w:rPr>
        <w:t xml:space="preserve"> пълно </w:t>
      </w:r>
      <w:r w:rsidRPr="00EA7BE6">
        <w:rPr>
          <w:sz w:val="22"/>
          <w:lang w:val="bg-BG"/>
        </w:rPr>
        <w:t>осъществяване</w:t>
      </w:r>
      <w:r w:rsidR="00AB6594" w:rsidRPr="00EA7BE6">
        <w:rPr>
          <w:sz w:val="22"/>
          <w:lang w:val="bg-BG"/>
        </w:rPr>
        <w:t xml:space="preserve"> на </w:t>
      </w:r>
      <w:r w:rsidR="002E6FFB" w:rsidRPr="00EA7BE6">
        <w:rPr>
          <w:sz w:val="22"/>
          <w:lang w:val="bg-BG"/>
        </w:rPr>
        <w:t>специфичните цели</w:t>
      </w:r>
      <w:r w:rsidR="00AB6594" w:rsidRPr="00EA7BE6">
        <w:rPr>
          <w:sz w:val="22"/>
          <w:lang w:val="bg-BG"/>
        </w:rPr>
        <w:t xml:space="preserve"> на закона да бъде </w:t>
      </w:r>
      <w:r w:rsidRPr="00EA7BE6">
        <w:rPr>
          <w:sz w:val="22"/>
          <w:lang w:val="bg-BG"/>
        </w:rPr>
        <w:t xml:space="preserve">постигнато </w:t>
      </w:r>
      <w:r w:rsidR="00AB6594" w:rsidRPr="00EA7BE6">
        <w:rPr>
          <w:sz w:val="22"/>
          <w:lang w:val="bg-BG"/>
        </w:rPr>
        <w:t xml:space="preserve">в </w:t>
      </w:r>
      <w:r w:rsidR="00415424" w:rsidRPr="00EA7BE6">
        <w:rPr>
          <w:sz w:val="22"/>
          <w:lang w:val="bg-BG"/>
        </w:rPr>
        <w:t>тригодишен</w:t>
      </w:r>
      <w:r w:rsidR="00AB6594" w:rsidRPr="00EA7BE6">
        <w:rPr>
          <w:sz w:val="22"/>
          <w:lang w:val="bg-BG"/>
        </w:rPr>
        <w:t xml:space="preserve"> срок от неговото приемане.</w:t>
      </w:r>
    </w:p>
    <w:p w:rsidR="00B96F8E" w:rsidRPr="00EA7BE6" w:rsidRDefault="00061BD0" w:rsidP="006B3BB7">
      <w:pPr>
        <w:pStyle w:val="Heading1"/>
        <w:spacing w:after="120"/>
        <w:rPr>
          <w:rFonts w:cs="Times New Roman"/>
          <w:sz w:val="22"/>
          <w:szCs w:val="22"/>
          <w:lang w:val="bg-BG"/>
        </w:rPr>
      </w:pPr>
      <w:bookmarkStart w:id="16" w:name="_Toc496709951"/>
      <w:r w:rsidRPr="00EA7BE6">
        <w:rPr>
          <w:rFonts w:cs="Times New Roman"/>
          <w:sz w:val="22"/>
          <w:szCs w:val="22"/>
          <w:lang w:val="bg-BG"/>
        </w:rPr>
        <w:t xml:space="preserve">V. </w:t>
      </w:r>
      <w:r w:rsidR="00C14C40" w:rsidRPr="00EA7BE6">
        <w:rPr>
          <w:rFonts w:cs="Times New Roman"/>
          <w:sz w:val="22"/>
          <w:szCs w:val="22"/>
          <w:lang w:val="bg-BG"/>
        </w:rPr>
        <w:t>Определяне на възможните варианти за действие за постигане на целите</w:t>
      </w:r>
      <w:bookmarkEnd w:id="16"/>
    </w:p>
    <w:p w:rsidR="00B96F8E" w:rsidRPr="00EA7BE6" w:rsidRDefault="00B96F8E" w:rsidP="006B3BB7">
      <w:pPr>
        <w:spacing w:after="120"/>
        <w:rPr>
          <w:sz w:val="22"/>
          <w:lang w:val="bg-BG"/>
        </w:rPr>
      </w:pPr>
      <w:r w:rsidRPr="00EA7BE6">
        <w:rPr>
          <w:sz w:val="22"/>
          <w:lang w:val="bg-BG"/>
        </w:rPr>
        <w:t xml:space="preserve">При извършване на </w:t>
      </w:r>
      <w:r w:rsidR="0058434F" w:rsidRPr="00EA7BE6">
        <w:rPr>
          <w:sz w:val="22"/>
          <w:lang w:val="bg-BG"/>
        </w:rPr>
        <w:t xml:space="preserve">настоящата </w:t>
      </w:r>
      <w:r w:rsidRPr="00EA7BE6">
        <w:rPr>
          <w:sz w:val="22"/>
          <w:lang w:val="bg-BG"/>
        </w:rPr>
        <w:t xml:space="preserve">оценка на въздействието бяха идентифицирани </w:t>
      </w:r>
      <w:r w:rsidR="00004B4F" w:rsidRPr="00EA7BE6">
        <w:rPr>
          <w:sz w:val="22"/>
          <w:lang w:val="bg-BG"/>
        </w:rPr>
        <w:t xml:space="preserve">три основни </w:t>
      </w:r>
      <w:r w:rsidRPr="00EA7BE6">
        <w:rPr>
          <w:sz w:val="22"/>
          <w:lang w:val="bg-BG"/>
        </w:rPr>
        <w:t>възможни вариант</w:t>
      </w:r>
      <w:r w:rsidR="00004B4F" w:rsidRPr="00EA7BE6">
        <w:rPr>
          <w:sz w:val="22"/>
          <w:lang w:val="bg-BG"/>
        </w:rPr>
        <w:t>а</w:t>
      </w:r>
      <w:r w:rsidRPr="00EA7BE6">
        <w:rPr>
          <w:sz w:val="22"/>
          <w:lang w:val="bg-BG"/>
        </w:rPr>
        <w:t xml:space="preserve"> на действие по отношение на заложените цели</w:t>
      </w:r>
      <w:r w:rsidR="00004B4F" w:rsidRPr="00EA7BE6">
        <w:rPr>
          <w:sz w:val="22"/>
          <w:lang w:val="bg-BG"/>
        </w:rPr>
        <w:t xml:space="preserve"> – (1) без</w:t>
      </w:r>
      <w:r w:rsidR="003E4D49">
        <w:rPr>
          <w:sz w:val="22"/>
          <w:lang w:val="bg-BG"/>
        </w:rPr>
        <w:t xml:space="preserve"> </w:t>
      </w:r>
      <w:r w:rsidR="00004B4F" w:rsidRPr="00EA7BE6">
        <w:rPr>
          <w:sz w:val="22"/>
          <w:lang w:val="bg-BG"/>
        </w:rPr>
        <w:t xml:space="preserve">действие и поддържане на текущото положение, (2) </w:t>
      </w:r>
      <w:r w:rsidR="0058434F" w:rsidRPr="00EA7BE6">
        <w:rPr>
          <w:sz w:val="22"/>
          <w:lang w:val="bg-BG"/>
        </w:rPr>
        <w:t xml:space="preserve">приемане на проект на </w:t>
      </w:r>
      <w:r w:rsidR="0058434F" w:rsidRPr="00EA7BE6">
        <w:rPr>
          <w:bCs/>
          <w:sz w:val="22"/>
          <w:lang w:val="bg-BG"/>
        </w:rPr>
        <w:t>Закон за превенция от неблагоприятни климатични събития в земеделието</w:t>
      </w:r>
      <w:r w:rsidR="00004B4F" w:rsidRPr="00EA7BE6">
        <w:rPr>
          <w:sz w:val="22"/>
          <w:lang w:val="bg-BG"/>
        </w:rPr>
        <w:t xml:space="preserve"> и (3) </w:t>
      </w:r>
      <w:r w:rsidR="0058434F" w:rsidRPr="00EA7BE6">
        <w:rPr>
          <w:bCs/>
          <w:sz w:val="22"/>
          <w:lang w:val="bg-BG"/>
        </w:rPr>
        <w:t xml:space="preserve">промяна на съществуващата </w:t>
      </w:r>
      <w:r w:rsidR="003B457A" w:rsidRPr="00EA7BE6">
        <w:rPr>
          <w:bCs/>
          <w:sz w:val="22"/>
          <w:lang w:val="bg-BG"/>
        </w:rPr>
        <w:t xml:space="preserve">подзаконова </w:t>
      </w:r>
      <w:r w:rsidR="0058434F" w:rsidRPr="00EA7BE6">
        <w:rPr>
          <w:bCs/>
          <w:sz w:val="22"/>
          <w:lang w:val="bg-BG"/>
        </w:rPr>
        <w:t>нормативна уредба при запазване на сегашния статут</w:t>
      </w:r>
      <w:r w:rsidR="00004B4F" w:rsidRPr="00EA7BE6">
        <w:rPr>
          <w:sz w:val="22"/>
          <w:lang w:val="bg-BG"/>
        </w:rPr>
        <w:t>.</w:t>
      </w:r>
    </w:p>
    <w:p w:rsidR="0058434F" w:rsidRPr="00EA7BE6" w:rsidRDefault="0058434F" w:rsidP="006B3BB7">
      <w:pPr>
        <w:spacing w:after="120"/>
        <w:rPr>
          <w:sz w:val="22"/>
          <w:lang w:val="bg-BG"/>
        </w:rPr>
      </w:pPr>
    </w:p>
    <w:p w:rsidR="00C14C40" w:rsidRPr="00EA7BE6" w:rsidRDefault="00061BD0" w:rsidP="006B3BB7">
      <w:pPr>
        <w:pStyle w:val="Heading2"/>
        <w:spacing w:before="240" w:after="120"/>
        <w:rPr>
          <w:rFonts w:cs="Times New Roman"/>
          <w:sz w:val="22"/>
          <w:szCs w:val="22"/>
          <w:lang w:val="bg-BG"/>
        </w:rPr>
      </w:pPr>
      <w:bookmarkStart w:id="17" w:name="_Toc496709952"/>
      <w:r w:rsidRPr="00EA7BE6">
        <w:rPr>
          <w:rFonts w:cs="Times New Roman"/>
          <w:sz w:val="22"/>
          <w:szCs w:val="22"/>
          <w:lang w:val="bg-BG"/>
        </w:rPr>
        <w:t xml:space="preserve">V.1. </w:t>
      </w:r>
      <w:r w:rsidR="00C14C40" w:rsidRPr="00EA7BE6">
        <w:rPr>
          <w:rFonts w:cs="Times New Roman"/>
          <w:sz w:val="22"/>
          <w:szCs w:val="22"/>
          <w:lang w:val="bg-BG"/>
        </w:rPr>
        <w:t xml:space="preserve">Вариант </w:t>
      </w:r>
      <w:r w:rsidR="00E95FCD" w:rsidRPr="00EA7BE6">
        <w:rPr>
          <w:rFonts w:cs="Times New Roman"/>
          <w:sz w:val="22"/>
          <w:szCs w:val="22"/>
          <w:lang w:val="bg-BG"/>
        </w:rPr>
        <w:t xml:space="preserve">1: </w:t>
      </w:r>
      <w:r w:rsidR="00C14C40" w:rsidRPr="00EA7BE6">
        <w:rPr>
          <w:rFonts w:cs="Times New Roman"/>
          <w:sz w:val="22"/>
          <w:szCs w:val="22"/>
          <w:lang w:val="bg-BG"/>
        </w:rPr>
        <w:t>Без действие</w:t>
      </w:r>
      <w:bookmarkEnd w:id="17"/>
    </w:p>
    <w:p w:rsidR="00EB19F8" w:rsidRPr="00EA7BE6" w:rsidRDefault="00F40574" w:rsidP="006B3BB7">
      <w:pPr>
        <w:spacing w:after="120"/>
        <w:rPr>
          <w:sz w:val="22"/>
          <w:lang w:val="bg-BG"/>
        </w:rPr>
      </w:pPr>
      <w:r w:rsidRPr="00EA7BE6">
        <w:rPr>
          <w:sz w:val="22"/>
          <w:lang w:val="bg-BG"/>
        </w:rPr>
        <w:t>При реализиране на вариант „Без действие“ няма да бъдат предприети действия по изменение в нормативната уредба на обществените отношения</w:t>
      </w:r>
      <w:r w:rsidR="001B05AA" w:rsidRPr="00EA7BE6">
        <w:rPr>
          <w:sz w:val="22"/>
          <w:lang w:val="bg-BG"/>
        </w:rPr>
        <w:t xml:space="preserve">, свързани с </w:t>
      </w:r>
      <w:r w:rsidR="001B05AA" w:rsidRPr="00EA7BE6">
        <w:rPr>
          <w:bCs/>
          <w:sz w:val="22"/>
          <w:lang w:val="bg-BG"/>
        </w:rPr>
        <w:t>превенцията от неблагоприятни климатични събития в земеделието.</w:t>
      </w:r>
      <w:r w:rsidRPr="00EA7BE6">
        <w:rPr>
          <w:sz w:val="22"/>
          <w:lang w:val="bg-BG"/>
        </w:rPr>
        <w:t xml:space="preserve"> </w:t>
      </w:r>
    </w:p>
    <w:p w:rsidR="001E2A3D" w:rsidRPr="00EA7BE6" w:rsidRDefault="001E2A3D" w:rsidP="001E2A3D">
      <w:pPr>
        <w:spacing w:after="120"/>
        <w:rPr>
          <w:sz w:val="22"/>
          <w:lang w:val="bg-BG"/>
        </w:rPr>
      </w:pPr>
      <w:r w:rsidRPr="00EA7BE6">
        <w:rPr>
          <w:sz w:val="22"/>
          <w:lang w:val="bg-BG"/>
        </w:rPr>
        <w:t>В страната от десетилетия функционира добре изградена национална система за противоградова защита, обхващаща районите с най-голяма интензивност на градобитните процеси</w:t>
      </w:r>
      <w:r w:rsidRPr="00C53587">
        <w:rPr>
          <w:sz w:val="22"/>
          <w:lang w:val="ru-RU"/>
        </w:rPr>
        <w:t xml:space="preserve">. </w:t>
      </w:r>
      <w:r w:rsidRPr="00EA7BE6">
        <w:rPr>
          <w:sz w:val="22"/>
          <w:lang w:val="bg-BG"/>
        </w:rPr>
        <w:t xml:space="preserve">Системата покрива само около 1/3 от обработваемата земя в страната и се финансира единствено със средства от държавния бюджет. </w:t>
      </w:r>
    </w:p>
    <w:p w:rsidR="003959EB" w:rsidRPr="00EA7BE6" w:rsidRDefault="003959EB" w:rsidP="003959EB">
      <w:pPr>
        <w:spacing w:after="120"/>
        <w:rPr>
          <w:sz w:val="22"/>
          <w:lang w:val="bg-BG"/>
        </w:rPr>
      </w:pPr>
      <w:r w:rsidRPr="00EA7BE6">
        <w:rPr>
          <w:sz w:val="22"/>
          <w:lang w:val="bg-BG"/>
        </w:rPr>
        <w:t xml:space="preserve">За нуждите на противоградовата защита към осемте регионални дирекции на Изпълнителната агенция „Борба с градушките“ са изградени девет командни пункта с 200 ракетни площадки. Защитата се осъществява с ракети, доставящи реагент сребърен </w:t>
      </w:r>
      <w:proofErr w:type="spellStart"/>
      <w:r w:rsidRPr="00EA7BE6">
        <w:rPr>
          <w:sz w:val="22"/>
          <w:lang w:val="bg-BG"/>
        </w:rPr>
        <w:t>йодит</w:t>
      </w:r>
      <w:proofErr w:type="spellEnd"/>
      <w:r w:rsidRPr="00EA7BE6">
        <w:rPr>
          <w:sz w:val="22"/>
          <w:lang w:val="bg-BG"/>
        </w:rPr>
        <w:t xml:space="preserve"> в облаците.</w:t>
      </w:r>
    </w:p>
    <w:p w:rsidR="003959EB" w:rsidRPr="00EA7BE6" w:rsidRDefault="003959EB" w:rsidP="003959EB">
      <w:pPr>
        <w:spacing w:after="120"/>
        <w:rPr>
          <w:sz w:val="22"/>
          <w:lang w:val="bg-BG"/>
        </w:rPr>
      </w:pPr>
      <w:r w:rsidRPr="00EA7BE6">
        <w:rPr>
          <w:sz w:val="22"/>
          <w:lang w:val="bg-BG"/>
        </w:rPr>
        <w:t xml:space="preserve">Съществуващата система защитава 17,3 млн. дка от територията на страната, в това число 10,6 млн. дка обработваеми земи, трайни насаждения и площи със смесено земеползване. </w:t>
      </w:r>
    </w:p>
    <w:p w:rsidR="00BD02BD" w:rsidRPr="00EA7BE6" w:rsidRDefault="00BD02BD" w:rsidP="003959EB">
      <w:pPr>
        <w:spacing w:after="120"/>
        <w:rPr>
          <w:sz w:val="22"/>
          <w:lang w:val="bg-BG"/>
        </w:rPr>
      </w:pPr>
    </w:p>
    <w:p w:rsidR="003959EB" w:rsidRPr="00EA7BE6" w:rsidRDefault="003959EB" w:rsidP="003959EB">
      <w:pPr>
        <w:spacing w:after="120"/>
        <w:rPr>
          <w:sz w:val="22"/>
          <w:lang w:val="bg-BG"/>
        </w:rPr>
      </w:pPr>
      <w:r w:rsidRPr="00EA7BE6">
        <w:rPr>
          <w:sz w:val="22"/>
          <w:lang w:val="bg-BG"/>
        </w:rPr>
        <w:t>В Северна България защитаваната територия обхваща равнинната част на областите Видин, Монтана, Враца, част от област Плевен и част от община Луковит. В Южна България е обхваната територия в Горнотракийската низина в областите Пазарджик, Пловдив, Стара Загора, Сливен, част от община Димитровград в област Хасково и част от община Ямбол</w:t>
      </w:r>
      <w:r w:rsidR="00521DA7">
        <w:rPr>
          <w:sz w:val="22"/>
          <w:lang w:val="bg-BG"/>
        </w:rPr>
        <w:t xml:space="preserve"> (Фигура 1)</w:t>
      </w:r>
      <w:r w:rsidRPr="00EA7BE6">
        <w:rPr>
          <w:sz w:val="22"/>
          <w:lang w:val="bg-BG"/>
        </w:rPr>
        <w:t>.</w:t>
      </w:r>
    </w:p>
    <w:p w:rsidR="001E2A3D" w:rsidRPr="00EA7BE6" w:rsidRDefault="003959EB" w:rsidP="001E2A3D">
      <w:pPr>
        <w:spacing w:after="120"/>
        <w:rPr>
          <w:sz w:val="22"/>
          <w:lang w:val="bg-BG"/>
        </w:rPr>
      </w:pPr>
      <w:r w:rsidRPr="00EA7BE6">
        <w:rPr>
          <w:sz w:val="22"/>
          <w:lang w:val="bg-BG"/>
        </w:rPr>
        <w:t>В същото време се наблюдава з</w:t>
      </w:r>
      <w:r w:rsidR="001E2A3D" w:rsidRPr="00EA7BE6">
        <w:rPr>
          <w:sz w:val="22"/>
          <w:lang w:val="bg-BG"/>
        </w:rPr>
        <w:t>ачестяване на неблагоприятните климатични явления и появата на градушки в региони, които</w:t>
      </w:r>
      <w:r w:rsidRPr="00EA7BE6">
        <w:rPr>
          <w:sz w:val="22"/>
          <w:lang w:val="bg-BG"/>
        </w:rPr>
        <w:t xml:space="preserve"> до момента не са били засягани.</w:t>
      </w:r>
      <w:r w:rsidR="001E2A3D" w:rsidRPr="00EA7BE6">
        <w:rPr>
          <w:sz w:val="22"/>
          <w:lang w:val="bg-BG"/>
        </w:rPr>
        <w:t xml:space="preserve"> </w:t>
      </w:r>
    </w:p>
    <w:p w:rsidR="002D2118" w:rsidRPr="00EA7BE6" w:rsidRDefault="002D2118" w:rsidP="002D2118">
      <w:pPr>
        <w:spacing w:after="120"/>
        <w:rPr>
          <w:sz w:val="22"/>
          <w:lang w:val="bg-BG"/>
        </w:rPr>
      </w:pPr>
      <w:r w:rsidRPr="00EA7BE6">
        <w:rPr>
          <w:sz w:val="22"/>
          <w:lang w:val="bg-BG"/>
        </w:rPr>
        <w:t xml:space="preserve">Реалната численост на Изпълнителна агенция „Борба с градушките“ ще се запази в сегашното състояние. Същата възлиза на </w:t>
      </w:r>
      <w:r w:rsidR="00CE64A6" w:rsidRPr="00EA7BE6">
        <w:rPr>
          <w:sz w:val="22"/>
          <w:lang w:val="bg-BG"/>
        </w:rPr>
        <w:t>593</w:t>
      </w:r>
      <w:r w:rsidRPr="00EA7BE6">
        <w:rPr>
          <w:sz w:val="22"/>
          <w:lang w:val="bg-BG"/>
        </w:rPr>
        <w:t xml:space="preserve"> </w:t>
      </w:r>
      <w:r w:rsidR="00CE64A6" w:rsidRPr="00EA7BE6">
        <w:rPr>
          <w:sz w:val="22"/>
          <w:lang w:val="bg-BG"/>
        </w:rPr>
        <w:t xml:space="preserve">щатни </w:t>
      </w:r>
      <w:r w:rsidRPr="00EA7BE6">
        <w:rPr>
          <w:sz w:val="22"/>
          <w:lang w:val="bg-BG"/>
        </w:rPr>
        <w:t xml:space="preserve">бройки </w:t>
      </w:r>
      <w:r w:rsidR="00CE64A6" w:rsidRPr="00EA7BE6">
        <w:rPr>
          <w:sz w:val="22"/>
          <w:lang w:val="bg-BG"/>
        </w:rPr>
        <w:t>съгласно Устройствения правилник на агенцията и 181 броя служители на агенцията извън утвърдената численост.</w:t>
      </w:r>
      <w:r w:rsidRPr="00EA7BE6">
        <w:rPr>
          <w:sz w:val="22"/>
          <w:lang w:val="bg-BG"/>
        </w:rPr>
        <w:t xml:space="preserve"> </w:t>
      </w:r>
      <w:r w:rsidR="00CE64A6" w:rsidRPr="00EA7BE6">
        <w:rPr>
          <w:sz w:val="22"/>
          <w:lang w:val="bg-BG"/>
        </w:rPr>
        <w:t>П</w:t>
      </w:r>
      <w:r w:rsidRPr="00EA7BE6">
        <w:rPr>
          <w:sz w:val="22"/>
          <w:lang w:val="bg-BG"/>
        </w:rPr>
        <w:t xml:space="preserve">о преценка на </w:t>
      </w:r>
      <w:r w:rsidR="00CE64A6" w:rsidRPr="00EA7BE6">
        <w:rPr>
          <w:sz w:val="22"/>
          <w:lang w:val="bg-BG"/>
        </w:rPr>
        <w:t xml:space="preserve">Изпълнителна </w:t>
      </w:r>
      <w:r w:rsidRPr="00EA7BE6">
        <w:rPr>
          <w:sz w:val="22"/>
          <w:lang w:val="bg-BG"/>
        </w:rPr>
        <w:t>агенция</w:t>
      </w:r>
      <w:r w:rsidR="00CE64A6" w:rsidRPr="00EA7BE6">
        <w:rPr>
          <w:sz w:val="22"/>
          <w:lang w:val="bg-BG"/>
        </w:rPr>
        <w:t xml:space="preserve"> „Борба с градушките“ това </w:t>
      </w:r>
      <w:r w:rsidRPr="00EA7BE6">
        <w:rPr>
          <w:sz w:val="22"/>
          <w:lang w:val="bg-BG"/>
        </w:rPr>
        <w:t xml:space="preserve">е абсолютният минимум, под който тя не би могла да функционира при сегашния размер на защитаваната територия и обслужваните техническите средства. Около 70% от персонала са </w:t>
      </w:r>
      <w:proofErr w:type="spellStart"/>
      <w:r w:rsidRPr="00EA7BE6">
        <w:rPr>
          <w:sz w:val="22"/>
          <w:lang w:val="bg-BG"/>
        </w:rPr>
        <w:t>ракетострелци</w:t>
      </w:r>
      <w:proofErr w:type="spellEnd"/>
      <w:r w:rsidRPr="00EA7BE6">
        <w:rPr>
          <w:sz w:val="22"/>
          <w:lang w:val="bg-BG"/>
        </w:rPr>
        <w:t>, като за обслужването на една ракетна площадка са необходими трима души.</w:t>
      </w:r>
    </w:p>
    <w:p w:rsidR="00BD02BD" w:rsidRPr="00EA7BE6" w:rsidRDefault="002E4E52" w:rsidP="001E2A3D">
      <w:pPr>
        <w:spacing w:after="120"/>
        <w:rPr>
          <w:sz w:val="22"/>
          <w:lang w:val="bg-BG"/>
        </w:rPr>
      </w:pPr>
      <w:r w:rsidRPr="00EA7BE6">
        <w:rPr>
          <w:sz w:val="22"/>
          <w:lang w:val="bg-BG"/>
        </w:rPr>
        <w:t>С оглед гореизложеното, при този вариант на действие 2/3 от територията на страната ще останат незащитени от градушки и други неблагоприятни климатични събития в земеделието</w:t>
      </w:r>
      <w:r w:rsidR="006C76BB" w:rsidRPr="00EA7BE6">
        <w:rPr>
          <w:sz w:val="22"/>
          <w:lang w:val="bg-BG"/>
        </w:rPr>
        <w:t>.</w:t>
      </w:r>
      <w:r w:rsidRPr="00EA7BE6">
        <w:rPr>
          <w:sz w:val="22"/>
          <w:lang w:val="bg-BG"/>
        </w:rPr>
        <w:t xml:space="preserve"> </w:t>
      </w:r>
    </w:p>
    <w:p w:rsidR="00A35924" w:rsidRPr="00EA7BE6" w:rsidRDefault="00061BD0" w:rsidP="006B3BB7">
      <w:pPr>
        <w:pStyle w:val="Heading2"/>
        <w:spacing w:before="240" w:after="120"/>
        <w:rPr>
          <w:rFonts w:eastAsiaTheme="minorEastAsia" w:cs="Times New Roman"/>
          <w:sz w:val="22"/>
          <w:szCs w:val="22"/>
          <w:lang w:val="bg-BG"/>
        </w:rPr>
      </w:pPr>
      <w:bookmarkStart w:id="18" w:name="_Toc496709953"/>
      <w:r w:rsidRPr="00EA7BE6">
        <w:rPr>
          <w:rFonts w:eastAsiaTheme="minorEastAsia" w:cs="Times New Roman"/>
          <w:sz w:val="22"/>
          <w:szCs w:val="22"/>
          <w:lang w:val="bg-BG"/>
        </w:rPr>
        <w:t xml:space="preserve">V.2. </w:t>
      </w:r>
      <w:r w:rsidR="00C14C40" w:rsidRPr="00EA7BE6">
        <w:rPr>
          <w:rFonts w:eastAsiaTheme="minorEastAsia" w:cs="Times New Roman"/>
          <w:sz w:val="22"/>
          <w:szCs w:val="22"/>
          <w:lang w:val="bg-BG"/>
        </w:rPr>
        <w:t xml:space="preserve">Вариант </w:t>
      </w:r>
      <w:r w:rsidR="00E95FCD" w:rsidRPr="00EA7BE6">
        <w:rPr>
          <w:rFonts w:eastAsiaTheme="minorEastAsia" w:cs="Times New Roman"/>
          <w:sz w:val="22"/>
          <w:szCs w:val="22"/>
          <w:lang w:val="bg-BG"/>
        </w:rPr>
        <w:t xml:space="preserve">2: </w:t>
      </w:r>
      <w:bookmarkEnd w:id="18"/>
      <w:r w:rsidR="00100C09" w:rsidRPr="00EA7BE6">
        <w:rPr>
          <w:rFonts w:eastAsiaTheme="minorEastAsia" w:cs="Times New Roman"/>
          <w:sz w:val="22"/>
          <w:szCs w:val="22"/>
          <w:lang w:val="bg-BG"/>
        </w:rPr>
        <w:t>Приемане на проект на Закон за превенция от неблагоприятни климатични събития в земеделието</w:t>
      </w:r>
    </w:p>
    <w:p w:rsidR="00F13DF3" w:rsidRPr="00C53587" w:rsidRDefault="00D30E8A" w:rsidP="00F13DF3">
      <w:pPr>
        <w:rPr>
          <w:sz w:val="22"/>
          <w:lang w:val="ru-RU"/>
        </w:rPr>
      </w:pPr>
      <w:r w:rsidRPr="00EA7BE6">
        <w:rPr>
          <w:sz w:val="22"/>
          <w:lang w:val="bg-BG"/>
        </w:rPr>
        <w:t>При реализирането на този вариант на действие ще бъде приет Закон за превенция от неблагоприятни климатични събития в земеделие</w:t>
      </w:r>
      <w:r w:rsidR="009A07E6" w:rsidRPr="00EA7BE6">
        <w:rPr>
          <w:sz w:val="22"/>
          <w:lang w:val="bg-BG"/>
        </w:rPr>
        <w:t>то, с който ще бъде създадена ефективна система за управление на риска от неблагоприятни климатични събития в земеделието, която да покрива територията на цялата страна.</w:t>
      </w:r>
    </w:p>
    <w:p w:rsidR="00A517A5" w:rsidRPr="00EA7BE6" w:rsidRDefault="00A517A5" w:rsidP="00A517A5">
      <w:pPr>
        <w:rPr>
          <w:sz w:val="22"/>
          <w:lang w:val="bg-BG"/>
        </w:rPr>
      </w:pPr>
      <w:r w:rsidRPr="00EA7BE6">
        <w:rPr>
          <w:sz w:val="22"/>
          <w:lang w:val="bg-BG"/>
        </w:rPr>
        <w:t>С предлаганата реформа ще се разшири обхвата на системата за борба с градушките, като се постигне защита върху 100 % от обработваемите земеделски земи в страната (за които не са налице забрани и ограничения от различно естество), както и урбанизирани територии, за които съществува техническа възможност – Велико Търново, Ловеч, Габрово, Русе, Търговище, Шумен, Разград, Силистра, Добрич, Варна, Бургас, Ямбол, Кърджали, Смолян, Благоевград, Кюстендил, Перник, София.</w:t>
      </w:r>
    </w:p>
    <w:p w:rsidR="00A84026" w:rsidRPr="00EA7BE6" w:rsidRDefault="00A84026" w:rsidP="00A517A5">
      <w:pPr>
        <w:rPr>
          <w:sz w:val="22"/>
          <w:lang w:val="bg-BG"/>
        </w:rPr>
      </w:pPr>
      <w:r w:rsidRPr="00EA7BE6">
        <w:rPr>
          <w:sz w:val="22"/>
          <w:lang w:val="bg-BG"/>
        </w:rPr>
        <w:t>Разширяването на обхвата ще се постигне чрез следните способи:</w:t>
      </w:r>
    </w:p>
    <w:p w:rsidR="00A84026" w:rsidRPr="00EA7BE6" w:rsidRDefault="00A84026" w:rsidP="003B77D3">
      <w:pPr>
        <w:pStyle w:val="ListParagraph"/>
        <w:numPr>
          <w:ilvl w:val="0"/>
          <w:numId w:val="12"/>
        </w:numPr>
        <w:rPr>
          <w:sz w:val="22"/>
          <w:lang w:val="bg-BG"/>
        </w:rPr>
      </w:pPr>
      <w:r w:rsidRPr="00EA7BE6">
        <w:rPr>
          <w:sz w:val="22"/>
          <w:lang w:val="bg-BG"/>
        </w:rPr>
        <w:t>доизграждане на системата за наблюдение за опасни явления, с разполагане на 4 допълнителни радарни станции, което ще позволи получаване на радарна информация за територията на цялата страна;</w:t>
      </w:r>
    </w:p>
    <w:p w:rsidR="00A84026" w:rsidRPr="00EA7BE6" w:rsidRDefault="00A84026" w:rsidP="003B77D3">
      <w:pPr>
        <w:pStyle w:val="ListParagraph"/>
        <w:numPr>
          <w:ilvl w:val="0"/>
          <w:numId w:val="12"/>
        </w:numPr>
        <w:rPr>
          <w:sz w:val="22"/>
          <w:lang w:val="bg-BG"/>
        </w:rPr>
      </w:pPr>
      <w:r w:rsidRPr="00EA7BE6">
        <w:rPr>
          <w:sz w:val="22"/>
          <w:lang w:val="bg-BG"/>
        </w:rPr>
        <w:t>въвеждане в експлоатация на 63 нови ракетни площадки и 2 командни пункта, с цел доизграждане и уплътняване на системата за ракетна защита;</w:t>
      </w:r>
    </w:p>
    <w:p w:rsidR="00A84026" w:rsidRPr="00EA7BE6" w:rsidRDefault="00A84026" w:rsidP="003B77D3">
      <w:pPr>
        <w:pStyle w:val="ListParagraph"/>
        <w:numPr>
          <w:ilvl w:val="0"/>
          <w:numId w:val="12"/>
        </w:numPr>
        <w:rPr>
          <w:sz w:val="22"/>
          <w:lang w:val="bg-BG"/>
        </w:rPr>
      </w:pPr>
      <w:r w:rsidRPr="00EA7BE6">
        <w:rPr>
          <w:sz w:val="22"/>
          <w:lang w:val="bg-BG"/>
        </w:rPr>
        <w:t>осъвременяване на материално-техническата база на съществуващите 200 ракетни площадки;</w:t>
      </w:r>
    </w:p>
    <w:p w:rsidR="00A84026" w:rsidRPr="00EA7BE6" w:rsidRDefault="00A84026" w:rsidP="003B77D3">
      <w:pPr>
        <w:pStyle w:val="ListParagraph"/>
        <w:numPr>
          <w:ilvl w:val="0"/>
          <w:numId w:val="12"/>
        </w:numPr>
        <w:rPr>
          <w:sz w:val="22"/>
          <w:lang w:val="bg-BG"/>
        </w:rPr>
      </w:pPr>
      <w:r w:rsidRPr="00EA7BE6">
        <w:rPr>
          <w:sz w:val="22"/>
          <w:lang w:val="bg-BG"/>
        </w:rPr>
        <w:t>въвеждане на самолетен способ за борба с градушките и преразпределение на валежите.</w:t>
      </w:r>
    </w:p>
    <w:p w:rsidR="00C223FB" w:rsidRPr="00EA7BE6" w:rsidRDefault="00C223FB" w:rsidP="00C223FB">
      <w:pPr>
        <w:pStyle w:val="ListParagraph"/>
        <w:rPr>
          <w:sz w:val="22"/>
          <w:lang w:val="bg-BG"/>
        </w:rPr>
      </w:pPr>
    </w:p>
    <w:p w:rsidR="00C223FB" w:rsidRPr="00EA7BE6" w:rsidRDefault="00C223FB" w:rsidP="00C223FB">
      <w:pPr>
        <w:pStyle w:val="ListParagraph"/>
        <w:ind w:left="0"/>
        <w:rPr>
          <w:sz w:val="22"/>
          <w:lang w:val="bg-BG"/>
        </w:rPr>
      </w:pPr>
      <w:r w:rsidRPr="00EA7BE6">
        <w:rPr>
          <w:sz w:val="22"/>
          <w:lang w:val="bg-BG"/>
        </w:rPr>
        <w:t xml:space="preserve">Няколко са предимствата на въвеждането на самолетния способ. От една страна, необхванатите до момента от системата за ракетна защита обработвани площи попадат в силно урбанизирани територии. Това предопределя големи сектори със забрана за стрелба с ракети, което намалява възможностите за използване на ракетния метод. От друга страна, разпростирането на ракетната защита на територията на цялата страна изисква огромни инвестиции за изграждане на необходимата инфраструктура и значителен финансов ресурс за издръжка на системата – материална база, персонал и т. н. Предимства </w:t>
      </w:r>
      <w:r w:rsidRPr="00EA7BE6">
        <w:rPr>
          <w:sz w:val="22"/>
          <w:lang w:val="bg-BG"/>
        </w:rPr>
        <w:lastRenderedPageBreak/>
        <w:t xml:space="preserve">на самолетния способ са по-голямата гъвкавост, възможност за въздействие над населени места, възможност за защита от други неблагоприятни климатични явления и други. </w:t>
      </w:r>
    </w:p>
    <w:p w:rsidR="00C223FB" w:rsidRPr="00EA7BE6" w:rsidRDefault="00C223FB" w:rsidP="00C223FB">
      <w:pPr>
        <w:pStyle w:val="ListParagraph"/>
        <w:ind w:left="0"/>
        <w:rPr>
          <w:sz w:val="22"/>
          <w:lang w:val="bg-BG"/>
        </w:rPr>
      </w:pPr>
    </w:p>
    <w:p w:rsidR="00C223FB" w:rsidRPr="00EA7BE6" w:rsidRDefault="00C223FB" w:rsidP="00C223FB">
      <w:pPr>
        <w:pStyle w:val="ListParagraph"/>
        <w:ind w:left="0"/>
        <w:rPr>
          <w:sz w:val="22"/>
          <w:lang w:val="bg-BG"/>
        </w:rPr>
      </w:pPr>
      <w:r w:rsidRPr="00D86BFF">
        <w:rPr>
          <w:sz w:val="22"/>
          <w:lang w:val="bg-BG"/>
        </w:rPr>
        <w:t xml:space="preserve">При този вариант на действие градозащита ще се осъществява общо върху 90 млн. дка, от които </w:t>
      </w:r>
      <w:r w:rsidR="002B206F" w:rsidRPr="00D86BFF">
        <w:rPr>
          <w:sz w:val="22"/>
          <w:lang w:val="bg-BG"/>
        </w:rPr>
        <w:t xml:space="preserve">около </w:t>
      </w:r>
      <w:r w:rsidRPr="00D86BFF">
        <w:rPr>
          <w:bCs/>
          <w:sz w:val="22"/>
          <w:lang w:val="bg-BG"/>
        </w:rPr>
        <w:t xml:space="preserve">36,6 млн. дка </w:t>
      </w:r>
      <w:r w:rsidRPr="00D86BFF">
        <w:rPr>
          <w:sz w:val="22"/>
          <w:lang w:val="bg-BG"/>
        </w:rPr>
        <w:t>о</w:t>
      </w:r>
      <w:r w:rsidRPr="00D86BFF">
        <w:rPr>
          <w:bCs/>
          <w:sz w:val="22"/>
          <w:lang w:val="bg-BG"/>
        </w:rPr>
        <w:t>бработвана земя (обработваема земя</w:t>
      </w:r>
      <w:r w:rsidR="002B206F" w:rsidRPr="00D86BFF">
        <w:rPr>
          <w:bCs/>
          <w:sz w:val="22"/>
          <w:lang w:val="bg-BG"/>
        </w:rPr>
        <w:t xml:space="preserve"> и</w:t>
      </w:r>
      <w:r w:rsidRPr="00D86BFF">
        <w:rPr>
          <w:bCs/>
          <w:sz w:val="22"/>
          <w:lang w:val="bg-BG"/>
        </w:rPr>
        <w:t xml:space="preserve"> трайни насаждения,)</w:t>
      </w:r>
      <w:r w:rsidRPr="00D86BFF">
        <w:rPr>
          <w:sz w:val="22"/>
          <w:lang w:val="bg-BG"/>
        </w:rPr>
        <w:t>.</w:t>
      </w:r>
      <w:r w:rsidRPr="00EA7BE6">
        <w:rPr>
          <w:sz w:val="22"/>
          <w:lang w:val="bg-BG"/>
        </w:rPr>
        <w:t xml:space="preserve"> Ракетен способ ще се прилага върху 22 млн. дка, в това число 12,8 млн. дка обработвана земя. За останалата територия ще бъде използван самолетният способ на защита (реалното му въвеждане се планира за сезон 2019 г.), като за целта се предвижда въздействието върху градоносните облаци да се осъществява с 4–5 специализирани самолета.</w:t>
      </w:r>
    </w:p>
    <w:p w:rsidR="003A7C57" w:rsidRDefault="003A7C57" w:rsidP="00C223FB">
      <w:pPr>
        <w:pStyle w:val="ListParagraph"/>
        <w:ind w:left="0"/>
        <w:rPr>
          <w:sz w:val="22"/>
          <w:lang w:val="bg-BG"/>
        </w:rPr>
      </w:pPr>
    </w:p>
    <w:p w:rsidR="003A7C57" w:rsidRPr="00C53587" w:rsidRDefault="00860B27" w:rsidP="00C223FB">
      <w:pPr>
        <w:pStyle w:val="ListParagraph"/>
        <w:ind w:left="0"/>
        <w:rPr>
          <w:b/>
          <w:sz w:val="22"/>
          <w:lang w:val="bg-BG"/>
        </w:rPr>
      </w:pPr>
      <w:r w:rsidRPr="00C53587">
        <w:rPr>
          <w:b/>
          <w:sz w:val="22"/>
          <w:lang w:val="bg-BG"/>
        </w:rPr>
        <w:t>Таблица 6</w:t>
      </w:r>
    </w:p>
    <w:p w:rsidR="003A7C57" w:rsidRPr="00EA7BE6" w:rsidRDefault="003A7C57" w:rsidP="003A7C57">
      <w:pPr>
        <w:pStyle w:val="ListParagraph"/>
        <w:ind w:left="0"/>
        <w:rPr>
          <w:b/>
          <w:sz w:val="22"/>
          <w:lang w:val="bg-BG"/>
        </w:rPr>
      </w:pPr>
      <w:r w:rsidRPr="00EA7BE6">
        <w:rPr>
          <w:b/>
          <w:sz w:val="22"/>
          <w:lang w:val="bg-BG"/>
        </w:rPr>
        <w:t>Разширяване на системата и защитаваната територия</w:t>
      </w:r>
    </w:p>
    <w:tbl>
      <w:tblPr>
        <w:tblW w:w="8181" w:type="dxa"/>
        <w:tblInd w:w="55" w:type="dxa"/>
        <w:tblCellMar>
          <w:left w:w="70" w:type="dxa"/>
          <w:right w:w="70" w:type="dxa"/>
        </w:tblCellMar>
        <w:tblLook w:val="04A0" w:firstRow="1" w:lastRow="0" w:firstColumn="1" w:lastColumn="0" w:noHBand="0" w:noVBand="1"/>
      </w:tblPr>
      <w:tblGrid>
        <w:gridCol w:w="4241"/>
        <w:gridCol w:w="1332"/>
        <w:gridCol w:w="1332"/>
        <w:gridCol w:w="1276"/>
      </w:tblGrid>
      <w:tr w:rsidR="003A7C57" w:rsidRPr="00EA7BE6" w:rsidTr="00C53587">
        <w:trPr>
          <w:trHeight w:val="570"/>
        </w:trPr>
        <w:tc>
          <w:tcPr>
            <w:tcW w:w="424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3A7C57" w:rsidRPr="00EA7BE6" w:rsidRDefault="003A7C57" w:rsidP="00C53587">
            <w:pPr>
              <w:pStyle w:val="ListParagraph"/>
              <w:ind w:left="87"/>
              <w:jc w:val="center"/>
              <w:rPr>
                <w:b/>
                <w:bCs/>
                <w:sz w:val="22"/>
                <w:lang w:val="bg-BG"/>
              </w:rPr>
            </w:pPr>
            <w:r w:rsidRPr="00EA7BE6">
              <w:rPr>
                <w:b/>
                <w:bCs/>
                <w:sz w:val="22"/>
                <w:lang w:val="bg-BG"/>
              </w:rPr>
              <w:t>Показател</w:t>
            </w:r>
          </w:p>
        </w:tc>
        <w:tc>
          <w:tcPr>
            <w:tcW w:w="1332"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3A7C57" w:rsidRPr="00EA7BE6" w:rsidRDefault="003A7C57" w:rsidP="00C53587">
            <w:pPr>
              <w:pStyle w:val="ListParagraph"/>
              <w:jc w:val="center"/>
              <w:rPr>
                <w:b/>
                <w:bCs/>
                <w:sz w:val="22"/>
                <w:lang w:val="bg-BG"/>
              </w:rPr>
            </w:pPr>
            <w:r w:rsidRPr="00EA7BE6">
              <w:rPr>
                <w:b/>
                <w:bCs/>
                <w:sz w:val="22"/>
                <w:lang w:val="bg-BG"/>
              </w:rPr>
              <w:t>2017</w:t>
            </w:r>
          </w:p>
        </w:tc>
        <w:tc>
          <w:tcPr>
            <w:tcW w:w="1332"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3A7C57" w:rsidRPr="00EA7BE6" w:rsidRDefault="003A7C57" w:rsidP="00C53587">
            <w:pPr>
              <w:pStyle w:val="ListParagraph"/>
              <w:jc w:val="center"/>
              <w:rPr>
                <w:b/>
                <w:bCs/>
                <w:sz w:val="22"/>
                <w:lang w:val="bg-BG"/>
              </w:rPr>
            </w:pPr>
            <w:r w:rsidRPr="00EA7BE6">
              <w:rPr>
                <w:b/>
                <w:bCs/>
                <w:sz w:val="22"/>
                <w:lang w:val="bg-BG"/>
              </w:rPr>
              <w:t>2018</w:t>
            </w:r>
          </w:p>
        </w:tc>
        <w:tc>
          <w:tcPr>
            <w:tcW w:w="1276"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3A7C57" w:rsidRPr="00EA7BE6" w:rsidRDefault="003A7C57" w:rsidP="00C53587">
            <w:pPr>
              <w:pStyle w:val="ListParagraph"/>
              <w:spacing w:after="0"/>
              <w:ind w:left="0" w:right="85"/>
              <w:jc w:val="center"/>
              <w:rPr>
                <w:b/>
                <w:bCs/>
                <w:sz w:val="22"/>
                <w:lang w:val="bg-BG"/>
              </w:rPr>
            </w:pPr>
            <w:r w:rsidRPr="00EA7BE6">
              <w:rPr>
                <w:b/>
                <w:bCs/>
                <w:sz w:val="22"/>
                <w:lang w:val="bg-BG"/>
              </w:rPr>
              <w:t>2019</w:t>
            </w:r>
          </w:p>
        </w:tc>
      </w:tr>
      <w:tr w:rsidR="003A7C57" w:rsidRPr="00EA7BE6" w:rsidTr="00C53587">
        <w:trPr>
          <w:trHeight w:val="366"/>
        </w:trPr>
        <w:tc>
          <w:tcPr>
            <w:tcW w:w="4241" w:type="dxa"/>
            <w:tcBorders>
              <w:top w:val="nil"/>
              <w:left w:val="single" w:sz="4" w:space="0" w:color="auto"/>
              <w:bottom w:val="single" w:sz="4" w:space="0" w:color="auto"/>
              <w:right w:val="single" w:sz="4" w:space="0" w:color="auto"/>
            </w:tcBorders>
            <w:shd w:val="clear" w:color="000000" w:fill="FFFFFF"/>
            <w:vAlign w:val="center"/>
            <w:hideMark/>
          </w:tcPr>
          <w:p w:rsidR="003A7C57" w:rsidRPr="00EA7BE6" w:rsidRDefault="003A7C57" w:rsidP="00C53587">
            <w:pPr>
              <w:pStyle w:val="ListParagraph"/>
              <w:ind w:left="87"/>
              <w:jc w:val="left"/>
              <w:rPr>
                <w:bCs/>
                <w:sz w:val="22"/>
                <w:lang w:val="bg-BG"/>
              </w:rPr>
            </w:pPr>
            <w:r w:rsidRPr="00EA7BE6">
              <w:rPr>
                <w:bCs/>
                <w:sz w:val="22"/>
                <w:lang w:val="bg-BG"/>
              </w:rPr>
              <w:t>Полигони/Командни пунктове – бр.</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jc w:val="right"/>
              <w:rPr>
                <w:sz w:val="22"/>
                <w:lang w:val="bg-BG"/>
              </w:rPr>
            </w:pPr>
            <w:r w:rsidRPr="00EA7BE6">
              <w:rPr>
                <w:sz w:val="22"/>
                <w:lang w:val="bg-BG"/>
              </w:rPr>
              <w:t>9</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jc w:val="right"/>
              <w:rPr>
                <w:sz w:val="22"/>
                <w:lang w:val="bg-BG"/>
              </w:rPr>
            </w:pPr>
            <w:r w:rsidRPr="00EA7BE6">
              <w:rPr>
                <w:sz w:val="22"/>
                <w:lang w:val="bg-BG"/>
              </w:rPr>
              <w:t>11</w:t>
            </w:r>
          </w:p>
        </w:tc>
        <w:tc>
          <w:tcPr>
            <w:tcW w:w="1276"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spacing w:after="0" w:line="240" w:lineRule="auto"/>
              <w:jc w:val="right"/>
              <w:rPr>
                <w:sz w:val="22"/>
                <w:lang w:val="bg-BG"/>
              </w:rPr>
            </w:pPr>
            <w:r w:rsidRPr="00EA7BE6">
              <w:rPr>
                <w:sz w:val="22"/>
                <w:lang w:val="bg-BG"/>
              </w:rPr>
              <w:t>11</w:t>
            </w:r>
          </w:p>
        </w:tc>
      </w:tr>
      <w:tr w:rsidR="003A7C57" w:rsidRPr="00EA7BE6" w:rsidTr="00C53587">
        <w:trPr>
          <w:trHeight w:val="366"/>
        </w:trPr>
        <w:tc>
          <w:tcPr>
            <w:tcW w:w="4241" w:type="dxa"/>
            <w:tcBorders>
              <w:top w:val="nil"/>
              <w:left w:val="single" w:sz="4" w:space="0" w:color="auto"/>
              <w:bottom w:val="single" w:sz="4" w:space="0" w:color="auto"/>
              <w:right w:val="single" w:sz="4" w:space="0" w:color="auto"/>
            </w:tcBorders>
            <w:shd w:val="clear" w:color="000000" w:fill="FFFFFF"/>
            <w:vAlign w:val="center"/>
            <w:hideMark/>
          </w:tcPr>
          <w:p w:rsidR="003A7C57" w:rsidRPr="00EA7BE6" w:rsidRDefault="003A7C57" w:rsidP="00C53587">
            <w:pPr>
              <w:pStyle w:val="ListParagraph"/>
              <w:ind w:left="87"/>
              <w:jc w:val="left"/>
              <w:rPr>
                <w:bCs/>
                <w:sz w:val="22"/>
                <w:lang w:val="bg-BG"/>
              </w:rPr>
            </w:pPr>
            <w:r w:rsidRPr="00EA7BE6">
              <w:rPr>
                <w:bCs/>
                <w:sz w:val="22"/>
                <w:lang w:val="bg-BG"/>
              </w:rPr>
              <w:t>Ракетни площадки – бр.</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jc w:val="right"/>
              <w:rPr>
                <w:sz w:val="22"/>
                <w:lang w:val="bg-BG"/>
              </w:rPr>
            </w:pPr>
            <w:r w:rsidRPr="00EA7BE6">
              <w:rPr>
                <w:sz w:val="22"/>
                <w:lang w:val="bg-BG"/>
              </w:rPr>
              <w:t>200</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jc w:val="right"/>
              <w:rPr>
                <w:sz w:val="22"/>
                <w:lang w:val="bg-BG"/>
              </w:rPr>
            </w:pPr>
            <w:r w:rsidRPr="00EA7BE6">
              <w:rPr>
                <w:sz w:val="22"/>
                <w:lang w:val="bg-BG"/>
              </w:rPr>
              <w:t>263</w:t>
            </w:r>
          </w:p>
        </w:tc>
        <w:tc>
          <w:tcPr>
            <w:tcW w:w="1276"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spacing w:after="0" w:line="240" w:lineRule="auto"/>
              <w:jc w:val="right"/>
              <w:rPr>
                <w:sz w:val="22"/>
                <w:lang w:val="bg-BG"/>
              </w:rPr>
            </w:pPr>
            <w:r w:rsidRPr="00EA7BE6">
              <w:rPr>
                <w:sz w:val="22"/>
                <w:lang w:val="bg-BG"/>
              </w:rPr>
              <w:t>263</w:t>
            </w:r>
          </w:p>
        </w:tc>
      </w:tr>
      <w:tr w:rsidR="003A7C57" w:rsidRPr="00EA7BE6" w:rsidTr="00C53587">
        <w:trPr>
          <w:trHeight w:val="377"/>
        </w:trPr>
        <w:tc>
          <w:tcPr>
            <w:tcW w:w="4241" w:type="dxa"/>
            <w:tcBorders>
              <w:top w:val="nil"/>
              <w:left w:val="single" w:sz="4" w:space="0" w:color="auto"/>
              <w:bottom w:val="single" w:sz="4" w:space="0" w:color="auto"/>
              <w:right w:val="single" w:sz="4" w:space="0" w:color="auto"/>
            </w:tcBorders>
            <w:shd w:val="clear" w:color="000000" w:fill="FFFFFF"/>
            <w:vAlign w:val="center"/>
            <w:hideMark/>
          </w:tcPr>
          <w:p w:rsidR="003A7C57" w:rsidRPr="00EA7BE6" w:rsidRDefault="003A7C57" w:rsidP="00C53587">
            <w:pPr>
              <w:pStyle w:val="ListParagraph"/>
              <w:ind w:left="87"/>
              <w:jc w:val="left"/>
              <w:rPr>
                <w:bCs/>
                <w:sz w:val="22"/>
                <w:lang w:val="bg-BG"/>
              </w:rPr>
            </w:pPr>
            <w:r w:rsidRPr="00EA7BE6">
              <w:rPr>
                <w:bCs/>
                <w:sz w:val="22"/>
                <w:lang w:val="bg-BG"/>
              </w:rPr>
              <w:t>Защитавана територия - млн. дка</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jc w:val="right"/>
              <w:rPr>
                <w:sz w:val="22"/>
                <w:lang w:val="bg-BG"/>
              </w:rPr>
            </w:pPr>
            <w:r w:rsidRPr="00EA7BE6">
              <w:rPr>
                <w:sz w:val="22"/>
                <w:lang w:val="bg-BG"/>
              </w:rPr>
              <w:t>17,2</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jc w:val="right"/>
              <w:rPr>
                <w:sz w:val="22"/>
                <w:lang w:val="bg-BG"/>
              </w:rPr>
            </w:pPr>
            <w:r w:rsidRPr="00EA7BE6">
              <w:rPr>
                <w:sz w:val="22"/>
                <w:lang w:val="bg-BG"/>
              </w:rPr>
              <w:t>22</w:t>
            </w:r>
          </w:p>
        </w:tc>
        <w:tc>
          <w:tcPr>
            <w:tcW w:w="1276"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860B27">
            <w:pPr>
              <w:pStyle w:val="ListParagraph"/>
              <w:spacing w:after="0" w:line="240" w:lineRule="auto"/>
              <w:jc w:val="right"/>
              <w:rPr>
                <w:sz w:val="22"/>
                <w:lang w:val="bg-BG"/>
              </w:rPr>
            </w:pPr>
            <w:r w:rsidRPr="00EA7BE6">
              <w:rPr>
                <w:sz w:val="22"/>
                <w:lang w:val="bg-BG"/>
              </w:rPr>
              <w:t>90</w:t>
            </w:r>
          </w:p>
        </w:tc>
      </w:tr>
      <w:tr w:rsidR="003A7C57" w:rsidRPr="00EA7BE6" w:rsidTr="00C53587">
        <w:trPr>
          <w:trHeight w:val="614"/>
        </w:trPr>
        <w:tc>
          <w:tcPr>
            <w:tcW w:w="4241" w:type="dxa"/>
            <w:tcBorders>
              <w:top w:val="nil"/>
              <w:left w:val="single" w:sz="4" w:space="0" w:color="auto"/>
              <w:bottom w:val="single" w:sz="4" w:space="0" w:color="auto"/>
              <w:right w:val="single" w:sz="4" w:space="0" w:color="auto"/>
            </w:tcBorders>
            <w:shd w:val="clear" w:color="000000" w:fill="FFFFFF"/>
            <w:vAlign w:val="center"/>
            <w:hideMark/>
          </w:tcPr>
          <w:p w:rsidR="003A7C57" w:rsidRPr="00EA7BE6" w:rsidRDefault="003A7C57" w:rsidP="00C53587">
            <w:pPr>
              <w:pStyle w:val="ListParagraph"/>
              <w:spacing w:after="0" w:line="240" w:lineRule="auto"/>
              <w:ind w:left="85"/>
              <w:contextualSpacing w:val="0"/>
              <w:jc w:val="left"/>
              <w:rPr>
                <w:bCs/>
                <w:sz w:val="22"/>
                <w:lang w:val="bg-BG"/>
              </w:rPr>
            </w:pPr>
            <w:r w:rsidRPr="00EA7BE6">
              <w:rPr>
                <w:bCs/>
                <w:sz w:val="22"/>
                <w:lang w:val="bg-BG"/>
              </w:rPr>
              <w:t>Защитавана обработвана земя (</w:t>
            </w:r>
            <w:r w:rsidRPr="00C53587">
              <w:rPr>
                <w:bCs/>
                <w:i/>
                <w:sz w:val="20"/>
                <w:lang w:val="bg-BG"/>
              </w:rPr>
              <w:t>обработваема земя</w:t>
            </w:r>
            <w:r w:rsidR="002B206F" w:rsidRPr="00C53587">
              <w:rPr>
                <w:bCs/>
                <w:i/>
                <w:sz w:val="20"/>
                <w:lang w:val="bg-BG"/>
              </w:rPr>
              <w:t xml:space="preserve"> и</w:t>
            </w:r>
            <w:r w:rsidRPr="00C53587">
              <w:rPr>
                <w:bCs/>
                <w:i/>
                <w:sz w:val="20"/>
                <w:lang w:val="bg-BG"/>
              </w:rPr>
              <w:t xml:space="preserve"> трайни насаждения</w:t>
            </w:r>
            <w:r w:rsidRPr="00EA7BE6">
              <w:rPr>
                <w:bCs/>
                <w:sz w:val="22"/>
                <w:lang w:val="bg-BG"/>
              </w:rPr>
              <w:t>) - млн. дка</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C53587">
            <w:pPr>
              <w:pStyle w:val="ListParagraph"/>
              <w:spacing w:after="0" w:line="240" w:lineRule="auto"/>
              <w:contextualSpacing w:val="0"/>
              <w:jc w:val="right"/>
              <w:rPr>
                <w:sz w:val="22"/>
                <w:lang w:val="bg-BG"/>
              </w:rPr>
            </w:pPr>
            <w:r w:rsidRPr="00EA7BE6">
              <w:rPr>
                <w:sz w:val="22"/>
                <w:lang w:val="bg-BG"/>
              </w:rPr>
              <w:t>10,6</w:t>
            </w:r>
          </w:p>
        </w:tc>
        <w:tc>
          <w:tcPr>
            <w:tcW w:w="1332" w:type="dxa"/>
            <w:tcBorders>
              <w:top w:val="nil"/>
              <w:left w:val="nil"/>
              <w:bottom w:val="single" w:sz="4" w:space="0" w:color="auto"/>
              <w:right w:val="single" w:sz="4" w:space="0" w:color="auto"/>
            </w:tcBorders>
            <w:shd w:val="clear" w:color="000000" w:fill="FFFFFF"/>
            <w:vAlign w:val="center"/>
            <w:hideMark/>
          </w:tcPr>
          <w:p w:rsidR="003A7C57" w:rsidRPr="00EA7BE6" w:rsidRDefault="003A7C57" w:rsidP="00C53587">
            <w:pPr>
              <w:pStyle w:val="ListParagraph"/>
              <w:spacing w:after="0" w:line="240" w:lineRule="auto"/>
              <w:contextualSpacing w:val="0"/>
              <w:jc w:val="right"/>
              <w:rPr>
                <w:sz w:val="22"/>
                <w:lang w:val="bg-BG"/>
              </w:rPr>
            </w:pPr>
            <w:r w:rsidRPr="00EA7BE6">
              <w:rPr>
                <w:sz w:val="22"/>
                <w:lang w:val="bg-BG"/>
              </w:rPr>
              <w:t>12,8</w:t>
            </w:r>
          </w:p>
        </w:tc>
        <w:tc>
          <w:tcPr>
            <w:tcW w:w="1276" w:type="dxa"/>
            <w:tcBorders>
              <w:top w:val="nil"/>
              <w:left w:val="nil"/>
              <w:bottom w:val="single" w:sz="4" w:space="0" w:color="auto"/>
              <w:right w:val="single" w:sz="4" w:space="0" w:color="auto"/>
            </w:tcBorders>
            <w:shd w:val="clear" w:color="000000" w:fill="FFFFFF"/>
            <w:vAlign w:val="center"/>
            <w:hideMark/>
          </w:tcPr>
          <w:p w:rsidR="003A7C57" w:rsidRPr="00EA7BE6" w:rsidRDefault="00B52477" w:rsidP="00C53587">
            <w:pPr>
              <w:pStyle w:val="ListParagraph"/>
              <w:spacing w:after="0" w:line="240" w:lineRule="auto"/>
              <w:contextualSpacing w:val="0"/>
              <w:jc w:val="right"/>
              <w:rPr>
                <w:sz w:val="22"/>
                <w:lang w:val="bg-BG"/>
              </w:rPr>
            </w:pPr>
            <w:r>
              <w:rPr>
                <w:sz w:val="22"/>
                <w:lang w:val="bg-BG"/>
              </w:rPr>
              <w:t>36,6</w:t>
            </w:r>
          </w:p>
        </w:tc>
      </w:tr>
    </w:tbl>
    <w:p w:rsidR="003A7C57" w:rsidRPr="00EA7BE6" w:rsidRDefault="003A7C57" w:rsidP="00C223FB">
      <w:pPr>
        <w:pStyle w:val="ListParagraph"/>
        <w:ind w:left="0"/>
        <w:rPr>
          <w:sz w:val="22"/>
          <w:lang w:val="bg-BG"/>
        </w:rPr>
      </w:pPr>
    </w:p>
    <w:p w:rsidR="00A517A5" w:rsidRPr="00A77283" w:rsidRDefault="00C223FB" w:rsidP="00C53587">
      <w:pPr>
        <w:pStyle w:val="ListParagraph"/>
        <w:ind w:left="0"/>
        <w:rPr>
          <w:sz w:val="22"/>
          <w:lang w:val="ru-RU"/>
        </w:rPr>
      </w:pPr>
      <w:r w:rsidRPr="00EA7BE6">
        <w:rPr>
          <w:sz w:val="22"/>
          <w:lang w:val="bg-BG"/>
        </w:rPr>
        <w:t>На картата по-долу е представено разпределението на територията на страната, в зависимост от използваните способи за противодействие на градушките след изграждане на системата на територията на цялата страна.</w:t>
      </w:r>
    </w:p>
    <w:p w:rsidR="009A07E6" w:rsidRPr="00EA7BE6" w:rsidRDefault="00A517A5" w:rsidP="00C53587">
      <w:pPr>
        <w:jc w:val="center"/>
        <w:rPr>
          <w:sz w:val="22"/>
        </w:rPr>
      </w:pPr>
      <w:r w:rsidRPr="00EA7BE6">
        <w:rPr>
          <w:noProof/>
        </w:rPr>
        <w:drawing>
          <wp:inline distT="0" distB="0" distL="0" distR="0" wp14:anchorId="356CC457" wp14:editId="28B50D08">
            <wp:extent cx="5874327" cy="3586249"/>
            <wp:effectExtent l="0" t="0" r="0" b="0"/>
            <wp:docPr id="2" name="Picture 6" descr="\\PC-INFO3\Users\Public\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6" descr="\\PC-INFO3\Users\Public\9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4327" cy="3586249"/>
                    </a:xfrm>
                    <a:prstGeom prst="rect">
                      <a:avLst/>
                    </a:prstGeom>
                    <a:noFill/>
                    <a:ln>
                      <a:noFill/>
                    </a:ln>
                    <a:extLst/>
                  </pic:spPr>
                </pic:pic>
              </a:graphicData>
            </a:graphic>
          </wp:inline>
        </w:drawing>
      </w:r>
    </w:p>
    <w:p w:rsidR="00521DA7" w:rsidRPr="00C53587" w:rsidRDefault="00521DA7" w:rsidP="00C53587">
      <w:pPr>
        <w:spacing w:after="0"/>
        <w:jc w:val="center"/>
        <w:rPr>
          <w:b/>
          <w:sz w:val="16"/>
          <w:lang w:val="bg-BG"/>
        </w:rPr>
      </w:pPr>
      <w:r w:rsidRPr="00C53587">
        <w:rPr>
          <w:b/>
          <w:sz w:val="16"/>
          <w:lang w:val="bg-BG"/>
        </w:rPr>
        <w:t>Фигура 2</w:t>
      </w:r>
    </w:p>
    <w:p w:rsidR="00521DA7" w:rsidRPr="00C53587" w:rsidRDefault="00521DA7" w:rsidP="00C53587">
      <w:pPr>
        <w:spacing w:after="0"/>
        <w:jc w:val="center"/>
        <w:rPr>
          <w:b/>
          <w:sz w:val="16"/>
          <w:lang w:val="bg-BG"/>
        </w:rPr>
      </w:pPr>
      <w:r w:rsidRPr="00C53587">
        <w:rPr>
          <w:b/>
          <w:sz w:val="16"/>
          <w:lang w:val="bg-BG"/>
        </w:rPr>
        <w:t>Разпределението на територията на страната, в зависимост от използваните способи за противодействие на градушки</w:t>
      </w:r>
    </w:p>
    <w:p w:rsidR="00D95A4C" w:rsidRPr="00EA7BE6" w:rsidRDefault="000D4D63" w:rsidP="000D4D63">
      <w:pPr>
        <w:rPr>
          <w:sz w:val="22"/>
          <w:lang w:val="bg-BG"/>
        </w:rPr>
      </w:pPr>
      <w:r w:rsidRPr="00EA7BE6">
        <w:rPr>
          <w:sz w:val="22"/>
          <w:lang w:val="bg-BG"/>
        </w:rPr>
        <w:lastRenderedPageBreak/>
        <w:t>При този вариант на действие се предвижда създаване на държавно предприятие, което да управлява риска от неблагоприятни климатични събития в земеделието. Държавното предприятие ще изпълнява функции по организиране и провеждане на активни въздействия върху градовите процеси и други неблагоприятни атмосферни явления; изкуствено увеличаване и преразпределяне на валежите; радиолокационно площно измерване на валежите и осигуряване на радарна метеорологична информация на други заинтересувани ведомства.</w:t>
      </w:r>
      <w:r w:rsidR="00E33994" w:rsidRPr="00EA7BE6">
        <w:rPr>
          <w:sz w:val="22"/>
          <w:lang w:val="bg-BG"/>
        </w:rPr>
        <w:t xml:space="preserve"> Предвижда се органи на управление на предприятието да бъдат министърът на земеделието, храните и горите, управителен съвет, който да включва представители на Министерство на земеделието, храните и горите и представители на земеделските стопани и застрахователните компании, както и директор</w:t>
      </w:r>
      <w:r w:rsidR="000C4310" w:rsidRPr="00EA7BE6">
        <w:rPr>
          <w:sz w:val="22"/>
          <w:lang w:val="bg-BG"/>
        </w:rPr>
        <w:t>, ангажиран с представителни,  организационни, ръководни и контролни функции. Новосъздаденото държавно предприятие ще бъде правоприемник на сега действащата Изпълнителна агенция „Борба с градушките“, като ще поеме изпълняваните от нея функции и предвижданите нови такива във връзка с разширяване обхвата на противодействие срещу неблагоприятните климатични събития в земеделието.</w:t>
      </w:r>
    </w:p>
    <w:p w:rsidR="00D30E8A" w:rsidRPr="00EA7BE6" w:rsidRDefault="00AE6BC2" w:rsidP="000D4D63">
      <w:pPr>
        <w:rPr>
          <w:sz w:val="22"/>
          <w:lang w:val="bg-BG"/>
        </w:rPr>
      </w:pPr>
      <w:r w:rsidRPr="00EA7BE6">
        <w:rPr>
          <w:sz w:val="22"/>
          <w:lang w:val="bg-BG"/>
        </w:rPr>
        <w:t>При този вариант на действие се в</w:t>
      </w:r>
      <w:r w:rsidR="0082377B" w:rsidRPr="00EA7BE6">
        <w:rPr>
          <w:sz w:val="22"/>
          <w:lang w:val="bg-BG"/>
        </w:rPr>
        <w:t>ъвежда споделено финансиране на системата между държавата, земеделските стопани и застрахователните компании</w:t>
      </w:r>
      <w:r w:rsidRPr="00EA7BE6">
        <w:rPr>
          <w:sz w:val="22"/>
          <w:lang w:val="bg-BG"/>
        </w:rPr>
        <w:t>.</w:t>
      </w:r>
    </w:p>
    <w:p w:rsidR="006D3E15" w:rsidRPr="00EA7BE6" w:rsidRDefault="006D3E15" w:rsidP="006D3E15">
      <w:pPr>
        <w:rPr>
          <w:sz w:val="22"/>
          <w:lang w:val="bg-BG"/>
        </w:rPr>
      </w:pPr>
      <w:r w:rsidRPr="00EA7BE6">
        <w:rPr>
          <w:sz w:val="22"/>
          <w:lang w:val="bg-BG"/>
        </w:rPr>
        <w:t xml:space="preserve">Разширяването на обхвата на градозащитата и свързаното с това значително увеличение на средствата за осъществяване на дейността налага прилагане на подход за диверсификация на източниците на финансиране, включващ привличане на заинтересовани страни като земеделските стопани и  застрахователните компании. </w:t>
      </w:r>
    </w:p>
    <w:p w:rsidR="006D3E15" w:rsidRPr="00EA7BE6" w:rsidRDefault="006D3E15" w:rsidP="006D3E15">
      <w:pPr>
        <w:rPr>
          <w:sz w:val="22"/>
          <w:lang w:val="bg-BG"/>
        </w:rPr>
      </w:pPr>
      <w:r w:rsidRPr="00EA7BE6">
        <w:rPr>
          <w:sz w:val="22"/>
          <w:lang w:val="bg-BG"/>
        </w:rPr>
        <w:t xml:space="preserve">Общият размер на средствата за управление на рискове, свързани с градушки при окончателното изграждане и реално въвеждане в действие на системата за противоградова защита (пълно покритие на територията на страната с използване на ракетен и самолетен способ), което се предвижда за 2019 г., би възлязъл на около </w:t>
      </w:r>
      <w:r w:rsidR="00A77283" w:rsidRPr="00C53587">
        <w:rPr>
          <w:sz w:val="22"/>
          <w:lang w:val="ru-RU"/>
        </w:rPr>
        <w:t>28</w:t>
      </w:r>
      <w:r w:rsidR="00A77283" w:rsidRPr="00EA7BE6">
        <w:rPr>
          <w:sz w:val="22"/>
          <w:lang w:val="bg-BG"/>
        </w:rPr>
        <w:t xml:space="preserve"> </w:t>
      </w:r>
      <w:r w:rsidRPr="00EA7BE6">
        <w:rPr>
          <w:sz w:val="22"/>
          <w:lang w:val="bg-BG"/>
        </w:rPr>
        <w:t>млн. лева годишно.</w:t>
      </w:r>
    </w:p>
    <w:p w:rsidR="006D3E15" w:rsidRPr="00EA7BE6" w:rsidRDefault="006D3E15" w:rsidP="00C53587">
      <w:pPr>
        <w:spacing w:after="0"/>
        <w:rPr>
          <w:sz w:val="22"/>
          <w:lang w:val="bg-BG"/>
        </w:rPr>
      </w:pPr>
      <w:r w:rsidRPr="00EA7BE6">
        <w:rPr>
          <w:sz w:val="22"/>
          <w:lang w:val="bg-BG"/>
        </w:rPr>
        <w:t>Част от необходимия ресурс ще се предоставя от държавния бюджет</w:t>
      </w:r>
      <w:r w:rsidR="00922A84" w:rsidRPr="00EA7BE6">
        <w:rPr>
          <w:sz w:val="22"/>
          <w:lang w:val="bg-BG"/>
        </w:rPr>
        <w:t>.</w:t>
      </w:r>
      <w:r w:rsidRPr="00EA7BE6">
        <w:rPr>
          <w:sz w:val="22"/>
          <w:lang w:val="bg-BG"/>
        </w:rPr>
        <w:t xml:space="preserve"> Останалите средства ще бъдат привлечени от:</w:t>
      </w:r>
    </w:p>
    <w:p w:rsidR="006D3E15" w:rsidRPr="00EA7BE6" w:rsidRDefault="006D3E15" w:rsidP="00C53587">
      <w:pPr>
        <w:numPr>
          <w:ilvl w:val="0"/>
          <w:numId w:val="10"/>
        </w:numPr>
        <w:spacing w:after="0"/>
        <w:rPr>
          <w:sz w:val="22"/>
          <w:lang w:val="bg-BG"/>
        </w:rPr>
      </w:pPr>
      <w:r w:rsidRPr="00EA7BE6">
        <w:rPr>
          <w:sz w:val="22"/>
          <w:lang w:val="bg-BG"/>
        </w:rPr>
        <w:t>земеделските стопани, чрез въвеждане на годишни задължителни вноски;</w:t>
      </w:r>
    </w:p>
    <w:p w:rsidR="006D3E15" w:rsidRPr="00EA7BE6" w:rsidRDefault="006D3E15" w:rsidP="00C53587">
      <w:pPr>
        <w:numPr>
          <w:ilvl w:val="0"/>
          <w:numId w:val="10"/>
        </w:numPr>
        <w:spacing w:after="0"/>
        <w:rPr>
          <w:sz w:val="22"/>
          <w:lang w:val="bg-BG"/>
        </w:rPr>
      </w:pPr>
      <w:r w:rsidRPr="00EA7BE6">
        <w:rPr>
          <w:bCs/>
          <w:sz w:val="22"/>
          <w:lang w:val="bg-BG"/>
        </w:rPr>
        <w:t xml:space="preserve">отчисления от премийния приход на застрахователните компании, предлагащи </w:t>
      </w:r>
      <w:r w:rsidR="00AE6BC2" w:rsidRPr="00EA7BE6">
        <w:rPr>
          <w:bCs/>
          <w:sz w:val="22"/>
          <w:lang w:val="bg-BG"/>
        </w:rPr>
        <w:t xml:space="preserve">определени класове </w:t>
      </w:r>
      <w:r w:rsidRPr="00EA7BE6">
        <w:rPr>
          <w:bCs/>
          <w:sz w:val="22"/>
          <w:lang w:val="bg-BG"/>
        </w:rPr>
        <w:t>застраховки</w:t>
      </w:r>
      <w:r w:rsidR="00AE6BC2" w:rsidRPr="00EA7BE6">
        <w:rPr>
          <w:bCs/>
          <w:sz w:val="22"/>
          <w:lang w:val="bg-BG"/>
        </w:rPr>
        <w:t>.</w:t>
      </w:r>
    </w:p>
    <w:p w:rsidR="00AE6BC2" w:rsidRPr="00EA7BE6" w:rsidRDefault="00AE6BC2" w:rsidP="00AE6BC2">
      <w:pPr>
        <w:rPr>
          <w:sz w:val="22"/>
          <w:lang w:val="bg-BG"/>
        </w:rPr>
      </w:pPr>
      <w:r w:rsidRPr="00EA7BE6">
        <w:rPr>
          <w:bCs/>
          <w:sz w:val="22"/>
          <w:lang w:val="bg-BG"/>
        </w:rPr>
        <w:t xml:space="preserve">В </w:t>
      </w:r>
      <w:r w:rsidR="00521DA7">
        <w:rPr>
          <w:bCs/>
          <w:sz w:val="22"/>
          <w:lang w:val="bg-BG"/>
        </w:rPr>
        <w:t>Т</w:t>
      </w:r>
      <w:r w:rsidRPr="00EA7BE6">
        <w:rPr>
          <w:bCs/>
          <w:sz w:val="22"/>
          <w:lang w:val="bg-BG"/>
        </w:rPr>
        <w:t>аблица</w:t>
      </w:r>
      <w:r w:rsidR="00521DA7">
        <w:rPr>
          <w:bCs/>
          <w:sz w:val="22"/>
          <w:lang w:val="bg-BG"/>
        </w:rPr>
        <w:t xml:space="preserve"> 7 </w:t>
      </w:r>
      <w:r w:rsidRPr="00EA7BE6">
        <w:rPr>
          <w:bCs/>
          <w:sz w:val="22"/>
          <w:lang w:val="bg-BG"/>
        </w:rPr>
        <w:t>е представен разчет</w:t>
      </w:r>
      <w:r w:rsidR="00631F87" w:rsidRPr="00EA7BE6">
        <w:rPr>
          <w:bCs/>
          <w:sz w:val="22"/>
          <w:lang w:val="bg-BG"/>
        </w:rPr>
        <w:t xml:space="preserve"> на необходимия финансов ресурс за държавното предприятие и разпределението му по източници</w:t>
      </w:r>
      <w:r w:rsidR="00521DA7">
        <w:rPr>
          <w:bCs/>
          <w:sz w:val="22"/>
          <w:lang w:val="bg-BG"/>
        </w:rPr>
        <w:t>.</w:t>
      </w:r>
    </w:p>
    <w:p w:rsidR="00860B27" w:rsidRPr="007C77ED" w:rsidRDefault="00860B27" w:rsidP="00C53587">
      <w:pPr>
        <w:pStyle w:val="ListParagraph"/>
        <w:spacing w:after="0" w:line="240" w:lineRule="auto"/>
        <w:ind w:left="0"/>
        <w:rPr>
          <w:b/>
          <w:sz w:val="22"/>
          <w:lang w:val="bg-BG"/>
        </w:rPr>
      </w:pPr>
      <w:r w:rsidRPr="007C77ED">
        <w:rPr>
          <w:b/>
          <w:sz w:val="22"/>
          <w:lang w:val="bg-BG"/>
        </w:rPr>
        <w:t xml:space="preserve">Таблица </w:t>
      </w:r>
      <w:r w:rsidR="00F764E2">
        <w:rPr>
          <w:b/>
          <w:sz w:val="22"/>
          <w:lang w:val="bg-BG"/>
        </w:rPr>
        <w:t>7</w:t>
      </w:r>
    </w:p>
    <w:p w:rsidR="00A77283" w:rsidRPr="00860B27" w:rsidRDefault="00860B27" w:rsidP="00C53587">
      <w:pPr>
        <w:spacing w:after="0" w:line="240" w:lineRule="auto"/>
        <w:ind w:right="928"/>
        <w:rPr>
          <w:b/>
          <w:sz w:val="22"/>
          <w:lang w:val="bg-BG"/>
        </w:rPr>
      </w:pPr>
      <w:r w:rsidRPr="00860B27">
        <w:rPr>
          <w:b/>
          <w:sz w:val="22"/>
          <w:lang w:val="bg-BG"/>
        </w:rPr>
        <w:t>Финансово обезпечаване на дейностите по управление на риска от неблагоприятни климатични събития, млн. лева</w:t>
      </w:r>
    </w:p>
    <w:tbl>
      <w:tblPr>
        <w:tblW w:w="9017" w:type="dxa"/>
        <w:tblInd w:w="55" w:type="dxa"/>
        <w:tblCellMar>
          <w:left w:w="70" w:type="dxa"/>
          <w:right w:w="70" w:type="dxa"/>
        </w:tblCellMar>
        <w:tblLook w:val="04A0" w:firstRow="1" w:lastRow="0" w:firstColumn="1" w:lastColumn="0" w:noHBand="0" w:noVBand="1"/>
      </w:tblPr>
      <w:tblGrid>
        <w:gridCol w:w="4589"/>
        <w:gridCol w:w="1107"/>
        <w:gridCol w:w="1107"/>
        <w:gridCol w:w="1107"/>
        <w:gridCol w:w="1107"/>
      </w:tblGrid>
      <w:tr w:rsidR="00A77283" w:rsidRPr="00860B27" w:rsidTr="00C53587">
        <w:trPr>
          <w:trHeight w:val="580"/>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left"/>
              <w:rPr>
                <w:rFonts w:eastAsia="Times New Roman"/>
                <w:color w:val="000000"/>
                <w:sz w:val="22"/>
                <w:szCs w:val="20"/>
                <w:lang w:val="bg-BG" w:eastAsia="bg-BG"/>
              </w:rPr>
            </w:pPr>
            <w:r w:rsidRPr="00C53587">
              <w:rPr>
                <w:rFonts w:eastAsia="Times New Roman"/>
                <w:color w:val="000000"/>
                <w:sz w:val="22"/>
                <w:szCs w:val="20"/>
                <w:lang w:val="bg-BG" w:eastAsia="bg-BG"/>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2017</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2018</w:t>
            </w:r>
          </w:p>
        </w:tc>
        <w:tc>
          <w:tcPr>
            <w:tcW w:w="1107" w:type="dxa"/>
            <w:tcBorders>
              <w:top w:val="single" w:sz="4" w:space="0" w:color="auto"/>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2019</w:t>
            </w:r>
          </w:p>
        </w:tc>
        <w:tc>
          <w:tcPr>
            <w:tcW w:w="1107" w:type="dxa"/>
            <w:tcBorders>
              <w:top w:val="single" w:sz="4" w:space="0" w:color="auto"/>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center"/>
              <w:rPr>
                <w:rFonts w:eastAsia="Times New Roman"/>
                <w:b/>
                <w:bCs/>
                <w:color w:val="000000"/>
                <w:sz w:val="22"/>
                <w:szCs w:val="20"/>
                <w:lang w:val="bg-BG" w:eastAsia="bg-BG"/>
              </w:rPr>
            </w:pPr>
            <w:r w:rsidRPr="00C53587">
              <w:rPr>
                <w:rFonts w:eastAsia="Times New Roman"/>
                <w:b/>
                <w:bCs/>
                <w:color w:val="000000"/>
                <w:sz w:val="22"/>
                <w:szCs w:val="20"/>
                <w:lang w:val="bg-BG" w:eastAsia="bg-BG"/>
              </w:rPr>
              <w:t>2020</w:t>
            </w:r>
          </w:p>
        </w:tc>
      </w:tr>
      <w:tr w:rsidR="00A77283" w:rsidRPr="00860B27" w:rsidTr="00C53587">
        <w:trPr>
          <w:trHeight w:val="398"/>
        </w:trPr>
        <w:tc>
          <w:tcPr>
            <w:tcW w:w="4589" w:type="dxa"/>
            <w:tcBorders>
              <w:top w:val="nil"/>
              <w:left w:val="single" w:sz="4" w:space="0" w:color="auto"/>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left"/>
              <w:rPr>
                <w:rFonts w:eastAsia="Times New Roman"/>
                <w:b/>
                <w:bCs/>
                <w:color w:val="000000"/>
                <w:sz w:val="22"/>
                <w:szCs w:val="20"/>
                <w:lang w:val="bg-BG" w:eastAsia="bg-BG"/>
              </w:rPr>
            </w:pPr>
            <w:r w:rsidRPr="00C53587">
              <w:rPr>
                <w:rFonts w:eastAsia="Times New Roman"/>
                <w:b/>
                <w:bCs/>
                <w:color w:val="000000"/>
                <w:sz w:val="22"/>
                <w:szCs w:val="20"/>
                <w:lang w:val="bg-BG" w:eastAsia="bg-BG"/>
              </w:rPr>
              <w:t>НЕОБХОДИМ РЕСУРС</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13,7</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15,7</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28,0</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28,0</w:t>
            </w:r>
          </w:p>
        </w:tc>
      </w:tr>
      <w:tr w:rsidR="00A77283" w:rsidRPr="00860B27" w:rsidTr="00C53587">
        <w:trPr>
          <w:trHeight w:val="598"/>
        </w:trPr>
        <w:tc>
          <w:tcPr>
            <w:tcW w:w="4589" w:type="dxa"/>
            <w:tcBorders>
              <w:top w:val="nil"/>
              <w:left w:val="single" w:sz="4" w:space="0" w:color="auto"/>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left"/>
              <w:rPr>
                <w:rFonts w:eastAsia="Times New Roman"/>
                <w:b/>
                <w:bCs/>
                <w:color w:val="000000"/>
                <w:sz w:val="22"/>
                <w:szCs w:val="20"/>
                <w:lang w:val="bg-BG" w:eastAsia="bg-BG"/>
              </w:rPr>
            </w:pPr>
            <w:r w:rsidRPr="00C53587">
              <w:rPr>
                <w:rFonts w:eastAsia="Times New Roman"/>
                <w:b/>
                <w:bCs/>
                <w:color w:val="000000"/>
                <w:sz w:val="22"/>
                <w:szCs w:val="20"/>
                <w:lang w:val="bg-BG" w:eastAsia="bg-BG"/>
              </w:rPr>
              <w:t>ФИНАНСОВО ОБЕЗПЕЧАВАНЕ ПО ИЗТОЧНИЦИ, в т. ч.:</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13,7</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15,7</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28,0</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28,0</w:t>
            </w:r>
          </w:p>
        </w:tc>
      </w:tr>
      <w:tr w:rsidR="00A77283" w:rsidRPr="00860B27" w:rsidTr="00C53587">
        <w:trPr>
          <w:trHeight w:val="452"/>
        </w:trPr>
        <w:tc>
          <w:tcPr>
            <w:tcW w:w="4589" w:type="dxa"/>
            <w:tcBorders>
              <w:top w:val="nil"/>
              <w:left w:val="single" w:sz="4" w:space="0" w:color="auto"/>
              <w:bottom w:val="single" w:sz="4" w:space="0" w:color="auto"/>
              <w:right w:val="single" w:sz="4" w:space="0" w:color="auto"/>
            </w:tcBorders>
            <w:shd w:val="clear" w:color="auto" w:fill="auto"/>
            <w:vAlign w:val="center"/>
            <w:hideMark/>
          </w:tcPr>
          <w:p w:rsidR="00A77283" w:rsidRPr="00C53587" w:rsidRDefault="00A77283" w:rsidP="00C53587">
            <w:pPr>
              <w:spacing w:after="0" w:line="240" w:lineRule="auto"/>
              <w:ind w:firstLineChars="200" w:firstLine="440"/>
              <w:jc w:val="left"/>
              <w:rPr>
                <w:rFonts w:eastAsia="Times New Roman"/>
                <w:color w:val="000000"/>
                <w:sz w:val="22"/>
                <w:szCs w:val="20"/>
                <w:lang w:val="bg-BG" w:eastAsia="bg-BG"/>
              </w:rPr>
            </w:pPr>
            <w:r w:rsidRPr="00C53587">
              <w:rPr>
                <w:rFonts w:eastAsia="Times New Roman"/>
                <w:color w:val="000000"/>
                <w:sz w:val="22"/>
                <w:szCs w:val="20"/>
                <w:lang w:val="bg-BG" w:eastAsia="bg-BG"/>
              </w:rPr>
              <w:t>Държавен бюджет</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13,7</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15,7</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8,5</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8,5</w:t>
            </w:r>
          </w:p>
        </w:tc>
      </w:tr>
      <w:tr w:rsidR="00A77283" w:rsidRPr="00860B27" w:rsidTr="00C53587">
        <w:trPr>
          <w:trHeight w:val="398"/>
        </w:trPr>
        <w:tc>
          <w:tcPr>
            <w:tcW w:w="4589" w:type="dxa"/>
            <w:tcBorders>
              <w:top w:val="nil"/>
              <w:left w:val="single" w:sz="4" w:space="0" w:color="auto"/>
              <w:bottom w:val="single" w:sz="4" w:space="0" w:color="auto"/>
              <w:right w:val="single" w:sz="4" w:space="0" w:color="auto"/>
            </w:tcBorders>
            <w:shd w:val="clear" w:color="auto" w:fill="auto"/>
            <w:vAlign w:val="center"/>
            <w:hideMark/>
          </w:tcPr>
          <w:p w:rsidR="00A77283" w:rsidRPr="00C53587" w:rsidRDefault="00A77283" w:rsidP="00C53587">
            <w:pPr>
              <w:spacing w:after="0" w:line="240" w:lineRule="auto"/>
              <w:ind w:firstLineChars="200" w:firstLine="440"/>
              <w:jc w:val="left"/>
              <w:rPr>
                <w:rFonts w:eastAsia="Times New Roman"/>
                <w:color w:val="000000"/>
                <w:sz w:val="22"/>
                <w:szCs w:val="20"/>
                <w:lang w:val="bg-BG" w:eastAsia="bg-BG"/>
              </w:rPr>
            </w:pPr>
            <w:r w:rsidRPr="00C53587">
              <w:rPr>
                <w:rFonts w:eastAsia="Times New Roman"/>
                <w:color w:val="000000"/>
                <w:sz w:val="22"/>
                <w:szCs w:val="20"/>
                <w:lang w:val="bg-BG" w:eastAsia="bg-BG"/>
              </w:rPr>
              <w:t xml:space="preserve">Вноски от земеделските стопани </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0,</w:t>
            </w:r>
            <w:proofErr w:type="spellStart"/>
            <w:r w:rsidRPr="00C53587">
              <w:rPr>
                <w:rFonts w:eastAsia="Times New Roman"/>
                <w:color w:val="000000"/>
                <w:sz w:val="22"/>
                <w:szCs w:val="20"/>
                <w:lang w:val="bg-BG" w:eastAsia="bg-BG"/>
              </w:rPr>
              <w:t>0</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0,</w:t>
            </w:r>
            <w:proofErr w:type="spellStart"/>
            <w:r w:rsidRPr="00C53587">
              <w:rPr>
                <w:rFonts w:eastAsia="Times New Roman"/>
                <w:color w:val="000000"/>
                <w:sz w:val="22"/>
                <w:szCs w:val="20"/>
                <w:lang w:val="bg-BG" w:eastAsia="bg-BG"/>
              </w:rPr>
              <w:t>0</w:t>
            </w:r>
            <w:proofErr w:type="spellEnd"/>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13,5</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13,5</w:t>
            </w:r>
          </w:p>
        </w:tc>
      </w:tr>
      <w:tr w:rsidR="00A77283" w:rsidRPr="00860B27" w:rsidTr="00C53587">
        <w:trPr>
          <w:trHeight w:val="440"/>
        </w:trPr>
        <w:tc>
          <w:tcPr>
            <w:tcW w:w="4589" w:type="dxa"/>
            <w:tcBorders>
              <w:top w:val="nil"/>
              <w:left w:val="single" w:sz="4" w:space="0" w:color="auto"/>
              <w:bottom w:val="single" w:sz="4" w:space="0" w:color="auto"/>
              <w:right w:val="single" w:sz="4" w:space="0" w:color="auto"/>
            </w:tcBorders>
            <w:shd w:val="clear" w:color="auto" w:fill="auto"/>
            <w:vAlign w:val="center"/>
            <w:hideMark/>
          </w:tcPr>
          <w:p w:rsidR="00A77283" w:rsidRPr="00C53587" w:rsidRDefault="00A77283" w:rsidP="00C53587">
            <w:pPr>
              <w:spacing w:after="0" w:line="240" w:lineRule="auto"/>
              <w:ind w:firstLineChars="200" w:firstLine="440"/>
              <w:jc w:val="left"/>
              <w:rPr>
                <w:rFonts w:eastAsia="Times New Roman"/>
                <w:color w:val="000000"/>
                <w:sz w:val="22"/>
                <w:szCs w:val="20"/>
                <w:lang w:val="bg-BG" w:eastAsia="bg-BG"/>
              </w:rPr>
            </w:pPr>
            <w:r w:rsidRPr="00C53587">
              <w:rPr>
                <w:rFonts w:eastAsia="Times New Roman"/>
                <w:color w:val="000000"/>
                <w:sz w:val="22"/>
                <w:szCs w:val="20"/>
                <w:lang w:val="bg-BG" w:eastAsia="bg-BG"/>
              </w:rPr>
              <w:t xml:space="preserve">Вноски от застрахователните компании </w:t>
            </w:r>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0,</w:t>
            </w:r>
            <w:proofErr w:type="spellStart"/>
            <w:r w:rsidRPr="00C53587">
              <w:rPr>
                <w:rFonts w:eastAsia="Times New Roman"/>
                <w:color w:val="000000"/>
                <w:sz w:val="22"/>
                <w:szCs w:val="20"/>
                <w:lang w:val="bg-BG" w:eastAsia="bg-BG"/>
              </w:rPr>
              <w:t>0</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0,</w:t>
            </w:r>
            <w:proofErr w:type="spellStart"/>
            <w:r w:rsidRPr="00C53587">
              <w:rPr>
                <w:rFonts w:eastAsia="Times New Roman"/>
                <w:color w:val="000000"/>
                <w:sz w:val="22"/>
                <w:szCs w:val="20"/>
                <w:lang w:val="bg-BG" w:eastAsia="bg-BG"/>
              </w:rPr>
              <w:t>0</w:t>
            </w:r>
            <w:proofErr w:type="spellEnd"/>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6,0</w:t>
            </w:r>
          </w:p>
        </w:tc>
        <w:tc>
          <w:tcPr>
            <w:tcW w:w="1107" w:type="dxa"/>
            <w:tcBorders>
              <w:top w:val="nil"/>
              <w:left w:val="nil"/>
              <w:bottom w:val="single" w:sz="4" w:space="0" w:color="auto"/>
              <w:right w:val="single" w:sz="4" w:space="0" w:color="auto"/>
            </w:tcBorders>
            <w:shd w:val="clear" w:color="000000" w:fill="E4DFEC"/>
            <w:vAlign w:val="center"/>
            <w:hideMark/>
          </w:tcPr>
          <w:p w:rsidR="00A77283" w:rsidRPr="00C53587" w:rsidRDefault="00A77283" w:rsidP="00A77283">
            <w:pPr>
              <w:spacing w:after="0" w:line="240" w:lineRule="auto"/>
              <w:jc w:val="right"/>
              <w:rPr>
                <w:rFonts w:eastAsia="Times New Roman"/>
                <w:color w:val="000000"/>
                <w:sz w:val="22"/>
                <w:szCs w:val="20"/>
                <w:lang w:val="bg-BG" w:eastAsia="bg-BG"/>
              </w:rPr>
            </w:pPr>
            <w:r w:rsidRPr="00C53587">
              <w:rPr>
                <w:rFonts w:eastAsia="Times New Roman"/>
                <w:color w:val="000000"/>
                <w:sz w:val="22"/>
                <w:szCs w:val="20"/>
                <w:lang w:val="bg-BG" w:eastAsia="bg-BG"/>
              </w:rPr>
              <w:t>6,0</w:t>
            </w:r>
          </w:p>
        </w:tc>
      </w:tr>
    </w:tbl>
    <w:p w:rsidR="00A77283" w:rsidRDefault="00A77283" w:rsidP="00AE6BC2">
      <w:pPr>
        <w:rPr>
          <w:sz w:val="18"/>
          <w:szCs w:val="18"/>
        </w:rPr>
      </w:pPr>
    </w:p>
    <w:p w:rsidR="00AE6BC2" w:rsidRPr="00EA7BE6" w:rsidRDefault="00AE6BC2" w:rsidP="00AE6BC2">
      <w:pPr>
        <w:rPr>
          <w:sz w:val="22"/>
          <w:lang w:val="bg-BG"/>
        </w:rPr>
      </w:pPr>
      <w:r w:rsidRPr="00EA7BE6">
        <w:rPr>
          <w:sz w:val="22"/>
          <w:lang w:val="bg-BG"/>
        </w:rPr>
        <w:lastRenderedPageBreak/>
        <w:t xml:space="preserve">Участието на застрахователния сектор във финансирането на системата за противоградова защита има своите основания, въпреки че делът на селскостопанското застраховане в общия застрахователен пазар на страната е незначителен – под 1%. Защитата на почти цялата територия на страната, включваща и самолетен способ, гарантира превенция срещу градушки и върху урбанизираните територии, което би понижило съществено риска от поражения от градушки и съответно размера на изплащаните от застрахователни компании обезщетения. Така, като основа за определяне на размера на привлечените от застрахователния сектор средства може да бъде заложен процент от премийния приход на застрахователните компании по застраховки </w:t>
      </w:r>
      <w:r w:rsidRPr="00EA7BE6">
        <w:rPr>
          <w:bCs/>
          <w:sz w:val="22"/>
          <w:lang w:val="bg-BG"/>
        </w:rPr>
        <w:t>по класове „Сухопътни превозни средства (без релсови превозни средства)“, „Пожар и природни бедствия“ и „Щети по имущество“.</w:t>
      </w:r>
    </w:p>
    <w:p w:rsidR="00C14C40" w:rsidRPr="00EA7BE6" w:rsidRDefault="00061BD0" w:rsidP="006B3BB7">
      <w:pPr>
        <w:pStyle w:val="Heading2"/>
        <w:spacing w:before="240" w:after="120"/>
        <w:rPr>
          <w:rFonts w:cs="Times New Roman"/>
          <w:sz w:val="22"/>
          <w:szCs w:val="22"/>
          <w:lang w:val="bg-BG"/>
        </w:rPr>
      </w:pPr>
      <w:bookmarkStart w:id="19" w:name="_Toc496709954"/>
      <w:r w:rsidRPr="00EA7BE6">
        <w:rPr>
          <w:rFonts w:cs="Times New Roman"/>
          <w:sz w:val="22"/>
          <w:szCs w:val="22"/>
          <w:lang w:val="bg-BG"/>
        </w:rPr>
        <w:t xml:space="preserve">V.3. </w:t>
      </w:r>
      <w:r w:rsidR="00C14C40" w:rsidRPr="00EA7BE6">
        <w:rPr>
          <w:rFonts w:cs="Times New Roman"/>
          <w:sz w:val="22"/>
          <w:szCs w:val="22"/>
          <w:lang w:val="bg-BG"/>
        </w:rPr>
        <w:t xml:space="preserve">Вариант </w:t>
      </w:r>
      <w:r w:rsidR="00E95FCD" w:rsidRPr="00EA7BE6">
        <w:rPr>
          <w:rFonts w:cs="Times New Roman"/>
          <w:sz w:val="22"/>
          <w:szCs w:val="22"/>
          <w:lang w:val="bg-BG"/>
        </w:rPr>
        <w:t xml:space="preserve">3: </w:t>
      </w:r>
      <w:bookmarkEnd w:id="19"/>
      <w:r w:rsidR="002D07F8" w:rsidRPr="00EA7BE6">
        <w:rPr>
          <w:rFonts w:cs="Times New Roman"/>
          <w:sz w:val="22"/>
          <w:szCs w:val="22"/>
          <w:lang w:val="bg-BG"/>
        </w:rPr>
        <w:t xml:space="preserve">Промяна на съществуващата </w:t>
      </w:r>
      <w:r w:rsidR="003B457A" w:rsidRPr="00EA7BE6">
        <w:rPr>
          <w:rFonts w:cs="Times New Roman"/>
          <w:sz w:val="22"/>
          <w:szCs w:val="22"/>
          <w:lang w:val="bg-BG"/>
        </w:rPr>
        <w:t xml:space="preserve">подзаконова </w:t>
      </w:r>
      <w:r w:rsidR="002D07F8" w:rsidRPr="00EA7BE6">
        <w:rPr>
          <w:rFonts w:cs="Times New Roman"/>
          <w:sz w:val="22"/>
          <w:szCs w:val="22"/>
          <w:lang w:val="bg-BG"/>
        </w:rPr>
        <w:t>нормативна уредба при запазване на сегашния статут</w:t>
      </w:r>
    </w:p>
    <w:p w:rsidR="003B457A" w:rsidRPr="00EA7BE6" w:rsidRDefault="003B457A" w:rsidP="003B457A">
      <w:pPr>
        <w:spacing w:after="120"/>
        <w:rPr>
          <w:sz w:val="22"/>
          <w:lang w:val="bg-BG"/>
        </w:rPr>
      </w:pPr>
      <w:r w:rsidRPr="00EA7BE6">
        <w:rPr>
          <w:sz w:val="22"/>
          <w:lang w:val="bg-BG"/>
        </w:rPr>
        <w:t xml:space="preserve">При реализиране на вариант „Промяна на съществуващата нормативна уредба при запазване на сегашния статут“ ще бъдат предприети действия по изменение на съществуващата подзаконова нормативната уредба, свързана с </w:t>
      </w:r>
      <w:r w:rsidRPr="00EA7BE6">
        <w:rPr>
          <w:bCs/>
          <w:sz w:val="22"/>
          <w:lang w:val="bg-BG"/>
        </w:rPr>
        <w:t>превенцията от неблагоприятни климатични събития в земеделието.</w:t>
      </w:r>
      <w:r w:rsidRPr="00EA7BE6">
        <w:rPr>
          <w:sz w:val="22"/>
          <w:lang w:val="bg-BG"/>
        </w:rPr>
        <w:t xml:space="preserve"> </w:t>
      </w:r>
    </w:p>
    <w:p w:rsidR="003B457A" w:rsidRPr="00EA7BE6" w:rsidRDefault="007460E5" w:rsidP="003B457A">
      <w:pPr>
        <w:spacing w:after="120"/>
        <w:rPr>
          <w:sz w:val="22"/>
          <w:lang w:val="bg-BG"/>
        </w:rPr>
      </w:pPr>
      <w:r w:rsidRPr="00EA7BE6">
        <w:rPr>
          <w:sz w:val="22"/>
          <w:lang w:val="bg-BG"/>
        </w:rPr>
        <w:t>При този вариант на действие ще продължи да съществува Изпълнителна агенция „Борба с градушките“ и изградената до момента</w:t>
      </w:r>
      <w:r w:rsidR="003B457A" w:rsidRPr="00A77283">
        <w:rPr>
          <w:sz w:val="22"/>
          <w:lang w:val="ru-RU"/>
        </w:rPr>
        <w:t xml:space="preserve"> </w:t>
      </w:r>
      <w:r w:rsidRPr="00EA7BE6">
        <w:rPr>
          <w:sz w:val="22"/>
          <w:lang w:val="bg-BG"/>
        </w:rPr>
        <w:t>с</w:t>
      </w:r>
      <w:r w:rsidR="003B457A" w:rsidRPr="00EA7BE6">
        <w:rPr>
          <w:sz w:val="22"/>
          <w:lang w:val="bg-BG"/>
        </w:rPr>
        <w:t xml:space="preserve">истемата </w:t>
      </w:r>
      <w:r w:rsidRPr="00EA7BE6">
        <w:rPr>
          <w:sz w:val="22"/>
          <w:lang w:val="bg-BG"/>
        </w:rPr>
        <w:t xml:space="preserve">за противоградова защита, която </w:t>
      </w:r>
      <w:r w:rsidR="003B457A" w:rsidRPr="00EA7BE6">
        <w:rPr>
          <w:sz w:val="22"/>
          <w:lang w:val="bg-BG"/>
        </w:rPr>
        <w:t>покрива само около 1/3 от обработваемата земя в страната</w:t>
      </w:r>
      <w:r w:rsidRPr="00EA7BE6">
        <w:rPr>
          <w:sz w:val="22"/>
          <w:lang w:val="bg-BG"/>
        </w:rPr>
        <w:t>, а именно 10,6 млн. дка</w:t>
      </w:r>
      <w:r w:rsidR="003B457A" w:rsidRPr="00EA7BE6">
        <w:rPr>
          <w:sz w:val="22"/>
          <w:lang w:val="bg-BG"/>
        </w:rPr>
        <w:t xml:space="preserve"> и се финансира единствено със средства от държавния бюджет.</w:t>
      </w:r>
      <w:r w:rsidRPr="00EA7BE6">
        <w:rPr>
          <w:sz w:val="22"/>
          <w:lang w:val="bg-BG"/>
        </w:rPr>
        <w:t xml:space="preserve"> </w:t>
      </w:r>
      <w:r w:rsidR="003B457A" w:rsidRPr="00EA7BE6">
        <w:rPr>
          <w:sz w:val="22"/>
          <w:lang w:val="bg-BG"/>
        </w:rPr>
        <w:t xml:space="preserve"> </w:t>
      </w:r>
    </w:p>
    <w:p w:rsidR="003B457A" w:rsidRPr="00EA7BE6" w:rsidRDefault="003B457A" w:rsidP="003B457A">
      <w:pPr>
        <w:spacing w:after="120"/>
        <w:rPr>
          <w:sz w:val="22"/>
          <w:lang w:val="bg-BG"/>
        </w:rPr>
      </w:pPr>
      <w:r w:rsidRPr="00EA7BE6">
        <w:rPr>
          <w:sz w:val="22"/>
          <w:lang w:val="bg-BG"/>
        </w:rPr>
        <w:t xml:space="preserve">За нуждите на противоградовата защита към осемте регионални дирекции на Изпълнителната агенция „Борба с градушките“ са изградени девет командни пункта с 200 ракетни площадки. Защитата </w:t>
      </w:r>
      <w:r w:rsidR="007460E5" w:rsidRPr="00EA7BE6">
        <w:rPr>
          <w:sz w:val="22"/>
          <w:lang w:val="bg-BG"/>
        </w:rPr>
        <w:t xml:space="preserve">ще продължи да се </w:t>
      </w:r>
      <w:r w:rsidRPr="00EA7BE6">
        <w:rPr>
          <w:sz w:val="22"/>
          <w:lang w:val="bg-BG"/>
        </w:rPr>
        <w:t xml:space="preserve">осъществява с ракети, доставящи реагент сребърен </w:t>
      </w:r>
      <w:proofErr w:type="spellStart"/>
      <w:r w:rsidRPr="00EA7BE6">
        <w:rPr>
          <w:sz w:val="22"/>
          <w:lang w:val="bg-BG"/>
        </w:rPr>
        <w:t>йодит</w:t>
      </w:r>
      <w:proofErr w:type="spellEnd"/>
      <w:r w:rsidRPr="00EA7BE6">
        <w:rPr>
          <w:sz w:val="22"/>
          <w:lang w:val="bg-BG"/>
        </w:rPr>
        <w:t xml:space="preserve"> в облаците.</w:t>
      </w:r>
      <w:r w:rsidR="007460E5" w:rsidRPr="00EA7BE6">
        <w:rPr>
          <w:sz w:val="22"/>
          <w:lang w:val="bg-BG"/>
        </w:rPr>
        <w:t xml:space="preserve"> </w:t>
      </w:r>
    </w:p>
    <w:p w:rsidR="003B457A" w:rsidRPr="00EA7BE6" w:rsidRDefault="007460E5" w:rsidP="007460E5">
      <w:pPr>
        <w:spacing w:after="120"/>
        <w:rPr>
          <w:sz w:val="22"/>
          <w:lang w:val="bg-BG"/>
        </w:rPr>
      </w:pPr>
      <w:r w:rsidRPr="00EA7BE6">
        <w:rPr>
          <w:sz w:val="22"/>
          <w:lang w:val="bg-BG"/>
        </w:rPr>
        <w:t xml:space="preserve">При този вариант на действие ще са налице затруднения за разширяване на обхвата на покриваните с ракетния способ територии. Това се обосновава от факта, че за всяко разширяване на обхвата е необходимо да бъде изградена отделна ракетна площадка, съответно да бъдат назначени допълнителни служители. Към настоящия момент около 70% от персонала на Изпълнителна агенция „Борба с градушките“ са </w:t>
      </w:r>
      <w:proofErr w:type="spellStart"/>
      <w:r w:rsidRPr="00EA7BE6">
        <w:rPr>
          <w:sz w:val="22"/>
          <w:lang w:val="bg-BG"/>
        </w:rPr>
        <w:t>ракетострелци</w:t>
      </w:r>
      <w:proofErr w:type="spellEnd"/>
      <w:r w:rsidRPr="00EA7BE6">
        <w:rPr>
          <w:sz w:val="22"/>
          <w:lang w:val="bg-BG"/>
        </w:rPr>
        <w:t>, като за обслужването на една ракетна площадка са необходими трима души. С</w:t>
      </w:r>
      <w:r w:rsidR="00E100AB" w:rsidRPr="00EA7BE6">
        <w:rPr>
          <w:sz w:val="22"/>
          <w:lang w:val="bg-BG"/>
        </w:rPr>
        <w:t>ъгласно</w:t>
      </w:r>
      <w:r w:rsidRPr="00EA7BE6">
        <w:rPr>
          <w:sz w:val="22"/>
          <w:lang w:val="bg-BG"/>
        </w:rPr>
        <w:t xml:space="preserve"> разпоредб</w:t>
      </w:r>
      <w:r w:rsidR="00E100AB" w:rsidRPr="00EA7BE6">
        <w:rPr>
          <w:sz w:val="22"/>
          <w:lang w:val="bg-BG"/>
        </w:rPr>
        <w:t>ите</w:t>
      </w:r>
      <w:r w:rsidRPr="00EA7BE6">
        <w:rPr>
          <w:sz w:val="22"/>
          <w:lang w:val="bg-BG"/>
        </w:rPr>
        <w:t xml:space="preserve"> на § 16 от Преходните и заключителни разпоредби към Закона за изменение и допълнение на Закона за администрацията (ДВ, бр. 15 от 2012 г.) общата численост на персонала на администрацията на изпълнителната власт, установена в съответните устройствени актове</w:t>
      </w:r>
      <w:r w:rsidR="000F2C26">
        <w:rPr>
          <w:sz w:val="22"/>
          <w:lang w:val="bg-BG"/>
        </w:rPr>
        <w:t>,</w:t>
      </w:r>
      <w:r w:rsidRPr="00EA7BE6">
        <w:rPr>
          <w:sz w:val="22"/>
          <w:lang w:val="bg-BG"/>
        </w:rPr>
        <w:t xml:space="preserve"> не може да бъде увеличавана.</w:t>
      </w:r>
      <w:r w:rsidR="004472A2" w:rsidRPr="00EA7BE6">
        <w:rPr>
          <w:sz w:val="22"/>
          <w:lang w:val="bg-BG"/>
        </w:rPr>
        <w:t xml:space="preserve"> </w:t>
      </w:r>
      <w:r w:rsidR="00250AB3" w:rsidRPr="00EA7BE6">
        <w:rPr>
          <w:sz w:val="22"/>
          <w:lang w:val="bg-BG"/>
        </w:rPr>
        <w:t>Министерският съвет съобразно своите правомощия може да извършва компенсирани промени в рамките на числеността на персонала по предложение на първостепенните разпоредители с бюджет след предварително съгласуване с администрацията на Министерския съвет.</w:t>
      </w:r>
      <w:r w:rsidR="00E100AB" w:rsidRPr="00EA7BE6">
        <w:rPr>
          <w:sz w:val="22"/>
          <w:lang w:val="bg-BG"/>
        </w:rPr>
        <w:t xml:space="preserve"> С оглед гореизложеното всяко увеличение на обхвата на системата за градозащита ще бъде извършено чрез компенсирани промени в структурите на Министерството на земеделието, храните и горите. Това от своя страна ще доведе до физически ограничения за възможностите за разширяване на обхвата на противоградовата система и до съответни промени в други структури на министерството.</w:t>
      </w:r>
    </w:p>
    <w:p w:rsidR="003B457A" w:rsidRPr="00EA7BE6" w:rsidRDefault="000F2C26" w:rsidP="003B457A">
      <w:pPr>
        <w:spacing w:after="120"/>
        <w:rPr>
          <w:sz w:val="22"/>
          <w:lang w:val="bg-BG"/>
        </w:rPr>
      </w:pPr>
      <w:r>
        <w:rPr>
          <w:sz w:val="22"/>
          <w:lang w:val="bg-BG"/>
        </w:rPr>
        <w:t>С р</w:t>
      </w:r>
      <w:r w:rsidR="00E100AB" w:rsidRPr="00EA7BE6">
        <w:rPr>
          <w:sz w:val="22"/>
          <w:lang w:val="bg-BG"/>
        </w:rPr>
        <w:t>еализира</w:t>
      </w:r>
      <w:r>
        <w:rPr>
          <w:sz w:val="22"/>
          <w:lang w:val="bg-BG"/>
        </w:rPr>
        <w:t>не на</w:t>
      </w:r>
      <w:r w:rsidR="00E100AB" w:rsidRPr="00EA7BE6">
        <w:rPr>
          <w:sz w:val="22"/>
          <w:lang w:val="bg-BG"/>
        </w:rPr>
        <w:t xml:space="preserve"> вариант „Промяна на съществуващата нормативна уредба при запазване на сегашния статут“ ще се наблюдава частично увелич</w:t>
      </w:r>
      <w:r w:rsidR="00EC79FD" w:rsidRPr="00EA7BE6">
        <w:rPr>
          <w:sz w:val="22"/>
          <w:lang w:val="bg-BG"/>
        </w:rPr>
        <w:t>аване на</w:t>
      </w:r>
      <w:r w:rsidR="00E100AB" w:rsidRPr="00EA7BE6">
        <w:rPr>
          <w:sz w:val="22"/>
          <w:lang w:val="bg-BG"/>
        </w:rPr>
        <w:t xml:space="preserve"> защитаваната </w:t>
      </w:r>
      <w:r w:rsidR="003B457A" w:rsidRPr="00EA7BE6">
        <w:rPr>
          <w:sz w:val="22"/>
          <w:lang w:val="bg-BG"/>
        </w:rPr>
        <w:t>от градушки и други неблагоприятни климатични събития в земеделието</w:t>
      </w:r>
      <w:r w:rsidR="00E100AB" w:rsidRPr="00EA7BE6">
        <w:rPr>
          <w:sz w:val="22"/>
          <w:lang w:val="bg-BG"/>
        </w:rPr>
        <w:t xml:space="preserve"> територия на страната, но няма да бъде възможно покриването на цялата територия на страната само с ракетен способ. От друга страна</w:t>
      </w:r>
      <w:r w:rsidR="00EC79FD" w:rsidRPr="00EA7BE6">
        <w:rPr>
          <w:sz w:val="22"/>
          <w:lang w:val="bg-BG"/>
        </w:rPr>
        <w:t>,</w:t>
      </w:r>
      <w:r w:rsidR="00E100AB" w:rsidRPr="00EA7BE6">
        <w:rPr>
          <w:sz w:val="22"/>
          <w:lang w:val="bg-BG"/>
        </w:rPr>
        <w:t xml:space="preserve"> ограниченият бюджет на агенцията </w:t>
      </w:r>
      <w:r w:rsidR="00EC79FD" w:rsidRPr="00EA7BE6">
        <w:rPr>
          <w:sz w:val="22"/>
          <w:lang w:val="bg-BG"/>
        </w:rPr>
        <w:t>(при финансиране само от държавния бюджет) няма да позволява развитието на инвестиционна програма, която да позволи използването на други способи за превенция от неблагоприятни климатични събития в земеделието като самолетния способ и изкуственото преразпределение на валежите</w:t>
      </w:r>
      <w:r w:rsidR="003B457A" w:rsidRPr="00EA7BE6">
        <w:rPr>
          <w:sz w:val="22"/>
          <w:lang w:val="bg-BG"/>
        </w:rPr>
        <w:t xml:space="preserve">. </w:t>
      </w:r>
    </w:p>
    <w:p w:rsidR="00B568F2" w:rsidRPr="00EA7BE6" w:rsidRDefault="009C25BF" w:rsidP="006B3BB7">
      <w:pPr>
        <w:pStyle w:val="Heading1"/>
        <w:spacing w:after="120"/>
        <w:rPr>
          <w:rFonts w:eastAsia="Times New Roman" w:cs="Times New Roman"/>
          <w:sz w:val="22"/>
          <w:szCs w:val="22"/>
          <w:lang w:val="bg-BG"/>
        </w:rPr>
      </w:pPr>
      <w:bookmarkStart w:id="20" w:name="_Toc496709955"/>
      <w:r w:rsidRPr="00EA7BE6">
        <w:rPr>
          <w:rFonts w:eastAsia="Times New Roman" w:cs="Times New Roman"/>
          <w:sz w:val="22"/>
          <w:szCs w:val="22"/>
          <w:lang w:val="bg-BG"/>
        </w:rPr>
        <w:lastRenderedPageBreak/>
        <w:t xml:space="preserve">VI. </w:t>
      </w:r>
      <w:r w:rsidR="007E512E" w:rsidRPr="00EA7BE6">
        <w:rPr>
          <w:rFonts w:eastAsia="Times New Roman" w:cs="Times New Roman"/>
          <w:sz w:val="22"/>
          <w:szCs w:val="22"/>
          <w:lang w:val="bg-BG"/>
        </w:rPr>
        <w:t xml:space="preserve">Количествено </w:t>
      </w:r>
      <w:r w:rsidRPr="00EA7BE6">
        <w:rPr>
          <w:rFonts w:eastAsia="Times New Roman" w:cs="Times New Roman"/>
          <w:sz w:val="22"/>
          <w:szCs w:val="22"/>
          <w:lang w:val="bg-BG"/>
        </w:rPr>
        <w:t>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bookmarkEnd w:id="20"/>
    </w:p>
    <w:p w:rsidR="009C25BF" w:rsidRPr="00EA7BE6" w:rsidRDefault="009C25BF" w:rsidP="006B3BB7">
      <w:pPr>
        <w:pStyle w:val="Heading2"/>
        <w:spacing w:before="240" w:after="120"/>
        <w:rPr>
          <w:rFonts w:eastAsia="Times New Roman" w:cs="Times New Roman"/>
          <w:sz w:val="22"/>
          <w:szCs w:val="22"/>
          <w:lang w:val="bg-BG"/>
        </w:rPr>
      </w:pPr>
      <w:bookmarkStart w:id="21" w:name="_Toc496709956"/>
      <w:r w:rsidRPr="00EA7BE6">
        <w:rPr>
          <w:rFonts w:eastAsia="Times New Roman" w:cs="Times New Roman"/>
          <w:sz w:val="22"/>
          <w:szCs w:val="22"/>
          <w:lang w:val="bg-BG"/>
        </w:rPr>
        <w:t>VI.1.</w:t>
      </w:r>
      <w:r w:rsidR="00DD001A" w:rsidRPr="00EA7BE6">
        <w:rPr>
          <w:rFonts w:eastAsia="Times New Roman" w:cs="Times New Roman"/>
          <w:sz w:val="22"/>
          <w:szCs w:val="22"/>
          <w:lang w:val="bg-BG"/>
        </w:rPr>
        <w:t xml:space="preserve"> Вариант 1: Без действие</w:t>
      </w:r>
      <w:bookmarkEnd w:id="21"/>
    </w:p>
    <w:p w:rsidR="001D6AFB" w:rsidRPr="00EA7BE6" w:rsidRDefault="00DD001A" w:rsidP="001D6AFB">
      <w:pPr>
        <w:spacing w:after="120"/>
        <w:rPr>
          <w:rFonts w:eastAsia="Times New Roman"/>
          <w:sz w:val="22"/>
          <w:lang w:val="bg-BG"/>
        </w:rPr>
      </w:pPr>
      <w:r w:rsidRPr="00EA7BE6">
        <w:rPr>
          <w:rFonts w:eastAsia="Times New Roman"/>
          <w:sz w:val="22"/>
          <w:lang w:val="bg-BG"/>
        </w:rPr>
        <w:t>При използване на този вариант н</w:t>
      </w:r>
      <w:r w:rsidR="004D741D" w:rsidRPr="00EA7BE6">
        <w:rPr>
          <w:rFonts w:eastAsia="Times New Roman"/>
          <w:sz w:val="22"/>
          <w:lang w:val="bg-BG"/>
        </w:rPr>
        <w:t xml:space="preserve">яма да бъде приет Закон за превенция от неблагоприятните климатични събития в земеделието и няма да бъдат предприети действия по изменение в съпътстващата го нормативна уредба. </w:t>
      </w:r>
      <w:bookmarkStart w:id="22" w:name="_Toc496709957"/>
    </w:p>
    <w:p w:rsidR="001D6AFB" w:rsidRPr="00EA7BE6" w:rsidRDefault="001D6AFB" w:rsidP="001D6AFB">
      <w:pPr>
        <w:spacing w:after="120"/>
        <w:rPr>
          <w:rFonts w:eastAsia="Times New Roman"/>
          <w:sz w:val="22"/>
          <w:lang w:val="bg-BG"/>
        </w:rPr>
      </w:pPr>
      <w:r w:rsidRPr="00EA7BE6">
        <w:rPr>
          <w:rFonts w:eastAsia="Times New Roman"/>
          <w:sz w:val="22"/>
          <w:lang w:val="bg-BG"/>
        </w:rPr>
        <w:t xml:space="preserve">В този случай, градозащитата ще продължи да се осъществява на 1/3 от територията на страната. Полза от превенцията имат само тези земеделски стопани, чиито обработваеми земи и трайни насаждения се намират в обхвата на настоящата ракетна защита. Останалите производители, земеделските площи на които не подадат в този обхват, ще продължават да търпят загуби от прояви на градушки. </w:t>
      </w:r>
    </w:p>
    <w:p w:rsidR="001D6AFB" w:rsidRPr="00EA7BE6" w:rsidRDefault="001D6AFB" w:rsidP="001D6AFB">
      <w:pPr>
        <w:spacing w:after="120"/>
        <w:rPr>
          <w:rFonts w:eastAsia="Times New Roman"/>
          <w:sz w:val="22"/>
          <w:lang w:val="bg-BG"/>
        </w:rPr>
      </w:pPr>
      <w:r w:rsidRPr="00EA7BE6">
        <w:rPr>
          <w:rFonts w:eastAsia="Times New Roman"/>
          <w:sz w:val="22"/>
          <w:lang w:val="bg-BG"/>
        </w:rPr>
        <w:t>За държавата няма идентифицирани положителни въздействия от запазването на статуквото.</w:t>
      </w:r>
    </w:p>
    <w:p w:rsidR="001D6AFB" w:rsidRPr="00EA7BE6" w:rsidRDefault="001D6AFB" w:rsidP="001D6AFB">
      <w:pPr>
        <w:spacing w:after="120"/>
        <w:rPr>
          <w:rFonts w:eastAsia="Times New Roman"/>
          <w:sz w:val="22"/>
          <w:lang w:val="bg-BG"/>
        </w:rPr>
      </w:pPr>
      <w:r w:rsidRPr="00EA7BE6">
        <w:rPr>
          <w:rFonts w:eastAsia="Times New Roman"/>
          <w:sz w:val="22"/>
          <w:lang w:val="bg-BG"/>
        </w:rPr>
        <w:t>Застрахователните компании няма да разходват средства за вноски за превенция от градозащита.</w:t>
      </w:r>
    </w:p>
    <w:p w:rsidR="009C25BF" w:rsidRPr="00A77283" w:rsidRDefault="009C25BF" w:rsidP="008011C1">
      <w:pPr>
        <w:pStyle w:val="Heading2"/>
        <w:spacing w:before="240" w:after="120"/>
        <w:rPr>
          <w:rFonts w:eastAsia="Times New Roman" w:cs="Times New Roman"/>
          <w:sz w:val="22"/>
          <w:szCs w:val="22"/>
          <w:lang w:val="ru-RU"/>
        </w:rPr>
      </w:pPr>
      <w:r w:rsidRPr="00EA7BE6">
        <w:rPr>
          <w:rFonts w:eastAsia="Times New Roman" w:cs="Times New Roman"/>
          <w:sz w:val="22"/>
          <w:szCs w:val="22"/>
          <w:lang w:val="bg-BG"/>
        </w:rPr>
        <w:t>VI.2.</w:t>
      </w:r>
      <w:r w:rsidR="00DD001A" w:rsidRPr="00EA7BE6">
        <w:rPr>
          <w:rFonts w:eastAsia="Times New Roman" w:cs="Times New Roman"/>
          <w:sz w:val="22"/>
          <w:szCs w:val="22"/>
          <w:lang w:val="bg-BG"/>
        </w:rPr>
        <w:t xml:space="preserve"> Вариант 2: </w:t>
      </w:r>
      <w:bookmarkEnd w:id="22"/>
      <w:r w:rsidR="00D5567E" w:rsidRPr="00EA7BE6">
        <w:rPr>
          <w:rFonts w:eastAsia="Times New Roman" w:cs="Times New Roman"/>
          <w:sz w:val="22"/>
          <w:szCs w:val="22"/>
          <w:lang w:val="bg-BG"/>
        </w:rPr>
        <w:t>Приемане на проект на Закон за превенция от неблагоприятни климатични събития в земеделието</w:t>
      </w:r>
    </w:p>
    <w:p w:rsidR="00144A21" w:rsidRPr="00EA7BE6" w:rsidRDefault="00144A21" w:rsidP="00144A21">
      <w:pPr>
        <w:rPr>
          <w:sz w:val="22"/>
          <w:lang w:val="bg-BG"/>
        </w:rPr>
      </w:pPr>
      <w:r w:rsidRPr="00EA7BE6">
        <w:rPr>
          <w:sz w:val="22"/>
          <w:lang w:val="bg-BG"/>
        </w:rPr>
        <w:t xml:space="preserve">Основният ефект от осъществяване на предвидените в проекта на Закон за превенция от неблагоприятни климатични събития в земеделието дейности по превенция е предотвратяването на щети върху земеделската продукция и имущество, които биха довели до значителни загуби за земеделските стопани, аграрния отрасъл и икономиката на страната. </w:t>
      </w:r>
    </w:p>
    <w:p w:rsidR="00144A21" w:rsidRPr="00EA7BE6" w:rsidRDefault="00144A21" w:rsidP="00144A21">
      <w:pPr>
        <w:rPr>
          <w:sz w:val="22"/>
          <w:lang w:val="bg-BG"/>
        </w:rPr>
      </w:pPr>
      <w:r w:rsidRPr="00EA7BE6">
        <w:rPr>
          <w:sz w:val="22"/>
          <w:lang w:val="bg-BG"/>
        </w:rPr>
        <w:t>Чрез разширяването на градозащитата и прилагането на самолетния способ ще се осигури опазване на имущество и в урбанизираните територии.</w:t>
      </w:r>
    </w:p>
    <w:p w:rsidR="00144A21" w:rsidRPr="00EA7BE6" w:rsidRDefault="00144A21" w:rsidP="00144A21">
      <w:pPr>
        <w:rPr>
          <w:sz w:val="22"/>
          <w:lang w:val="bg-BG"/>
        </w:rPr>
      </w:pPr>
      <w:r w:rsidRPr="00EA7BE6">
        <w:rPr>
          <w:sz w:val="22"/>
          <w:lang w:val="bg-BG"/>
        </w:rPr>
        <w:t xml:space="preserve">По данни на Изпълнителната агенция „Борба с градушките“ за последните пет години като резултат от проведените въздействия средногодишно се опазва земеделска продукция на стойност около 88 млн. лева средногодишно при защитавана около 1/3 от </w:t>
      </w:r>
      <w:r w:rsidR="004F0023" w:rsidRPr="00EA7BE6">
        <w:rPr>
          <w:sz w:val="22"/>
          <w:lang w:val="bg-BG"/>
        </w:rPr>
        <w:t xml:space="preserve">обработваемата площ в страната – </w:t>
      </w:r>
      <w:r w:rsidRPr="00EA7BE6">
        <w:rPr>
          <w:sz w:val="22"/>
          <w:lang w:val="bg-BG"/>
        </w:rPr>
        <w:t xml:space="preserve">около 11 млн. дка </w:t>
      </w:r>
      <w:r w:rsidR="004F0023" w:rsidRPr="00EA7BE6">
        <w:rPr>
          <w:sz w:val="22"/>
          <w:lang w:val="bg-BG"/>
        </w:rPr>
        <w:t xml:space="preserve">(видно от </w:t>
      </w:r>
      <w:r w:rsidR="0026724A">
        <w:rPr>
          <w:sz w:val="22"/>
          <w:lang w:val="bg-BG"/>
        </w:rPr>
        <w:t>Т</w:t>
      </w:r>
      <w:r w:rsidR="004F0023" w:rsidRPr="00EA7BE6">
        <w:rPr>
          <w:sz w:val="22"/>
          <w:lang w:val="bg-BG"/>
        </w:rPr>
        <w:t xml:space="preserve">аблица </w:t>
      </w:r>
      <w:r w:rsidR="0026724A">
        <w:rPr>
          <w:sz w:val="22"/>
          <w:lang w:val="bg-BG"/>
        </w:rPr>
        <w:t>1</w:t>
      </w:r>
      <w:r w:rsidR="004F0023" w:rsidRPr="00EA7BE6">
        <w:rPr>
          <w:sz w:val="22"/>
          <w:lang w:val="bg-BG"/>
        </w:rPr>
        <w:t>)</w:t>
      </w:r>
      <w:r w:rsidRPr="00EA7BE6">
        <w:rPr>
          <w:sz w:val="22"/>
          <w:lang w:val="bg-BG"/>
        </w:rPr>
        <w:t>.</w:t>
      </w:r>
    </w:p>
    <w:p w:rsidR="00860B27" w:rsidRPr="00511788" w:rsidRDefault="004F0023" w:rsidP="00860B27">
      <w:pPr>
        <w:rPr>
          <w:sz w:val="22"/>
          <w:lang w:val="bg-BG"/>
        </w:rPr>
      </w:pPr>
      <w:r w:rsidRPr="00EA7BE6">
        <w:rPr>
          <w:sz w:val="22"/>
          <w:lang w:val="bg-BG"/>
        </w:rPr>
        <w:t>При този вариант на действие се предвижда</w:t>
      </w:r>
      <w:r w:rsidR="00144A21" w:rsidRPr="00EA7BE6">
        <w:rPr>
          <w:sz w:val="22"/>
          <w:lang w:val="bg-BG"/>
        </w:rPr>
        <w:t>, че при пълно покритие на защитата  опазената от градушки земеделска продукция би била на стой</w:t>
      </w:r>
      <w:r w:rsidR="00860B27">
        <w:rPr>
          <w:sz w:val="22"/>
          <w:lang w:val="bg-BG"/>
        </w:rPr>
        <w:t>ност над 260 млн. лева годишно.</w:t>
      </w:r>
    </w:p>
    <w:p w:rsidR="00144A21" w:rsidRPr="00EA7BE6" w:rsidRDefault="00144A21" w:rsidP="00144A21">
      <w:pPr>
        <w:rPr>
          <w:b/>
          <w:sz w:val="22"/>
          <w:lang w:val="bg-BG"/>
        </w:rPr>
      </w:pPr>
      <w:r w:rsidRPr="00EA7BE6">
        <w:rPr>
          <w:b/>
          <w:sz w:val="22"/>
          <w:lang w:val="bg-BG"/>
        </w:rPr>
        <w:t>Ползи за държавата</w:t>
      </w:r>
    </w:p>
    <w:p w:rsidR="00144A21" w:rsidRDefault="00144A21" w:rsidP="00144A21">
      <w:pPr>
        <w:rPr>
          <w:sz w:val="22"/>
          <w:lang w:val="bg-BG"/>
        </w:rPr>
      </w:pPr>
      <w:r w:rsidRPr="00EA7BE6">
        <w:rPr>
          <w:sz w:val="22"/>
          <w:lang w:val="bg-BG"/>
        </w:rPr>
        <w:t>Въвеждането на споделено финансиране на разходите за превенция в земеделието би довело до намаление на средствата, които се предоставят от държавния бюджет за осъществяване на тази дейност, спрямо досега осигуряваните</w:t>
      </w:r>
      <w:r w:rsidR="00FA0182">
        <w:rPr>
          <w:sz w:val="22"/>
          <w:lang w:val="bg-BG"/>
        </w:rPr>
        <w:t xml:space="preserve"> (Таблица </w:t>
      </w:r>
      <w:r w:rsidR="00F764E2">
        <w:rPr>
          <w:sz w:val="22"/>
          <w:lang w:val="bg-BG"/>
        </w:rPr>
        <w:t>7</w:t>
      </w:r>
      <w:r w:rsidR="00FA0182">
        <w:rPr>
          <w:sz w:val="22"/>
          <w:lang w:val="bg-BG"/>
        </w:rPr>
        <w:t>)</w:t>
      </w:r>
      <w:r w:rsidRPr="00EA7BE6">
        <w:rPr>
          <w:sz w:val="22"/>
          <w:lang w:val="bg-BG"/>
        </w:rPr>
        <w:t xml:space="preserve">. </w:t>
      </w:r>
    </w:p>
    <w:p w:rsidR="00523EFC" w:rsidRDefault="00144A21" w:rsidP="00144A21">
      <w:pPr>
        <w:rPr>
          <w:sz w:val="22"/>
          <w:lang w:val="bg-BG"/>
        </w:rPr>
      </w:pPr>
      <w:r w:rsidRPr="00EA7BE6">
        <w:rPr>
          <w:sz w:val="22"/>
          <w:lang w:val="bg-BG"/>
        </w:rPr>
        <w:t>Същевременно, опазването на продукция за над 260 млн. лева годишно от градушки би допринесло за подобряване на устойчивостта на аграрния отрасъл и за нарастване на създадената в земеделието брутна добавена стойност. Може да се очаква и ръст на данъчните приходи от земеделски дейности.</w:t>
      </w:r>
      <w:r w:rsidR="00776EA3">
        <w:rPr>
          <w:sz w:val="22"/>
          <w:lang w:val="bg-BG"/>
        </w:rPr>
        <w:t xml:space="preserve">  </w:t>
      </w:r>
    </w:p>
    <w:p w:rsidR="00523EFC" w:rsidRDefault="00523EFC" w:rsidP="00144A21">
      <w:pPr>
        <w:rPr>
          <w:sz w:val="22"/>
          <w:lang w:val="bg-BG"/>
        </w:rPr>
      </w:pPr>
    </w:p>
    <w:p w:rsidR="00523EFC" w:rsidRPr="00776EA3" w:rsidRDefault="00523EFC" w:rsidP="00144A21">
      <w:pPr>
        <w:rPr>
          <w:sz w:val="22"/>
          <w:lang w:val="bg-BG"/>
        </w:rPr>
      </w:pPr>
    </w:p>
    <w:p w:rsidR="00144A21" w:rsidRPr="00EA7BE6" w:rsidRDefault="00144A21" w:rsidP="00144A21">
      <w:pPr>
        <w:rPr>
          <w:b/>
          <w:sz w:val="22"/>
          <w:lang w:val="bg-BG"/>
        </w:rPr>
      </w:pPr>
      <w:r w:rsidRPr="00EA7BE6">
        <w:rPr>
          <w:b/>
          <w:sz w:val="22"/>
          <w:lang w:val="bg-BG"/>
        </w:rPr>
        <w:lastRenderedPageBreak/>
        <w:t>Ползи за земеделските стопани</w:t>
      </w:r>
    </w:p>
    <w:p w:rsidR="00144A21" w:rsidRPr="00EA7BE6" w:rsidRDefault="005633CD" w:rsidP="00144A21">
      <w:pPr>
        <w:rPr>
          <w:sz w:val="22"/>
          <w:lang w:val="bg-BG"/>
        </w:rPr>
      </w:pPr>
      <w:r w:rsidRPr="00EA7BE6">
        <w:rPr>
          <w:sz w:val="22"/>
          <w:lang w:val="bg-BG"/>
        </w:rPr>
        <w:t>Предвижда се при този вариант на действие да бъде</w:t>
      </w:r>
      <w:r w:rsidR="00144A21" w:rsidRPr="00EA7BE6">
        <w:rPr>
          <w:sz w:val="22"/>
          <w:lang w:val="bg-BG"/>
        </w:rPr>
        <w:t xml:space="preserve"> </w:t>
      </w:r>
      <w:r w:rsidRPr="00EA7BE6">
        <w:rPr>
          <w:sz w:val="22"/>
          <w:lang w:val="bg-BG"/>
        </w:rPr>
        <w:t xml:space="preserve">постигнато </w:t>
      </w:r>
      <w:r w:rsidR="00144A21" w:rsidRPr="00EA7BE6">
        <w:rPr>
          <w:sz w:val="22"/>
          <w:lang w:val="bg-BG"/>
        </w:rPr>
        <w:t xml:space="preserve">разширяване на превенцията срещу градушки </w:t>
      </w:r>
      <w:r w:rsidRPr="00EA7BE6">
        <w:rPr>
          <w:sz w:val="22"/>
          <w:lang w:val="bg-BG"/>
        </w:rPr>
        <w:t>и да</w:t>
      </w:r>
      <w:r w:rsidR="00144A21" w:rsidRPr="00EA7BE6">
        <w:rPr>
          <w:sz w:val="22"/>
          <w:lang w:val="bg-BG"/>
        </w:rPr>
        <w:t xml:space="preserve"> бъдат защитени обработваемите земи и трайните насаждения на всички земеделски стопани, а не само на тези, които в момента попадат в обхвата на съществуващата ракетна защита.  </w:t>
      </w:r>
    </w:p>
    <w:p w:rsidR="00144A21" w:rsidRPr="00EA7BE6" w:rsidRDefault="00144A21" w:rsidP="00144A21">
      <w:pPr>
        <w:rPr>
          <w:sz w:val="22"/>
          <w:lang w:val="bg-BG"/>
        </w:rPr>
      </w:pPr>
      <w:r w:rsidRPr="00EA7BE6">
        <w:rPr>
          <w:sz w:val="22"/>
          <w:lang w:val="bg-BG"/>
        </w:rPr>
        <w:t xml:space="preserve">Недопускането на загуби на земеделска продукция от неблагоприятни климатични събития би допринесло за стабилизиране на доходите за производителите и би намалило риска от изоставянето на земеделски дейности, особено в селските райони. </w:t>
      </w:r>
    </w:p>
    <w:p w:rsidR="00144A21" w:rsidRPr="00EA7BE6" w:rsidRDefault="00144A21" w:rsidP="00144A21">
      <w:pPr>
        <w:rPr>
          <w:b/>
          <w:sz w:val="22"/>
          <w:lang w:val="bg-BG"/>
        </w:rPr>
      </w:pPr>
      <w:r w:rsidRPr="00EA7BE6">
        <w:rPr>
          <w:b/>
          <w:sz w:val="22"/>
          <w:lang w:val="bg-BG"/>
        </w:rPr>
        <w:t>Ползи за застрахователните компании</w:t>
      </w:r>
    </w:p>
    <w:p w:rsidR="00144A21" w:rsidRPr="00EA7BE6" w:rsidRDefault="00144A21" w:rsidP="00144A21">
      <w:pPr>
        <w:rPr>
          <w:sz w:val="22"/>
          <w:lang w:val="bg-BG"/>
        </w:rPr>
      </w:pPr>
      <w:r w:rsidRPr="00EA7BE6">
        <w:rPr>
          <w:sz w:val="22"/>
          <w:lang w:val="bg-BG"/>
        </w:rPr>
        <w:t xml:space="preserve">Осъществяването на превенция срещу градушки на цялата територия на страната, включително и върху урбанизираните райони, ще създаде  условия за чувствително намаление на изплащаните обезщетения от застрахователния сектор. </w:t>
      </w:r>
    </w:p>
    <w:p w:rsidR="00144A21" w:rsidRPr="00EA7BE6" w:rsidRDefault="00144A21" w:rsidP="00144A21">
      <w:pPr>
        <w:rPr>
          <w:sz w:val="22"/>
          <w:lang w:val="bg-BG"/>
        </w:rPr>
      </w:pPr>
      <w:r w:rsidRPr="00EA7BE6">
        <w:rPr>
          <w:sz w:val="22"/>
          <w:lang w:val="bg-BG"/>
        </w:rPr>
        <w:t>Чрез осигуряване от държавното предприятие на пълна радарна метеорологична информация ще са налични данни за по-надежд</w:t>
      </w:r>
      <w:r w:rsidR="005633CD" w:rsidRPr="00EA7BE6">
        <w:rPr>
          <w:sz w:val="22"/>
          <w:lang w:val="bg-BG"/>
        </w:rPr>
        <w:t>н</w:t>
      </w:r>
      <w:r w:rsidRPr="00EA7BE6">
        <w:rPr>
          <w:sz w:val="22"/>
          <w:lang w:val="bg-BG"/>
        </w:rPr>
        <w:t xml:space="preserve">а и изчерпателна оценка на риска от настъпване на най-опасните </w:t>
      </w:r>
      <w:r w:rsidR="005633CD" w:rsidRPr="00EA7BE6">
        <w:rPr>
          <w:sz w:val="22"/>
          <w:lang w:val="bg-BG"/>
        </w:rPr>
        <w:t xml:space="preserve">неблагоприятни </w:t>
      </w:r>
      <w:r w:rsidRPr="00EA7BE6">
        <w:rPr>
          <w:sz w:val="22"/>
          <w:lang w:val="bg-BG"/>
        </w:rPr>
        <w:t>климатични събития в земеделието. Това ще допринесе за по-нататъшното развитие и стабилизиране на пазара на земеделски застраховки.</w:t>
      </w:r>
    </w:p>
    <w:p w:rsidR="00E348D6" w:rsidRPr="00EA7BE6" w:rsidRDefault="00E348D6" w:rsidP="00144A21">
      <w:pPr>
        <w:rPr>
          <w:b/>
          <w:sz w:val="22"/>
          <w:lang w:val="bg-BG"/>
        </w:rPr>
      </w:pPr>
      <w:r w:rsidRPr="00EA7BE6">
        <w:rPr>
          <w:b/>
          <w:sz w:val="22"/>
          <w:lang w:val="bg-BG"/>
        </w:rPr>
        <w:t xml:space="preserve">Екологични въздействия </w:t>
      </w:r>
    </w:p>
    <w:p w:rsidR="00E348D6" w:rsidRPr="00EA7BE6" w:rsidRDefault="00E348D6" w:rsidP="00144A21">
      <w:pPr>
        <w:rPr>
          <w:sz w:val="22"/>
          <w:lang w:val="bg-BG"/>
        </w:rPr>
      </w:pPr>
      <w:r w:rsidRPr="00EA7BE6">
        <w:rPr>
          <w:sz w:val="22"/>
          <w:lang w:val="bg-BG"/>
        </w:rPr>
        <w:t>За провеждане на активни въздействия върху градовите облаци се използва реагент</w:t>
      </w:r>
      <w:r w:rsidR="006D3FCB">
        <w:rPr>
          <w:sz w:val="22"/>
          <w:lang w:val="bg-BG"/>
        </w:rPr>
        <w:t>ът</w:t>
      </w:r>
      <w:r w:rsidRPr="00EA7BE6">
        <w:rPr>
          <w:sz w:val="22"/>
          <w:lang w:val="bg-BG"/>
        </w:rPr>
        <w:t xml:space="preserve"> сребърен йоди</w:t>
      </w:r>
      <w:r w:rsidR="006D3FCB">
        <w:rPr>
          <w:sz w:val="22"/>
          <w:lang w:val="bg-BG"/>
        </w:rPr>
        <w:t>д</w:t>
      </w:r>
      <w:r w:rsidRPr="00EA7BE6">
        <w:rPr>
          <w:sz w:val="22"/>
          <w:lang w:val="bg-BG"/>
        </w:rPr>
        <w:t xml:space="preserve">. Въз основа на многобройните научни изследвания, становището на Световната метеорологична организация е, че сребърният йодид е безопасен за околната среда и може да се използва при провеждането на програми за </w:t>
      </w:r>
      <w:proofErr w:type="spellStart"/>
      <w:r w:rsidRPr="00EA7BE6">
        <w:rPr>
          <w:sz w:val="22"/>
          <w:lang w:val="bg-BG"/>
        </w:rPr>
        <w:t>засев</w:t>
      </w:r>
      <w:proofErr w:type="spellEnd"/>
      <w:r w:rsidRPr="00EA7BE6">
        <w:rPr>
          <w:sz w:val="22"/>
          <w:lang w:val="bg-BG"/>
        </w:rPr>
        <w:t xml:space="preserve"> на облаци. В този смисъл, както при настоящия обхват на градова защита, така и след нейното разширяване не са налице предпоставки за отрицателни въздействия по отношение на околната среда от провежданите мероприятия.</w:t>
      </w:r>
    </w:p>
    <w:p w:rsidR="0066285D" w:rsidRPr="00EA7BE6" w:rsidRDefault="009C25BF" w:rsidP="0066285D">
      <w:pPr>
        <w:pStyle w:val="Heading2"/>
        <w:spacing w:before="240" w:after="120"/>
        <w:rPr>
          <w:rFonts w:cs="Times New Roman"/>
          <w:sz w:val="22"/>
          <w:lang w:val="bg-BG"/>
        </w:rPr>
      </w:pPr>
      <w:bookmarkStart w:id="23" w:name="_Toc496709958"/>
      <w:r w:rsidRPr="00EA7BE6">
        <w:rPr>
          <w:rFonts w:eastAsia="Times New Roman" w:cs="Times New Roman"/>
          <w:sz w:val="22"/>
          <w:szCs w:val="22"/>
          <w:lang w:val="bg-BG"/>
        </w:rPr>
        <w:t>VI.3.</w:t>
      </w:r>
      <w:r w:rsidR="00DD001A" w:rsidRPr="00EA7BE6">
        <w:rPr>
          <w:rFonts w:eastAsia="Times New Roman" w:cs="Times New Roman"/>
          <w:sz w:val="22"/>
          <w:szCs w:val="22"/>
          <w:lang w:val="bg-BG"/>
        </w:rPr>
        <w:t xml:space="preserve"> Вариант 3:</w:t>
      </w:r>
      <w:bookmarkStart w:id="24" w:name="_Toc496709959"/>
      <w:bookmarkEnd w:id="23"/>
      <w:r w:rsidR="0066285D" w:rsidRPr="00EA7BE6">
        <w:rPr>
          <w:rFonts w:eastAsia="Times New Roman" w:cs="Times New Roman"/>
          <w:sz w:val="22"/>
          <w:szCs w:val="22"/>
          <w:lang w:val="bg-BG"/>
        </w:rPr>
        <w:t xml:space="preserve"> </w:t>
      </w:r>
      <w:r w:rsidR="0066285D" w:rsidRPr="00EA7BE6">
        <w:rPr>
          <w:rFonts w:cs="Times New Roman"/>
          <w:sz w:val="22"/>
          <w:lang w:val="bg-BG"/>
        </w:rPr>
        <w:t>Промяна на съществуващата подзаконова нормативна уредба при запазване на сегашния статут</w:t>
      </w:r>
    </w:p>
    <w:p w:rsidR="009D5987" w:rsidRPr="00EA7BE6" w:rsidRDefault="009D5987" w:rsidP="009D5987">
      <w:pPr>
        <w:rPr>
          <w:sz w:val="22"/>
          <w:lang w:val="bg-BG"/>
        </w:rPr>
      </w:pPr>
      <w:r w:rsidRPr="00EA7BE6">
        <w:rPr>
          <w:sz w:val="22"/>
          <w:lang w:val="bg-BG"/>
        </w:rPr>
        <w:t xml:space="preserve">При вариант на действие „Промяна на съществуващата подзаконова нормативна уредба при запазване на сегашния статут“ градозащитата ще продължи да се осъществява на 1/3 от територията на страната. Възможно ще е частично увеличаване на защитаваната от градушки и други неблагоприятни климатични събития в земеделието територия на страната, но няма да бъде възможно покриването на цялата територия на страната само с ракетен способ. </w:t>
      </w:r>
    </w:p>
    <w:p w:rsidR="009D5987" w:rsidRPr="00EA7BE6" w:rsidRDefault="009D5987" w:rsidP="009D5987">
      <w:pPr>
        <w:rPr>
          <w:sz w:val="22"/>
          <w:lang w:val="bg-BG"/>
        </w:rPr>
      </w:pPr>
      <w:r w:rsidRPr="00EA7BE6">
        <w:rPr>
          <w:sz w:val="22"/>
          <w:lang w:val="bg-BG"/>
        </w:rPr>
        <w:t xml:space="preserve">Полза от превенцията ще имат само тези земеделски стопани, чиито обработваеми земи и трайни насаждения се намират в обхвата на настоящата ракетна защита и тези, които при едно бъдещо разширяване на обхвата на градозащита, биха попаднали в него. Останалите земеделски стопани, земеделските площи на които не подадат в този обхват, ще продължават да търпят загуби от прояви на градушки. </w:t>
      </w:r>
    </w:p>
    <w:p w:rsidR="009D5987" w:rsidRPr="00EA7BE6" w:rsidRDefault="009D5987" w:rsidP="009D5987">
      <w:pPr>
        <w:rPr>
          <w:sz w:val="22"/>
          <w:lang w:val="bg-BG"/>
        </w:rPr>
      </w:pPr>
      <w:r w:rsidRPr="00EA7BE6">
        <w:rPr>
          <w:sz w:val="22"/>
          <w:lang w:val="bg-BG"/>
        </w:rPr>
        <w:t>За държавата няма идентифицирани положителни въздействия от запазването на статуквото.</w:t>
      </w:r>
    </w:p>
    <w:p w:rsidR="009D5987" w:rsidRPr="00EA7BE6" w:rsidRDefault="009D5987" w:rsidP="009D5987">
      <w:pPr>
        <w:rPr>
          <w:sz w:val="22"/>
          <w:lang w:val="bg-BG"/>
        </w:rPr>
      </w:pPr>
      <w:r w:rsidRPr="00EA7BE6">
        <w:rPr>
          <w:sz w:val="22"/>
          <w:lang w:val="bg-BG"/>
        </w:rPr>
        <w:t xml:space="preserve">Ползата за застрахователните компании ще бъде незначителна с оглед на това, че при евентуално бъдещо разширяване на обхвата на градозащита ще бъдат намалени разходите за изплатени обезщетения на </w:t>
      </w:r>
      <w:proofErr w:type="spellStart"/>
      <w:r w:rsidRPr="00EA7BE6">
        <w:rPr>
          <w:sz w:val="22"/>
          <w:lang w:val="bg-BG"/>
        </w:rPr>
        <w:t>новозащитените</w:t>
      </w:r>
      <w:proofErr w:type="spellEnd"/>
      <w:r w:rsidRPr="00EA7BE6">
        <w:rPr>
          <w:sz w:val="22"/>
          <w:lang w:val="bg-BG"/>
        </w:rPr>
        <w:t xml:space="preserve"> територии.</w:t>
      </w:r>
    </w:p>
    <w:p w:rsidR="00AA7853" w:rsidRDefault="00AA7853" w:rsidP="00760603">
      <w:pPr>
        <w:pStyle w:val="Heading1"/>
        <w:spacing w:before="240" w:after="240"/>
        <w:rPr>
          <w:rFonts w:eastAsia="Times New Roman" w:cs="Times New Roman"/>
          <w:sz w:val="22"/>
          <w:szCs w:val="22"/>
          <w:lang w:val="bg-BG"/>
        </w:rPr>
      </w:pPr>
    </w:p>
    <w:p w:rsidR="008633AF" w:rsidRPr="00C53587" w:rsidRDefault="00BB1B89" w:rsidP="00760603">
      <w:pPr>
        <w:pStyle w:val="Heading1"/>
        <w:spacing w:before="240" w:after="240"/>
        <w:rPr>
          <w:rFonts w:eastAsia="Times New Roman" w:cs="Times New Roman"/>
          <w:sz w:val="22"/>
          <w:szCs w:val="22"/>
          <w:lang w:val="ru-RU"/>
        </w:rPr>
      </w:pPr>
      <w:r w:rsidRPr="00EA7BE6">
        <w:rPr>
          <w:rFonts w:eastAsia="Times New Roman" w:cs="Times New Roman"/>
          <w:sz w:val="22"/>
          <w:szCs w:val="22"/>
          <w:lang w:val="bg-BG"/>
        </w:rPr>
        <w:t>V</w:t>
      </w:r>
      <w:r w:rsidRPr="00EA7BE6">
        <w:rPr>
          <w:rFonts w:eastAsia="Times New Roman" w:cs="Times New Roman"/>
          <w:sz w:val="22"/>
          <w:szCs w:val="22"/>
        </w:rPr>
        <w:t>I</w:t>
      </w:r>
      <w:r w:rsidRPr="00EA7BE6">
        <w:rPr>
          <w:rFonts w:eastAsia="Times New Roman" w:cs="Times New Roman"/>
          <w:sz w:val="22"/>
          <w:szCs w:val="22"/>
          <w:lang w:val="bg-BG"/>
        </w:rPr>
        <w:t>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p>
    <w:p w:rsidR="00BB1B89" w:rsidRPr="00C53587" w:rsidRDefault="00BB1B89" w:rsidP="00760603">
      <w:pPr>
        <w:spacing w:before="120"/>
        <w:rPr>
          <w:rFonts w:eastAsia="Times New Roman"/>
          <w:b/>
          <w:bCs/>
          <w:color w:val="365F91" w:themeColor="accent1" w:themeShade="BF"/>
          <w:sz w:val="22"/>
          <w:lang w:val="ru-RU"/>
        </w:rPr>
      </w:pPr>
      <w:r w:rsidRPr="00EA7BE6">
        <w:rPr>
          <w:rFonts w:eastAsia="Times New Roman"/>
          <w:b/>
          <w:bCs/>
          <w:color w:val="365F91" w:themeColor="accent1" w:themeShade="BF"/>
          <w:sz w:val="22"/>
          <w:lang w:val="bg-BG"/>
        </w:rPr>
        <w:t>VII.1. Вариант 1: Без действие</w:t>
      </w:r>
    </w:p>
    <w:p w:rsidR="00BB1B89" w:rsidRPr="00EA7BE6" w:rsidRDefault="00BB1B89" w:rsidP="00BB1B89">
      <w:pPr>
        <w:spacing w:before="120" w:after="240"/>
        <w:rPr>
          <w:sz w:val="22"/>
          <w:lang w:val="bg-BG"/>
        </w:rPr>
      </w:pPr>
      <w:r w:rsidRPr="00EA7BE6">
        <w:rPr>
          <w:sz w:val="22"/>
          <w:lang w:val="bg-BG"/>
        </w:rPr>
        <w:t xml:space="preserve">При </w:t>
      </w:r>
      <w:r w:rsidRPr="00EA7BE6">
        <w:rPr>
          <w:bCs/>
          <w:sz w:val="22"/>
          <w:lang w:val="bg-BG"/>
        </w:rPr>
        <w:t>този вариант на действие</w:t>
      </w:r>
      <w:r w:rsidRPr="00EA7BE6">
        <w:rPr>
          <w:sz w:val="22"/>
          <w:lang w:val="bg-BG"/>
        </w:rPr>
        <w:t xml:space="preserve"> противоградовата защита ще се извършва в сегашния обхват – на 1/3 от територията на страната, с ракетен способ, от Изпълнителната агенция „Борба с градушките“. Издръжката на дейността на </w:t>
      </w:r>
      <w:r w:rsidRPr="00EA7BE6">
        <w:rPr>
          <w:bCs/>
          <w:sz w:val="22"/>
          <w:lang w:val="bg-BG"/>
        </w:rPr>
        <w:t>а</w:t>
      </w:r>
      <w:r w:rsidRPr="00EA7BE6">
        <w:rPr>
          <w:sz w:val="22"/>
          <w:lang w:val="bg-BG"/>
        </w:rPr>
        <w:t xml:space="preserve">генцията ще продължи да се осъществява само с публични средства - чрез бюджета на </w:t>
      </w:r>
      <w:r w:rsidRPr="00EA7BE6">
        <w:rPr>
          <w:bCs/>
          <w:sz w:val="22"/>
          <w:lang w:val="bg-BG"/>
        </w:rPr>
        <w:t>Министерство на земеделието, храните и горите</w:t>
      </w:r>
      <w:r w:rsidRPr="00EA7BE6">
        <w:rPr>
          <w:b/>
          <w:bCs/>
          <w:sz w:val="22"/>
          <w:lang w:val="bg-BG"/>
        </w:rPr>
        <w:t xml:space="preserve"> </w:t>
      </w:r>
      <w:r w:rsidRPr="00EA7BE6">
        <w:rPr>
          <w:sz w:val="22"/>
          <w:lang w:val="bg-BG"/>
        </w:rPr>
        <w:t>и от Междуведомствената комисия за възстановяване и подпомагане към Министерския съвет.</w:t>
      </w:r>
    </w:p>
    <w:p w:rsidR="00BB1B89" w:rsidRPr="00EA7BE6" w:rsidRDefault="00BB1B89" w:rsidP="00BB1B89">
      <w:pPr>
        <w:spacing w:before="120" w:after="240"/>
        <w:rPr>
          <w:sz w:val="22"/>
          <w:lang w:val="bg-BG"/>
        </w:rPr>
      </w:pPr>
      <w:r w:rsidRPr="00EA7BE6">
        <w:rPr>
          <w:sz w:val="22"/>
          <w:lang w:val="bg-BG"/>
        </w:rPr>
        <w:t xml:space="preserve">Тъй като настоящият начин на финансиране не осигурява в достатъчна степен оптималното функциониране на системата и не способства за нейното по-нататъшно развитие и усъвършенстване, непредприемането на действия за промяна на обществените отношения в тази област ще задълбочи съществуващите проблеми. </w:t>
      </w:r>
    </w:p>
    <w:p w:rsidR="00BB1B89" w:rsidRPr="00EA7BE6" w:rsidRDefault="00BB1B89" w:rsidP="00BB1B89">
      <w:pPr>
        <w:spacing w:before="120" w:after="240"/>
        <w:rPr>
          <w:bCs/>
          <w:sz w:val="22"/>
          <w:lang w:val="bg-BG"/>
        </w:rPr>
      </w:pPr>
      <w:r w:rsidRPr="00EA7BE6">
        <w:rPr>
          <w:sz w:val="22"/>
          <w:lang w:val="bg-BG"/>
        </w:rPr>
        <w:t xml:space="preserve">При този вариант </w:t>
      </w:r>
      <w:r w:rsidRPr="00EA7BE6">
        <w:rPr>
          <w:bCs/>
          <w:sz w:val="22"/>
          <w:lang w:val="bg-BG"/>
        </w:rPr>
        <w:t xml:space="preserve">на действие </w:t>
      </w:r>
      <w:r w:rsidRPr="00EA7BE6">
        <w:rPr>
          <w:sz w:val="22"/>
          <w:lang w:val="bg-BG"/>
        </w:rPr>
        <w:t xml:space="preserve">земеделските стопани и застрахователните компании не правят преки разходи за съфинансиране на системата за превенция, но косвено </w:t>
      </w:r>
      <w:r w:rsidRPr="00EA7BE6">
        <w:rPr>
          <w:bCs/>
          <w:sz w:val="22"/>
          <w:lang w:val="bg-BG"/>
        </w:rPr>
        <w:t xml:space="preserve">търпят вреди от нанесените от неблагоприятни климатични събития щети. </w:t>
      </w:r>
    </w:p>
    <w:p w:rsidR="00BB1B89" w:rsidRPr="00EA7BE6" w:rsidRDefault="00BB1B89" w:rsidP="00BB1B89">
      <w:pPr>
        <w:spacing w:before="120" w:after="240"/>
        <w:rPr>
          <w:bCs/>
          <w:sz w:val="22"/>
          <w:lang w:val="bg-BG"/>
        </w:rPr>
      </w:pPr>
      <w:r w:rsidRPr="00EA7BE6">
        <w:rPr>
          <w:bCs/>
          <w:sz w:val="22"/>
          <w:lang w:val="bg-BG"/>
        </w:rPr>
        <w:t>Премийните приходи и изплатените обезщетения по класове „Сухопътни превозни средства (без релсови превозни средства)“, „Пожар и природни бедствия“ и „Други щети на имущество“ по данни, предоставени от Комисията за финансов надзор са:</w:t>
      </w:r>
    </w:p>
    <w:p w:rsidR="009C5A9E" w:rsidRDefault="007217BE" w:rsidP="007217BE">
      <w:pPr>
        <w:spacing w:after="0" w:line="240" w:lineRule="auto"/>
        <w:rPr>
          <w:rFonts w:eastAsia="Times New Roman"/>
          <w:bCs/>
          <w:sz w:val="22"/>
          <w:lang w:val="bg-BG"/>
        </w:rPr>
      </w:pPr>
      <w:r>
        <w:rPr>
          <w:b/>
          <w:bCs/>
          <w:sz w:val="22"/>
          <w:szCs w:val="18"/>
          <w:lang w:val="bg-BG"/>
        </w:rPr>
        <w:t xml:space="preserve">Таблица </w:t>
      </w:r>
      <w:r w:rsidR="00F764E2">
        <w:rPr>
          <w:b/>
          <w:bCs/>
          <w:sz w:val="22"/>
          <w:szCs w:val="18"/>
          <w:lang w:val="bg-BG"/>
        </w:rPr>
        <w:t>8</w:t>
      </w:r>
    </w:p>
    <w:p w:rsidR="008754D0" w:rsidRPr="007217BE" w:rsidRDefault="007217BE" w:rsidP="007217BE">
      <w:pPr>
        <w:spacing w:after="0" w:line="240" w:lineRule="auto"/>
        <w:rPr>
          <w:rFonts w:eastAsia="Times New Roman"/>
          <w:b/>
          <w:bCs/>
          <w:sz w:val="18"/>
          <w:szCs w:val="18"/>
          <w:lang w:val="bg-BG"/>
        </w:rPr>
      </w:pPr>
      <w:r w:rsidRPr="008754D0">
        <w:rPr>
          <w:rFonts w:eastAsia="Times New Roman" w:hint="eastAsia"/>
          <w:b/>
          <w:sz w:val="22"/>
          <w:lang w:val="ru-RU"/>
        </w:rPr>
        <w:t>Данни</w:t>
      </w:r>
      <w:r w:rsidRPr="008754D0">
        <w:rPr>
          <w:rFonts w:eastAsia="Times New Roman"/>
          <w:b/>
          <w:sz w:val="22"/>
          <w:lang w:val="ru-RU"/>
        </w:rPr>
        <w:t xml:space="preserve"> </w:t>
      </w:r>
      <w:r w:rsidRPr="008754D0">
        <w:rPr>
          <w:rFonts w:eastAsia="Times New Roman" w:hint="eastAsia"/>
          <w:b/>
          <w:sz w:val="22"/>
          <w:lang w:val="ru-RU"/>
        </w:rPr>
        <w:t>за</w:t>
      </w:r>
      <w:r w:rsidRPr="008754D0">
        <w:rPr>
          <w:rFonts w:eastAsia="Times New Roman"/>
          <w:b/>
          <w:sz w:val="22"/>
          <w:lang w:val="ru-RU"/>
        </w:rPr>
        <w:t xml:space="preserve"> </w:t>
      </w:r>
      <w:r w:rsidRPr="008754D0">
        <w:rPr>
          <w:rFonts w:eastAsia="Times New Roman" w:hint="eastAsia"/>
          <w:b/>
          <w:sz w:val="22"/>
          <w:lang w:val="ru-RU"/>
        </w:rPr>
        <w:t>премийния</w:t>
      </w:r>
      <w:r w:rsidRPr="008754D0">
        <w:rPr>
          <w:rFonts w:eastAsia="Times New Roman"/>
          <w:b/>
          <w:sz w:val="22"/>
          <w:lang w:val="ru-RU"/>
        </w:rPr>
        <w:t xml:space="preserve"> </w:t>
      </w:r>
      <w:r w:rsidRPr="008754D0">
        <w:rPr>
          <w:rFonts w:eastAsia="Times New Roman" w:hint="eastAsia"/>
          <w:b/>
          <w:sz w:val="22"/>
          <w:lang w:val="ru-RU"/>
        </w:rPr>
        <w:t>приход</w:t>
      </w:r>
      <w:r w:rsidRPr="008754D0">
        <w:rPr>
          <w:rFonts w:eastAsia="Times New Roman"/>
          <w:b/>
          <w:sz w:val="22"/>
          <w:lang w:val="ru-RU"/>
        </w:rPr>
        <w:t xml:space="preserve"> </w:t>
      </w:r>
      <w:r w:rsidRPr="008754D0">
        <w:rPr>
          <w:rFonts w:eastAsia="Times New Roman" w:hint="eastAsia"/>
          <w:b/>
          <w:sz w:val="22"/>
          <w:lang w:val="ru-RU"/>
        </w:rPr>
        <w:t>и</w:t>
      </w:r>
      <w:r w:rsidRPr="008754D0">
        <w:rPr>
          <w:rFonts w:eastAsia="Times New Roman"/>
          <w:b/>
          <w:sz w:val="22"/>
          <w:lang w:val="ru-RU"/>
        </w:rPr>
        <w:t xml:space="preserve"> </w:t>
      </w:r>
      <w:r w:rsidRPr="008754D0">
        <w:rPr>
          <w:rFonts w:eastAsia="Times New Roman" w:hint="eastAsia"/>
          <w:b/>
          <w:sz w:val="22"/>
          <w:lang w:val="ru-RU"/>
        </w:rPr>
        <w:t>изплатените</w:t>
      </w:r>
      <w:r w:rsidRPr="008754D0">
        <w:rPr>
          <w:rFonts w:eastAsia="Times New Roman"/>
          <w:b/>
          <w:sz w:val="22"/>
          <w:lang w:val="ru-RU"/>
        </w:rPr>
        <w:t xml:space="preserve"> </w:t>
      </w:r>
      <w:r w:rsidRPr="008754D0">
        <w:rPr>
          <w:rFonts w:eastAsia="Times New Roman" w:hint="eastAsia"/>
          <w:b/>
          <w:sz w:val="22"/>
          <w:lang w:val="ru-RU"/>
        </w:rPr>
        <w:t>обезщетения</w:t>
      </w:r>
      <w:r w:rsidRPr="008754D0">
        <w:rPr>
          <w:rFonts w:eastAsia="Times New Roman"/>
          <w:b/>
          <w:sz w:val="22"/>
          <w:lang w:val="ru-RU"/>
        </w:rPr>
        <w:t xml:space="preserve"> </w:t>
      </w:r>
      <w:r w:rsidRPr="008754D0">
        <w:rPr>
          <w:rFonts w:eastAsia="Times New Roman" w:hint="eastAsia"/>
          <w:b/>
          <w:sz w:val="22"/>
          <w:lang w:val="ru-RU"/>
        </w:rPr>
        <w:t>в</w:t>
      </w:r>
      <w:r w:rsidRPr="008754D0">
        <w:rPr>
          <w:rFonts w:eastAsia="Times New Roman"/>
          <w:b/>
          <w:sz w:val="22"/>
          <w:lang w:val="ru-RU"/>
        </w:rPr>
        <w:t xml:space="preserve"> </w:t>
      </w:r>
      <w:r w:rsidRPr="008754D0">
        <w:rPr>
          <w:rFonts w:eastAsia="Times New Roman" w:hint="eastAsia"/>
          <w:b/>
          <w:sz w:val="22"/>
          <w:lang w:val="ru-RU"/>
        </w:rPr>
        <w:t>застрахователния</w:t>
      </w:r>
      <w:r w:rsidRPr="008754D0">
        <w:rPr>
          <w:rFonts w:eastAsia="Times New Roman"/>
          <w:b/>
          <w:sz w:val="22"/>
          <w:lang w:val="ru-RU"/>
        </w:rPr>
        <w:t xml:space="preserve"> </w:t>
      </w:r>
      <w:r w:rsidRPr="008754D0">
        <w:rPr>
          <w:rFonts w:eastAsia="Times New Roman" w:hint="eastAsia"/>
          <w:b/>
          <w:sz w:val="22"/>
          <w:lang w:val="ru-RU"/>
        </w:rPr>
        <w:t>сектор</w:t>
      </w:r>
      <w:r w:rsidRPr="008754D0">
        <w:rPr>
          <w:rFonts w:eastAsia="Times New Roman"/>
          <w:b/>
          <w:sz w:val="22"/>
          <w:lang w:val="ru-RU"/>
        </w:rPr>
        <w:t xml:space="preserve"> </w:t>
      </w:r>
      <w:r w:rsidRPr="008754D0">
        <w:rPr>
          <w:rFonts w:eastAsia="Times New Roman" w:hint="eastAsia"/>
          <w:b/>
          <w:sz w:val="22"/>
          <w:lang w:val="ru-RU"/>
        </w:rPr>
        <w:t>по</w:t>
      </w:r>
      <w:r w:rsidRPr="008754D0">
        <w:rPr>
          <w:rFonts w:eastAsia="Times New Roman"/>
          <w:b/>
          <w:sz w:val="22"/>
          <w:lang w:val="ru-RU"/>
        </w:rPr>
        <w:t xml:space="preserve"> </w:t>
      </w:r>
      <w:r w:rsidRPr="008754D0">
        <w:rPr>
          <w:rFonts w:eastAsia="Times New Roman" w:hint="eastAsia"/>
          <w:b/>
          <w:sz w:val="22"/>
          <w:lang w:val="ru-RU"/>
        </w:rPr>
        <w:t>класове</w:t>
      </w:r>
      <w:r w:rsidRPr="008754D0">
        <w:rPr>
          <w:rFonts w:eastAsia="Times New Roman"/>
          <w:b/>
          <w:sz w:val="22"/>
          <w:lang w:val="ru-RU"/>
        </w:rPr>
        <w:t xml:space="preserve"> "С</w:t>
      </w:r>
      <w:r w:rsidRPr="008754D0">
        <w:rPr>
          <w:rFonts w:eastAsia="Times New Roman" w:hint="eastAsia"/>
          <w:b/>
          <w:sz w:val="22"/>
          <w:lang w:val="ru-RU"/>
        </w:rPr>
        <w:t>ухопътни</w:t>
      </w:r>
      <w:r w:rsidRPr="008754D0">
        <w:rPr>
          <w:rFonts w:eastAsia="Times New Roman"/>
          <w:b/>
          <w:sz w:val="22"/>
          <w:lang w:val="ru-RU"/>
        </w:rPr>
        <w:t xml:space="preserve"> </w:t>
      </w:r>
      <w:r w:rsidRPr="008754D0">
        <w:rPr>
          <w:rFonts w:eastAsia="Times New Roman" w:hint="eastAsia"/>
          <w:b/>
          <w:sz w:val="22"/>
          <w:lang w:val="ru-RU"/>
        </w:rPr>
        <w:t>превозни</w:t>
      </w:r>
      <w:r w:rsidRPr="008754D0">
        <w:rPr>
          <w:rFonts w:eastAsia="Times New Roman"/>
          <w:b/>
          <w:sz w:val="22"/>
          <w:lang w:val="ru-RU"/>
        </w:rPr>
        <w:t xml:space="preserve"> </w:t>
      </w:r>
      <w:r w:rsidRPr="008754D0">
        <w:rPr>
          <w:rFonts w:eastAsia="Times New Roman" w:hint="eastAsia"/>
          <w:b/>
          <w:sz w:val="22"/>
          <w:lang w:val="ru-RU"/>
        </w:rPr>
        <w:t>средства</w:t>
      </w:r>
      <w:r w:rsidRPr="008754D0">
        <w:rPr>
          <w:rFonts w:eastAsia="Times New Roman"/>
          <w:b/>
          <w:sz w:val="22"/>
          <w:lang w:val="ru-RU"/>
        </w:rPr>
        <w:t>", "П</w:t>
      </w:r>
      <w:r w:rsidRPr="008754D0">
        <w:rPr>
          <w:rFonts w:eastAsia="Times New Roman" w:hint="eastAsia"/>
          <w:b/>
          <w:sz w:val="22"/>
          <w:lang w:val="ru-RU"/>
        </w:rPr>
        <w:t>ожар</w:t>
      </w:r>
      <w:r w:rsidRPr="008754D0">
        <w:rPr>
          <w:rFonts w:eastAsia="Times New Roman"/>
          <w:b/>
          <w:sz w:val="22"/>
          <w:lang w:val="ru-RU"/>
        </w:rPr>
        <w:t xml:space="preserve"> </w:t>
      </w:r>
      <w:r w:rsidRPr="008754D0">
        <w:rPr>
          <w:rFonts w:eastAsia="Times New Roman" w:hint="eastAsia"/>
          <w:b/>
          <w:sz w:val="22"/>
          <w:lang w:val="ru-RU"/>
        </w:rPr>
        <w:t>и</w:t>
      </w:r>
      <w:r w:rsidRPr="008754D0">
        <w:rPr>
          <w:rFonts w:eastAsia="Times New Roman"/>
          <w:b/>
          <w:sz w:val="22"/>
          <w:lang w:val="ru-RU"/>
        </w:rPr>
        <w:t xml:space="preserve"> </w:t>
      </w:r>
      <w:r w:rsidRPr="008754D0">
        <w:rPr>
          <w:rFonts w:eastAsia="Times New Roman" w:hint="eastAsia"/>
          <w:b/>
          <w:sz w:val="22"/>
          <w:lang w:val="ru-RU"/>
        </w:rPr>
        <w:t>природни</w:t>
      </w:r>
      <w:r w:rsidRPr="008754D0">
        <w:rPr>
          <w:rFonts w:eastAsia="Times New Roman"/>
          <w:b/>
          <w:sz w:val="22"/>
          <w:lang w:val="ru-RU"/>
        </w:rPr>
        <w:t xml:space="preserve"> </w:t>
      </w:r>
      <w:r w:rsidRPr="008754D0">
        <w:rPr>
          <w:rFonts w:eastAsia="Times New Roman" w:hint="eastAsia"/>
          <w:b/>
          <w:sz w:val="22"/>
          <w:lang w:val="ru-RU"/>
        </w:rPr>
        <w:t>бедствия</w:t>
      </w:r>
      <w:r w:rsidRPr="008754D0">
        <w:rPr>
          <w:rFonts w:eastAsia="Times New Roman"/>
          <w:b/>
          <w:sz w:val="22"/>
          <w:lang w:val="ru-RU"/>
        </w:rPr>
        <w:t xml:space="preserve">" </w:t>
      </w:r>
      <w:r w:rsidRPr="008754D0">
        <w:rPr>
          <w:rFonts w:eastAsia="Times New Roman" w:hint="eastAsia"/>
          <w:b/>
          <w:sz w:val="22"/>
          <w:lang w:val="ru-RU"/>
        </w:rPr>
        <w:t>и</w:t>
      </w:r>
      <w:r w:rsidRPr="008754D0">
        <w:rPr>
          <w:rFonts w:eastAsia="Times New Roman"/>
          <w:b/>
          <w:sz w:val="22"/>
          <w:lang w:val="ru-RU"/>
        </w:rPr>
        <w:t xml:space="preserve"> "Д</w:t>
      </w:r>
      <w:r w:rsidRPr="008754D0">
        <w:rPr>
          <w:rFonts w:eastAsia="Times New Roman" w:hint="eastAsia"/>
          <w:b/>
          <w:sz w:val="22"/>
          <w:lang w:val="ru-RU"/>
        </w:rPr>
        <w:t>руги</w:t>
      </w:r>
      <w:r w:rsidRPr="008754D0">
        <w:rPr>
          <w:rFonts w:eastAsia="Times New Roman"/>
          <w:b/>
          <w:sz w:val="22"/>
          <w:lang w:val="ru-RU"/>
        </w:rPr>
        <w:t xml:space="preserve"> </w:t>
      </w:r>
      <w:proofErr w:type="gramStart"/>
      <w:r w:rsidRPr="008754D0">
        <w:rPr>
          <w:rFonts w:eastAsia="Times New Roman" w:hint="eastAsia"/>
          <w:b/>
          <w:sz w:val="22"/>
          <w:lang w:val="ru-RU"/>
        </w:rPr>
        <w:t>щети</w:t>
      </w:r>
      <w:r w:rsidRPr="008754D0">
        <w:rPr>
          <w:rFonts w:eastAsia="Times New Roman"/>
          <w:b/>
          <w:sz w:val="22"/>
          <w:lang w:val="ru-RU"/>
        </w:rPr>
        <w:t xml:space="preserve"> </w:t>
      </w:r>
      <w:r w:rsidRPr="008754D0">
        <w:rPr>
          <w:rFonts w:eastAsia="Times New Roman" w:hint="eastAsia"/>
          <w:b/>
          <w:sz w:val="22"/>
          <w:lang w:val="ru-RU"/>
        </w:rPr>
        <w:t>на</w:t>
      </w:r>
      <w:proofErr w:type="gramEnd"/>
      <w:r w:rsidRPr="008754D0">
        <w:rPr>
          <w:rFonts w:eastAsia="Times New Roman"/>
          <w:b/>
          <w:sz w:val="22"/>
          <w:lang w:val="ru-RU"/>
        </w:rPr>
        <w:t xml:space="preserve"> </w:t>
      </w:r>
      <w:r w:rsidRPr="008754D0">
        <w:rPr>
          <w:rFonts w:eastAsia="Times New Roman" w:hint="eastAsia"/>
          <w:b/>
          <w:sz w:val="22"/>
          <w:lang w:val="ru-RU"/>
        </w:rPr>
        <w:t>имущество</w:t>
      </w:r>
      <w:r w:rsidRPr="008754D0">
        <w:rPr>
          <w:rFonts w:eastAsia="Times New Roman"/>
          <w:b/>
          <w:sz w:val="22"/>
          <w:lang w:val="ru-RU"/>
        </w:rPr>
        <w:t xml:space="preserve">" </w:t>
      </w:r>
      <w:r w:rsidRPr="008754D0">
        <w:rPr>
          <w:rFonts w:eastAsia="Times New Roman" w:hint="eastAsia"/>
          <w:b/>
          <w:sz w:val="22"/>
          <w:lang w:val="ru-RU"/>
        </w:rPr>
        <w:t>за</w:t>
      </w:r>
      <w:r w:rsidRPr="008754D0">
        <w:rPr>
          <w:rFonts w:eastAsia="Times New Roman"/>
          <w:b/>
          <w:sz w:val="22"/>
          <w:lang w:val="ru-RU"/>
        </w:rPr>
        <w:t xml:space="preserve"> </w:t>
      </w:r>
      <w:r w:rsidRPr="008754D0">
        <w:rPr>
          <w:rFonts w:eastAsia="Times New Roman" w:hint="eastAsia"/>
          <w:b/>
          <w:sz w:val="22"/>
          <w:lang w:val="ru-RU"/>
        </w:rPr>
        <w:t>периода</w:t>
      </w:r>
      <w:r w:rsidRPr="008754D0">
        <w:rPr>
          <w:rFonts w:eastAsia="Times New Roman"/>
          <w:b/>
          <w:sz w:val="22"/>
          <w:lang w:val="ru-RU"/>
        </w:rPr>
        <w:t xml:space="preserve"> 2014-2017 </w:t>
      </w:r>
      <w:r w:rsidRPr="008754D0">
        <w:rPr>
          <w:rFonts w:eastAsia="Times New Roman" w:hint="eastAsia"/>
          <w:b/>
          <w:sz w:val="22"/>
          <w:lang w:val="ru-RU"/>
        </w:rPr>
        <w:t>г</w:t>
      </w:r>
      <w:r w:rsidRPr="008754D0">
        <w:rPr>
          <w:rFonts w:eastAsia="Times New Roman"/>
          <w:b/>
          <w:sz w:val="22"/>
          <w:lang w:val="ru-RU"/>
        </w:rPr>
        <w:t>.</w:t>
      </w:r>
      <w:r w:rsidR="00776EA3">
        <w:rPr>
          <w:rFonts w:eastAsia="Times New Roman"/>
          <w:b/>
          <w:sz w:val="22"/>
          <w:lang w:val="ru-RU"/>
        </w:rPr>
        <w:t>, млн. лева</w:t>
      </w:r>
    </w:p>
    <w:p w:rsidR="00AA7853" w:rsidRDefault="008754D0" w:rsidP="00760603">
      <w:pPr>
        <w:spacing w:after="0"/>
        <w:rPr>
          <w:rFonts w:eastAsia="Times New Roman"/>
          <w:sz w:val="18"/>
          <w:szCs w:val="20"/>
          <w:lang w:val="ru-RU"/>
        </w:rPr>
      </w:pPr>
      <w:r>
        <w:rPr>
          <w:noProof/>
          <w:sz w:val="22"/>
        </w:rPr>
        <w:drawing>
          <wp:inline distT="0" distB="0" distL="0" distR="0" wp14:anchorId="239FF445" wp14:editId="4A6ACB50">
            <wp:extent cx="6220691" cy="26167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350" cy="2617853"/>
                    </a:xfrm>
                    <a:prstGeom prst="rect">
                      <a:avLst/>
                    </a:prstGeom>
                    <a:noFill/>
                  </pic:spPr>
                </pic:pic>
              </a:graphicData>
            </a:graphic>
          </wp:inline>
        </w:drawing>
      </w:r>
    </w:p>
    <w:p w:rsidR="00760603" w:rsidRDefault="008754D0" w:rsidP="00760603">
      <w:pPr>
        <w:spacing w:after="0"/>
        <w:rPr>
          <w:rFonts w:eastAsia="Times New Roman"/>
          <w:sz w:val="18"/>
          <w:szCs w:val="20"/>
          <w:lang w:val="ru-RU"/>
        </w:rPr>
      </w:pPr>
      <w:r w:rsidRPr="008754D0">
        <w:rPr>
          <w:rFonts w:eastAsia="Times New Roman"/>
          <w:sz w:val="18"/>
          <w:szCs w:val="20"/>
          <w:lang w:val="ru-RU"/>
        </w:rPr>
        <w:t>Източник: Комисия за финансов надзор</w:t>
      </w:r>
    </w:p>
    <w:p w:rsidR="008754D0" w:rsidRDefault="008754D0" w:rsidP="00760603">
      <w:pPr>
        <w:spacing w:after="0"/>
        <w:rPr>
          <w:rFonts w:eastAsia="Times New Roman"/>
          <w:sz w:val="18"/>
          <w:szCs w:val="20"/>
          <w:lang w:val="ru-RU"/>
        </w:rPr>
      </w:pPr>
      <w:r w:rsidRPr="008754D0">
        <w:rPr>
          <w:rFonts w:eastAsia="Times New Roman"/>
          <w:sz w:val="18"/>
          <w:szCs w:val="20"/>
          <w:lang w:val="ru-RU"/>
        </w:rPr>
        <w:t>* Предварителни данни</w:t>
      </w:r>
    </w:p>
    <w:p w:rsidR="003259A5" w:rsidRPr="003259A5" w:rsidRDefault="003259A5" w:rsidP="003259A5">
      <w:pPr>
        <w:spacing w:after="0" w:line="240" w:lineRule="auto"/>
        <w:rPr>
          <w:rFonts w:eastAsia="Times New Roman"/>
          <w:sz w:val="18"/>
          <w:szCs w:val="20"/>
          <w:lang w:val="ru-RU"/>
        </w:rPr>
      </w:pPr>
    </w:p>
    <w:p w:rsidR="00BB1B89" w:rsidRDefault="00BB1B89" w:rsidP="00BB1B89">
      <w:pPr>
        <w:spacing w:before="120" w:after="240"/>
        <w:rPr>
          <w:bCs/>
          <w:sz w:val="22"/>
          <w:lang w:val="bg-BG"/>
        </w:rPr>
      </w:pPr>
      <w:r w:rsidRPr="00EA7BE6">
        <w:rPr>
          <w:bCs/>
          <w:sz w:val="22"/>
          <w:lang w:val="bg-BG"/>
        </w:rPr>
        <w:t>В същото време земеделските стопани търпят вреди от нанесени щети върху обработваемите земеделски земи, незащитени от неблагоприятни климатични събития в земеделието, в частност – градушки. В таблицата по-долу са представени п</w:t>
      </w:r>
      <w:r w:rsidRPr="00EA7BE6">
        <w:rPr>
          <w:sz w:val="22"/>
          <w:lang w:val="bg-BG"/>
        </w:rPr>
        <w:t>ропаднали на 100% площи вследствие от градушки, съгласно констативни протоколи на регистрирани земеделски производители, във връзка с изплащане на държавна помощ за компенсиране на щети</w:t>
      </w:r>
      <w:r w:rsidRPr="00EA7BE6">
        <w:rPr>
          <w:bCs/>
          <w:sz w:val="22"/>
          <w:lang w:val="bg-BG"/>
        </w:rPr>
        <w:t>:</w:t>
      </w:r>
    </w:p>
    <w:p w:rsidR="009C5A9E" w:rsidRPr="009C5A9E" w:rsidRDefault="009C5A9E" w:rsidP="009C5A9E">
      <w:pPr>
        <w:spacing w:after="0" w:line="240" w:lineRule="auto"/>
        <w:rPr>
          <w:b/>
          <w:bCs/>
          <w:sz w:val="22"/>
          <w:lang w:val="bg-BG"/>
        </w:rPr>
      </w:pPr>
      <w:r w:rsidRPr="009C5A9E">
        <w:rPr>
          <w:b/>
          <w:bCs/>
          <w:sz w:val="22"/>
          <w:lang w:val="bg-BG"/>
        </w:rPr>
        <w:t xml:space="preserve">Таблица </w:t>
      </w:r>
      <w:r w:rsidR="00776EA3">
        <w:rPr>
          <w:b/>
          <w:bCs/>
          <w:sz w:val="22"/>
          <w:lang w:val="bg-BG"/>
        </w:rPr>
        <w:t>9</w:t>
      </w:r>
    </w:p>
    <w:p w:rsidR="00293ED4" w:rsidRDefault="00293ED4" w:rsidP="009C5A9E">
      <w:pPr>
        <w:spacing w:after="0" w:line="240" w:lineRule="auto"/>
        <w:rPr>
          <w:b/>
          <w:bCs/>
          <w:sz w:val="22"/>
          <w:lang w:val="bg-BG"/>
        </w:rPr>
      </w:pPr>
      <w:r>
        <w:rPr>
          <w:b/>
          <w:bCs/>
          <w:sz w:val="22"/>
          <w:lang w:val="bg-BG"/>
        </w:rPr>
        <w:t>Данни за напълно пропаднали площи в резултат на градушка (</w:t>
      </w:r>
      <w:r w:rsidR="00AA7853">
        <w:rPr>
          <w:b/>
          <w:bCs/>
          <w:sz w:val="22"/>
          <w:lang w:val="bg-BG"/>
        </w:rPr>
        <w:t>съгласно констативни протоколи) по области и години</w:t>
      </w:r>
    </w:p>
    <w:p w:rsidR="007217BE" w:rsidRDefault="007217BE" w:rsidP="009C5A9E">
      <w:pPr>
        <w:spacing w:after="0" w:line="240" w:lineRule="auto"/>
        <w:rPr>
          <w:rFonts w:eastAsia="Times New Roman"/>
          <w:b/>
          <w:bCs/>
          <w:color w:val="365F91" w:themeColor="accent1" w:themeShade="BF"/>
          <w:sz w:val="22"/>
          <w:lang w:val="bg-BG"/>
        </w:rPr>
      </w:pPr>
      <w:r w:rsidRPr="007217BE">
        <w:rPr>
          <w:noProof/>
        </w:rPr>
        <w:drawing>
          <wp:inline distT="0" distB="0" distL="0" distR="0" wp14:anchorId="7E06AA81" wp14:editId="60C80D06">
            <wp:extent cx="5915891" cy="6698673"/>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891" cy="6698673"/>
                    </a:xfrm>
                    <a:prstGeom prst="rect">
                      <a:avLst/>
                    </a:prstGeom>
                    <a:noFill/>
                    <a:ln>
                      <a:noFill/>
                    </a:ln>
                  </pic:spPr>
                </pic:pic>
              </a:graphicData>
            </a:graphic>
          </wp:inline>
        </w:drawing>
      </w:r>
    </w:p>
    <w:p w:rsidR="006019E8" w:rsidRPr="00C53587" w:rsidRDefault="006019E8" w:rsidP="006019E8">
      <w:pPr>
        <w:spacing w:after="0" w:line="240" w:lineRule="auto"/>
        <w:rPr>
          <w:sz w:val="18"/>
          <w:szCs w:val="20"/>
          <w:lang w:val="ru-RU"/>
        </w:rPr>
      </w:pPr>
      <w:r w:rsidRPr="00C53587">
        <w:rPr>
          <w:rFonts w:eastAsia="Times New Roman"/>
          <w:bCs/>
          <w:sz w:val="18"/>
          <w:szCs w:val="20"/>
          <w:lang w:val="bg-BG"/>
        </w:rPr>
        <w:t>* Изплатените средства през съответната година касаят плащания за пропаднали площи през предходната година</w:t>
      </w:r>
    </w:p>
    <w:p w:rsidR="006019E8" w:rsidRPr="00C53587" w:rsidRDefault="006019E8" w:rsidP="006019E8">
      <w:pPr>
        <w:spacing w:after="0" w:line="240" w:lineRule="auto"/>
        <w:rPr>
          <w:rFonts w:eastAsia="Times New Roman"/>
          <w:bCs/>
          <w:sz w:val="18"/>
          <w:szCs w:val="20"/>
          <w:lang w:val="bg-BG"/>
        </w:rPr>
      </w:pPr>
      <w:r w:rsidRPr="00C53587">
        <w:rPr>
          <w:rFonts w:eastAsia="Times New Roman"/>
          <w:bCs/>
          <w:sz w:val="18"/>
          <w:szCs w:val="20"/>
          <w:lang w:val="bg-BG"/>
        </w:rPr>
        <w:t xml:space="preserve">** По данни от БАНСИК за заетостта и използването на територията на България </w:t>
      </w:r>
    </w:p>
    <w:p w:rsidR="00646BAD" w:rsidRPr="00EA7BE6" w:rsidRDefault="00646BAD" w:rsidP="00BB1B89">
      <w:pPr>
        <w:spacing w:before="120" w:after="240"/>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lastRenderedPageBreak/>
        <w:t>VII.2. Вариант 2: Приемане на проект на Закон за превенция от неблагоприятни климатични събития в земеделието</w:t>
      </w:r>
    </w:p>
    <w:p w:rsidR="00D12E96" w:rsidRPr="00C53587" w:rsidRDefault="00D12E96" w:rsidP="00D12E96">
      <w:pPr>
        <w:rPr>
          <w:sz w:val="22"/>
          <w:lang w:val="ru-RU"/>
        </w:rPr>
      </w:pPr>
      <w:r w:rsidRPr="00EA7BE6">
        <w:rPr>
          <w:sz w:val="22"/>
          <w:lang w:val="bg-BG"/>
        </w:rPr>
        <w:t>При реализирането на този вариант на действие ще бъде приет Закон за превенция от неблагоприятни климатични събития в земеделието, с който ще бъде създадена ефективна система за управление на риска от неблагоприятни климатични събития в земеделието, която да покрива територията на цялата страна.</w:t>
      </w:r>
    </w:p>
    <w:p w:rsidR="00D12E96" w:rsidRPr="00EA7BE6" w:rsidRDefault="00D12E96" w:rsidP="00D12E96">
      <w:pPr>
        <w:rPr>
          <w:sz w:val="22"/>
          <w:lang w:val="bg-BG"/>
        </w:rPr>
      </w:pPr>
      <w:r w:rsidRPr="00EA7BE6">
        <w:rPr>
          <w:sz w:val="22"/>
          <w:lang w:val="bg-BG"/>
        </w:rPr>
        <w:t>С предлаганата реформа ще се разшири обхвата на системата за борба с градушките, като се постигне защита върху 100% от обработваемите земеделски земи в страната (за които не са налице забрани и ограничения от различно естество), както и урбанизирани територии, за които съществува техническа възможност – Велико Търново, Ловеч, Габрово, Русе, Търговище, Шумен, Разград, Силистра, Добрич, Варна, Бургас, Ямбол, Кърджали, Смолян, Благоевград, Кюстендил, Перник, София.</w:t>
      </w:r>
    </w:p>
    <w:p w:rsidR="00D12E96" w:rsidRPr="00EA7BE6" w:rsidRDefault="00D12E96" w:rsidP="00D12E96">
      <w:pPr>
        <w:rPr>
          <w:sz w:val="22"/>
          <w:lang w:val="bg-BG"/>
        </w:rPr>
      </w:pPr>
      <w:r w:rsidRPr="00EA7BE6">
        <w:rPr>
          <w:sz w:val="22"/>
          <w:lang w:val="bg-BG"/>
        </w:rPr>
        <w:t xml:space="preserve">Осъществяването на предвидените в проекта на </w:t>
      </w:r>
      <w:r w:rsidR="006D3FCB">
        <w:rPr>
          <w:sz w:val="22"/>
          <w:lang w:val="bg-BG"/>
        </w:rPr>
        <w:t>з</w:t>
      </w:r>
      <w:r w:rsidRPr="00EA7BE6">
        <w:rPr>
          <w:sz w:val="22"/>
          <w:lang w:val="bg-BG"/>
        </w:rPr>
        <w:t xml:space="preserve">акона дейности изисква финансов ресурс, чийто годишен индикативен размер при пълно покритие на територията на страната възлиза на около </w:t>
      </w:r>
      <w:r w:rsidR="009C5A9E">
        <w:rPr>
          <w:sz w:val="22"/>
          <w:lang w:val="bg-BG"/>
        </w:rPr>
        <w:t>28</w:t>
      </w:r>
      <w:r w:rsidR="009C5A9E" w:rsidRPr="00EA7BE6">
        <w:rPr>
          <w:sz w:val="22"/>
          <w:lang w:val="bg-BG"/>
        </w:rPr>
        <w:t xml:space="preserve"> </w:t>
      </w:r>
      <w:r w:rsidRPr="00EA7BE6">
        <w:rPr>
          <w:sz w:val="22"/>
          <w:lang w:val="bg-BG"/>
        </w:rPr>
        <w:t>млн. лева към 2020 г</w:t>
      </w:r>
      <w:r w:rsidR="00574174" w:rsidRPr="00EA7BE6">
        <w:rPr>
          <w:sz w:val="22"/>
          <w:lang w:val="bg-BG"/>
        </w:rPr>
        <w:t>одина</w:t>
      </w:r>
      <w:r w:rsidRPr="00EA7BE6">
        <w:rPr>
          <w:sz w:val="22"/>
          <w:lang w:val="bg-BG"/>
        </w:rPr>
        <w:t xml:space="preserve">. Тези средства </w:t>
      </w:r>
      <w:r w:rsidR="00574174" w:rsidRPr="00EA7BE6">
        <w:rPr>
          <w:sz w:val="22"/>
          <w:lang w:val="bg-BG"/>
        </w:rPr>
        <w:t xml:space="preserve">се предвижда да бъдат осигурени чрез постъпления </w:t>
      </w:r>
      <w:r w:rsidRPr="00EA7BE6">
        <w:rPr>
          <w:sz w:val="22"/>
          <w:lang w:val="bg-BG"/>
        </w:rPr>
        <w:t xml:space="preserve">от държавния бюджет, вноски от земеделските стопани и застрахователните компании. </w:t>
      </w:r>
    </w:p>
    <w:p w:rsidR="00D12E96" w:rsidRPr="00EA7BE6" w:rsidRDefault="00574174" w:rsidP="00D12E96">
      <w:pPr>
        <w:rPr>
          <w:sz w:val="22"/>
          <w:lang w:val="bg-BG"/>
        </w:rPr>
      </w:pPr>
      <w:r w:rsidRPr="00EA7BE6">
        <w:rPr>
          <w:sz w:val="22"/>
          <w:lang w:val="bg-BG"/>
        </w:rPr>
        <w:t xml:space="preserve">В </w:t>
      </w:r>
      <w:r w:rsidR="00A911AA">
        <w:rPr>
          <w:sz w:val="22"/>
          <w:lang w:val="bg-BG"/>
        </w:rPr>
        <w:t>Т</w:t>
      </w:r>
      <w:r w:rsidRPr="00EA7BE6">
        <w:rPr>
          <w:sz w:val="22"/>
          <w:lang w:val="bg-BG"/>
        </w:rPr>
        <w:t>аблица</w:t>
      </w:r>
      <w:r w:rsidR="00A911AA">
        <w:rPr>
          <w:sz w:val="22"/>
          <w:lang w:val="bg-BG"/>
        </w:rPr>
        <w:t xml:space="preserve"> 10</w:t>
      </w:r>
      <w:r w:rsidRPr="00EA7BE6">
        <w:rPr>
          <w:sz w:val="22"/>
          <w:lang w:val="bg-BG"/>
        </w:rPr>
        <w:t xml:space="preserve"> е представено ф</w:t>
      </w:r>
      <w:r w:rsidR="00D12E96" w:rsidRPr="00EA7BE6">
        <w:rPr>
          <w:sz w:val="22"/>
          <w:lang w:val="bg-BG"/>
        </w:rPr>
        <w:t>инансово</w:t>
      </w:r>
      <w:r w:rsidRPr="00EA7BE6">
        <w:rPr>
          <w:sz w:val="22"/>
          <w:lang w:val="bg-BG"/>
        </w:rPr>
        <w:t>то</w:t>
      </w:r>
      <w:r w:rsidR="00D12E96" w:rsidRPr="00EA7BE6">
        <w:rPr>
          <w:sz w:val="22"/>
          <w:lang w:val="bg-BG"/>
        </w:rPr>
        <w:t xml:space="preserve"> обезпечаване на дейностите по управление на риска от неблагоприятни климатични събития</w:t>
      </w:r>
      <w:r w:rsidRPr="00EA7BE6">
        <w:rPr>
          <w:sz w:val="22"/>
          <w:lang w:val="bg-BG"/>
        </w:rPr>
        <w:t xml:space="preserve"> в земеделието за периода 2017 – 2020 година (в</w:t>
      </w:r>
      <w:r w:rsidR="00D12E96" w:rsidRPr="00EA7BE6">
        <w:rPr>
          <w:sz w:val="22"/>
          <w:lang w:val="bg-BG"/>
        </w:rPr>
        <w:t xml:space="preserve"> млн. лева</w:t>
      </w:r>
      <w:r w:rsidRPr="00EA7BE6">
        <w:rPr>
          <w:sz w:val="22"/>
          <w:lang w:val="bg-BG"/>
        </w:rPr>
        <w:t>).</w:t>
      </w:r>
    </w:p>
    <w:p w:rsidR="009C5A9E" w:rsidRPr="009C5A9E" w:rsidRDefault="009C5A9E" w:rsidP="009C5A9E">
      <w:pPr>
        <w:spacing w:after="0" w:line="240" w:lineRule="auto"/>
        <w:rPr>
          <w:b/>
          <w:bCs/>
          <w:sz w:val="22"/>
          <w:lang w:val="bg-BG"/>
        </w:rPr>
      </w:pPr>
      <w:r w:rsidRPr="009C5A9E">
        <w:rPr>
          <w:b/>
          <w:bCs/>
          <w:sz w:val="22"/>
          <w:lang w:val="bg-BG"/>
        </w:rPr>
        <w:t xml:space="preserve">Таблица </w:t>
      </w:r>
      <w:r w:rsidR="00FE7599">
        <w:rPr>
          <w:b/>
          <w:bCs/>
          <w:sz w:val="22"/>
          <w:lang w:val="bg-BG"/>
        </w:rPr>
        <w:t>10</w:t>
      </w:r>
    </w:p>
    <w:p w:rsidR="009C5A9E" w:rsidRPr="009C5A9E" w:rsidRDefault="009C5A9E" w:rsidP="009C5A9E">
      <w:pPr>
        <w:spacing w:after="0" w:line="240" w:lineRule="auto"/>
        <w:rPr>
          <w:rFonts w:eastAsia="Times New Roman"/>
          <w:b/>
          <w:sz w:val="22"/>
          <w:szCs w:val="18"/>
          <w:lang w:val="ru-RU"/>
        </w:rPr>
      </w:pPr>
      <w:r w:rsidRPr="009C5A9E">
        <w:rPr>
          <w:rFonts w:eastAsia="Times New Roman" w:hint="eastAsia"/>
          <w:b/>
          <w:sz w:val="22"/>
          <w:szCs w:val="18"/>
          <w:lang w:val="ru-RU"/>
        </w:rPr>
        <w:t>Общо</w:t>
      </w:r>
      <w:r w:rsidRPr="009C5A9E">
        <w:rPr>
          <w:rFonts w:eastAsia="Times New Roman"/>
          <w:b/>
          <w:sz w:val="22"/>
          <w:szCs w:val="18"/>
          <w:lang w:val="ru-RU"/>
        </w:rPr>
        <w:t xml:space="preserve"> </w:t>
      </w:r>
      <w:r w:rsidRPr="009C5A9E">
        <w:rPr>
          <w:rFonts w:eastAsia="Times New Roman" w:hint="eastAsia"/>
          <w:b/>
          <w:sz w:val="22"/>
          <w:szCs w:val="18"/>
          <w:lang w:val="ru-RU"/>
        </w:rPr>
        <w:t>необходими</w:t>
      </w:r>
      <w:r w:rsidRPr="009C5A9E">
        <w:rPr>
          <w:rFonts w:eastAsia="Times New Roman"/>
          <w:b/>
          <w:sz w:val="22"/>
          <w:szCs w:val="18"/>
          <w:lang w:val="ru-RU"/>
        </w:rPr>
        <w:t xml:space="preserve"> </w:t>
      </w:r>
      <w:r w:rsidRPr="009C5A9E">
        <w:rPr>
          <w:rFonts w:eastAsia="Times New Roman" w:hint="eastAsia"/>
          <w:b/>
          <w:sz w:val="22"/>
          <w:szCs w:val="18"/>
          <w:lang w:val="ru-RU"/>
        </w:rPr>
        <w:t>средства</w:t>
      </w:r>
      <w:r w:rsidRPr="009C5A9E">
        <w:rPr>
          <w:rFonts w:eastAsia="Times New Roman"/>
          <w:b/>
          <w:sz w:val="22"/>
          <w:szCs w:val="18"/>
          <w:lang w:val="ru-RU"/>
        </w:rPr>
        <w:t xml:space="preserve"> </w:t>
      </w:r>
      <w:r w:rsidRPr="009C5A9E">
        <w:rPr>
          <w:rFonts w:eastAsia="Times New Roman" w:hint="eastAsia"/>
          <w:b/>
          <w:sz w:val="22"/>
          <w:szCs w:val="18"/>
          <w:lang w:val="ru-RU"/>
        </w:rPr>
        <w:t>за</w:t>
      </w:r>
      <w:r w:rsidRPr="009C5A9E">
        <w:rPr>
          <w:rFonts w:eastAsia="Times New Roman"/>
          <w:b/>
          <w:sz w:val="22"/>
          <w:szCs w:val="18"/>
          <w:lang w:val="ru-RU"/>
        </w:rPr>
        <w:t xml:space="preserve"> </w:t>
      </w:r>
      <w:r w:rsidRPr="009C5A9E">
        <w:rPr>
          <w:rFonts w:eastAsia="Times New Roman" w:hint="eastAsia"/>
          <w:b/>
          <w:sz w:val="22"/>
          <w:szCs w:val="18"/>
          <w:lang w:val="ru-RU"/>
        </w:rPr>
        <w:t>дейности</w:t>
      </w:r>
      <w:r w:rsidRPr="009C5A9E">
        <w:rPr>
          <w:rFonts w:eastAsia="Times New Roman"/>
          <w:b/>
          <w:sz w:val="22"/>
          <w:szCs w:val="18"/>
          <w:lang w:val="ru-RU"/>
        </w:rPr>
        <w:t xml:space="preserve"> </w:t>
      </w:r>
      <w:r w:rsidRPr="009C5A9E">
        <w:rPr>
          <w:rFonts w:eastAsia="Times New Roman" w:hint="eastAsia"/>
          <w:b/>
          <w:sz w:val="22"/>
          <w:szCs w:val="18"/>
          <w:lang w:val="ru-RU"/>
        </w:rPr>
        <w:t>по</w:t>
      </w:r>
      <w:r w:rsidRPr="009C5A9E">
        <w:rPr>
          <w:rFonts w:eastAsia="Times New Roman"/>
          <w:b/>
          <w:sz w:val="22"/>
          <w:szCs w:val="18"/>
          <w:lang w:val="ru-RU"/>
        </w:rPr>
        <w:t xml:space="preserve"> </w:t>
      </w:r>
      <w:r w:rsidRPr="009C5A9E">
        <w:rPr>
          <w:rFonts w:eastAsia="Times New Roman" w:hint="eastAsia"/>
          <w:b/>
          <w:sz w:val="22"/>
          <w:szCs w:val="18"/>
          <w:lang w:val="ru-RU"/>
        </w:rPr>
        <w:t>градозащита</w:t>
      </w:r>
      <w:r w:rsidRPr="009C5A9E">
        <w:rPr>
          <w:rFonts w:eastAsia="Times New Roman"/>
          <w:b/>
          <w:sz w:val="22"/>
          <w:szCs w:val="18"/>
          <w:lang w:val="ru-RU"/>
        </w:rPr>
        <w:t xml:space="preserve"> – </w:t>
      </w:r>
      <w:r w:rsidRPr="009C5A9E">
        <w:rPr>
          <w:rFonts w:eastAsia="Times New Roman" w:hint="eastAsia"/>
          <w:b/>
          <w:sz w:val="22"/>
          <w:szCs w:val="18"/>
          <w:lang w:val="ru-RU"/>
        </w:rPr>
        <w:t>прогноза</w:t>
      </w:r>
      <w:r w:rsidRPr="009C5A9E">
        <w:rPr>
          <w:rFonts w:eastAsia="Times New Roman"/>
          <w:b/>
          <w:sz w:val="22"/>
          <w:szCs w:val="18"/>
          <w:lang w:val="ru-RU"/>
        </w:rPr>
        <w:t xml:space="preserve">, </w:t>
      </w:r>
      <w:r w:rsidRPr="009C5A9E">
        <w:rPr>
          <w:rFonts w:eastAsia="Times New Roman" w:hint="eastAsia"/>
          <w:b/>
          <w:sz w:val="22"/>
          <w:szCs w:val="18"/>
          <w:lang w:val="ru-RU"/>
        </w:rPr>
        <w:t>млн</w:t>
      </w:r>
      <w:r w:rsidRPr="009C5A9E">
        <w:rPr>
          <w:rFonts w:eastAsia="Times New Roman"/>
          <w:b/>
          <w:sz w:val="22"/>
          <w:szCs w:val="18"/>
          <w:lang w:val="ru-RU"/>
        </w:rPr>
        <w:t xml:space="preserve">. </w:t>
      </w:r>
      <w:r w:rsidRPr="009C5A9E">
        <w:rPr>
          <w:rFonts w:eastAsia="Times New Roman" w:hint="eastAsia"/>
          <w:b/>
          <w:sz w:val="22"/>
          <w:szCs w:val="18"/>
          <w:lang w:val="ru-RU"/>
        </w:rPr>
        <w:t>лв</w:t>
      </w:r>
      <w:r w:rsidRPr="009C5A9E">
        <w:rPr>
          <w:rFonts w:eastAsia="Times New Roman"/>
          <w:b/>
          <w:sz w:val="22"/>
          <w:szCs w:val="18"/>
          <w:lang w:val="ru-RU"/>
        </w:rPr>
        <w:t>.</w:t>
      </w:r>
    </w:p>
    <w:tbl>
      <w:tblPr>
        <w:tblW w:w="9164" w:type="dxa"/>
        <w:tblLayout w:type="fixed"/>
        <w:tblCellMar>
          <w:left w:w="70" w:type="dxa"/>
          <w:right w:w="70" w:type="dxa"/>
        </w:tblCellMar>
        <w:tblLook w:val="04A0" w:firstRow="1" w:lastRow="0" w:firstColumn="1" w:lastColumn="0" w:noHBand="0" w:noVBand="1"/>
      </w:tblPr>
      <w:tblGrid>
        <w:gridCol w:w="3910"/>
        <w:gridCol w:w="1283"/>
        <w:gridCol w:w="1283"/>
        <w:gridCol w:w="1364"/>
        <w:gridCol w:w="1324"/>
      </w:tblGrid>
      <w:tr w:rsidR="009C5A9E" w:rsidRPr="009C5A9E" w:rsidTr="00C53587">
        <w:trPr>
          <w:trHeight w:val="671"/>
        </w:trPr>
        <w:tc>
          <w:tcPr>
            <w:tcW w:w="3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center"/>
              <w:rPr>
                <w:rFonts w:eastAsia="Times New Roman"/>
                <w:b/>
                <w:bCs/>
                <w:color w:val="000000"/>
                <w:sz w:val="22"/>
                <w:szCs w:val="24"/>
                <w:lang w:val="bg-BG" w:eastAsia="bg-BG"/>
              </w:rPr>
            </w:pPr>
            <w:r w:rsidRPr="009C5A9E">
              <w:rPr>
                <w:rFonts w:eastAsia="Times New Roman"/>
                <w:b/>
                <w:bCs/>
                <w:color w:val="000000"/>
                <w:sz w:val="22"/>
                <w:szCs w:val="24"/>
                <w:lang w:val="bg-BG" w:eastAsia="bg-BG"/>
              </w:rPr>
              <w:t> </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center"/>
              <w:rPr>
                <w:rFonts w:eastAsia="Times New Roman"/>
                <w:b/>
                <w:bCs/>
                <w:color w:val="000000"/>
                <w:sz w:val="22"/>
                <w:szCs w:val="24"/>
                <w:lang w:val="bg-BG" w:eastAsia="bg-BG"/>
              </w:rPr>
            </w:pPr>
            <w:r w:rsidRPr="009C5A9E">
              <w:rPr>
                <w:rFonts w:eastAsia="Times New Roman"/>
                <w:b/>
                <w:bCs/>
                <w:color w:val="000000"/>
                <w:sz w:val="22"/>
                <w:szCs w:val="24"/>
                <w:lang w:val="bg-BG" w:eastAsia="bg-BG"/>
              </w:rPr>
              <w:t>2017</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center"/>
              <w:rPr>
                <w:rFonts w:eastAsia="Times New Roman"/>
                <w:b/>
                <w:bCs/>
                <w:color w:val="000000"/>
                <w:sz w:val="22"/>
                <w:szCs w:val="24"/>
                <w:lang w:val="bg-BG" w:eastAsia="bg-BG"/>
              </w:rPr>
            </w:pPr>
            <w:r w:rsidRPr="009C5A9E">
              <w:rPr>
                <w:rFonts w:eastAsia="Times New Roman"/>
                <w:b/>
                <w:bCs/>
                <w:color w:val="000000"/>
                <w:sz w:val="22"/>
                <w:szCs w:val="24"/>
                <w:lang w:val="bg-BG" w:eastAsia="bg-BG"/>
              </w:rPr>
              <w:t>2018</w:t>
            </w:r>
          </w:p>
        </w:tc>
        <w:tc>
          <w:tcPr>
            <w:tcW w:w="1364" w:type="dxa"/>
            <w:tcBorders>
              <w:top w:val="single" w:sz="4" w:space="0" w:color="auto"/>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center"/>
              <w:rPr>
                <w:rFonts w:eastAsia="Times New Roman"/>
                <w:b/>
                <w:bCs/>
                <w:color w:val="000000"/>
                <w:sz w:val="22"/>
                <w:szCs w:val="24"/>
                <w:lang w:val="bg-BG" w:eastAsia="bg-BG"/>
              </w:rPr>
            </w:pPr>
            <w:r w:rsidRPr="009C5A9E">
              <w:rPr>
                <w:rFonts w:eastAsia="Times New Roman"/>
                <w:b/>
                <w:bCs/>
                <w:color w:val="000000"/>
                <w:sz w:val="22"/>
                <w:szCs w:val="24"/>
                <w:lang w:val="bg-BG" w:eastAsia="bg-BG"/>
              </w:rPr>
              <w:t>2019</w:t>
            </w:r>
          </w:p>
        </w:tc>
        <w:tc>
          <w:tcPr>
            <w:tcW w:w="1324" w:type="dxa"/>
            <w:tcBorders>
              <w:top w:val="single" w:sz="4" w:space="0" w:color="auto"/>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center"/>
              <w:rPr>
                <w:rFonts w:eastAsia="Times New Roman"/>
                <w:b/>
                <w:bCs/>
                <w:color w:val="000000"/>
                <w:sz w:val="22"/>
                <w:szCs w:val="24"/>
                <w:lang w:val="bg-BG" w:eastAsia="bg-BG"/>
              </w:rPr>
            </w:pPr>
            <w:r w:rsidRPr="009C5A9E">
              <w:rPr>
                <w:rFonts w:eastAsia="Times New Roman"/>
                <w:b/>
                <w:bCs/>
                <w:color w:val="000000"/>
                <w:sz w:val="22"/>
                <w:szCs w:val="24"/>
                <w:lang w:val="bg-BG" w:eastAsia="bg-BG"/>
              </w:rPr>
              <w:t>2020</w:t>
            </w:r>
          </w:p>
        </w:tc>
      </w:tr>
      <w:tr w:rsidR="009C5A9E" w:rsidRPr="009C5A9E" w:rsidTr="00C53587">
        <w:trPr>
          <w:trHeight w:val="531"/>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left"/>
              <w:rPr>
                <w:rFonts w:eastAsia="Times New Roman"/>
                <w:b/>
                <w:bCs/>
                <w:color w:val="000000"/>
                <w:sz w:val="22"/>
                <w:szCs w:val="24"/>
                <w:lang w:val="bg-BG" w:eastAsia="bg-BG"/>
              </w:rPr>
            </w:pPr>
            <w:r w:rsidRPr="009C5A9E">
              <w:rPr>
                <w:rFonts w:eastAsia="Times New Roman"/>
                <w:b/>
                <w:bCs/>
                <w:color w:val="000000"/>
                <w:sz w:val="22"/>
                <w:szCs w:val="24"/>
                <w:lang w:val="bg-BG" w:eastAsia="bg-BG"/>
              </w:rPr>
              <w:t>1. Градозащита с ракетен способ, в т. ч.:</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13,7</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15,7</w:t>
            </w:r>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20,0</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20,0</w:t>
            </w:r>
          </w:p>
        </w:tc>
      </w:tr>
      <w:tr w:rsidR="009C5A9E" w:rsidRPr="009C5A9E" w:rsidTr="00C53587">
        <w:trPr>
          <w:trHeight w:val="360"/>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ind w:firstLineChars="400" w:firstLine="880"/>
              <w:jc w:val="left"/>
              <w:rPr>
                <w:rFonts w:eastAsia="Times New Roman"/>
                <w:color w:val="000000"/>
                <w:sz w:val="22"/>
                <w:szCs w:val="24"/>
                <w:lang w:val="bg-BG" w:eastAsia="bg-BG"/>
              </w:rPr>
            </w:pPr>
            <w:r w:rsidRPr="009C5A9E">
              <w:rPr>
                <w:rFonts w:eastAsia="Times New Roman"/>
                <w:color w:val="000000"/>
                <w:sz w:val="22"/>
                <w:szCs w:val="24"/>
                <w:lang w:val="bg-BG" w:eastAsia="bg-BG"/>
              </w:rPr>
              <w:t>Персонал</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6,3</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6,7</w:t>
            </w:r>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10,1</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10,1</w:t>
            </w:r>
          </w:p>
        </w:tc>
      </w:tr>
      <w:tr w:rsidR="009C5A9E" w:rsidRPr="009C5A9E" w:rsidTr="00C53587">
        <w:trPr>
          <w:trHeight w:val="360"/>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ind w:firstLineChars="400" w:firstLine="880"/>
              <w:jc w:val="left"/>
              <w:rPr>
                <w:rFonts w:eastAsia="Times New Roman"/>
                <w:color w:val="000000"/>
                <w:sz w:val="22"/>
                <w:szCs w:val="24"/>
                <w:lang w:val="bg-BG" w:eastAsia="bg-BG"/>
              </w:rPr>
            </w:pPr>
            <w:r w:rsidRPr="009C5A9E">
              <w:rPr>
                <w:rFonts w:eastAsia="Times New Roman"/>
                <w:color w:val="000000"/>
                <w:sz w:val="22"/>
                <w:szCs w:val="24"/>
                <w:lang w:val="bg-BG" w:eastAsia="bg-BG"/>
              </w:rPr>
              <w:t>Постоянна издръжка</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1,6</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2,0</w:t>
            </w:r>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2,7</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2,7</w:t>
            </w:r>
          </w:p>
        </w:tc>
      </w:tr>
      <w:tr w:rsidR="009C5A9E" w:rsidRPr="009C5A9E" w:rsidTr="00C53587">
        <w:trPr>
          <w:trHeight w:val="360"/>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ind w:firstLineChars="400" w:firstLine="880"/>
              <w:jc w:val="left"/>
              <w:rPr>
                <w:rFonts w:eastAsia="Times New Roman"/>
                <w:color w:val="000000"/>
                <w:sz w:val="22"/>
                <w:szCs w:val="24"/>
                <w:lang w:val="bg-BG" w:eastAsia="bg-BG"/>
              </w:rPr>
            </w:pPr>
            <w:r w:rsidRPr="009C5A9E">
              <w:rPr>
                <w:rFonts w:eastAsia="Times New Roman"/>
                <w:color w:val="000000"/>
                <w:sz w:val="22"/>
                <w:szCs w:val="24"/>
                <w:lang w:val="bg-BG" w:eastAsia="bg-BG"/>
              </w:rPr>
              <w:t>Разходи за ракети</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5,8</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7,0</w:t>
            </w:r>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7,2</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7,2</w:t>
            </w:r>
          </w:p>
        </w:tc>
      </w:tr>
      <w:tr w:rsidR="009C5A9E" w:rsidRPr="009C5A9E" w:rsidTr="00C53587">
        <w:trPr>
          <w:trHeight w:val="531"/>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left"/>
              <w:rPr>
                <w:rFonts w:eastAsia="Times New Roman"/>
                <w:b/>
                <w:bCs/>
                <w:color w:val="000000"/>
                <w:sz w:val="22"/>
                <w:szCs w:val="24"/>
                <w:lang w:val="bg-BG" w:eastAsia="bg-BG"/>
              </w:rPr>
            </w:pPr>
            <w:r w:rsidRPr="009C5A9E">
              <w:rPr>
                <w:rFonts w:eastAsia="Times New Roman"/>
                <w:b/>
                <w:bCs/>
                <w:color w:val="000000"/>
                <w:sz w:val="22"/>
                <w:szCs w:val="24"/>
                <w:lang w:val="bg-BG" w:eastAsia="bg-BG"/>
              </w:rPr>
              <w:t>2. Градозащита със самолетен способ</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b/>
                <w:color w:val="000000"/>
                <w:sz w:val="22"/>
                <w:szCs w:val="24"/>
                <w:lang w:val="bg-BG" w:eastAsia="bg-BG"/>
              </w:rPr>
            </w:pPr>
            <w:r w:rsidRPr="009C5A9E">
              <w:rPr>
                <w:rFonts w:eastAsia="Times New Roman"/>
                <w:b/>
                <w:color w:val="000000"/>
                <w:sz w:val="22"/>
                <w:szCs w:val="24"/>
                <w:lang w:val="bg-BG" w:eastAsia="bg-BG"/>
              </w:rPr>
              <w:t>0,</w:t>
            </w:r>
            <w:proofErr w:type="spellStart"/>
            <w:r w:rsidRPr="009C5A9E">
              <w:rPr>
                <w:rFonts w:eastAsia="Times New Roman"/>
                <w:b/>
                <w:color w:val="000000"/>
                <w:sz w:val="22"/>
                <w:szCs w:val="24"/>
                <w:lang w:val="bg-BG" w:eastAsia="bg-BG"/>
              </w:rPr>
              <w:t>0</w:t>
            </w:r>
            <w:proofErr w:type="spellEnd"/>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b/>
                <w:color w:val="000000"/>
                <w:sz w:val="22"/>
                <w:szCs w:val="24"/>
                <w:lang w:val="bg-BG" w:eastAsia="bg-BG"/>
              </w:rPr>
            </w:pPr>
            <w:r w:rsidRPr="009C5A9E">
              <w:rPr>
                <w:rFonts w:eastAsia="Times New Roman"/>
                <w:b/>
                <w:color w:val="000000"/>
                <w:sz w:val="22"/>
                <w:szCs w:val="24"/>
                <w:lang w:val="bg-BG" w:eastAsia="bg-BG"/>
              </w:rPr>
              <w:t>0,</w:t>
            </w:r>
            <w:proofErr w:type="spellStart"/>
            <w:r w:rsidRPr="009C5A9E">
              <w:rPr>
                <w:rFonts w:eastAsia="Times New Roman"/>
                <w:b/>
                <w:color w:val="000000"/>
                <w:sz w:val="22"/>
                <w:szCs w:val="24"/>
                <w:lang w:val="bg-BG" w:eastAsia="bg-BG"/>
              </w:rPr>
              <w:t>0</w:t>
            </w:r>
            <w:proofErr w:type="spellEnd"/>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b/>
                <w:color w:val="000000"/>
                <w:sz w:val="22"/>
                <w:szCs w:val="24"/>
                <w:lang w:val="bg-BG" w:eastAsia="bg-BG"/>
              </w:rPr>
            </w:pPr>
            <w:r w:rsidRPr="009C5A9E">
              <w:rPr>
                <w:rFonts w:eastAsia="Times New Roman"/>
                <w:b/>
                <w:color w:val="000000"/>
                <w:sz w:val="22"/>
                <w:szCs w:val="24"/>
                <w:lang w:val="bg-BG" w:eastAsia="bg-BG"/>
              </w:rPr>
              <w:t>8,0</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b/>
                <w:color w:val="000000"/>
                <w:sz w:val="22"/>
                <w:szCs w:val="24"/>
                <w:lang w:val="bg-BG" w:eastAsia="bg-BG"/>
              </w:rPr>
            </w:pPr>
            <w:r w:rsidRPr="009C5A9E">
              <w:rPr>
                <w:rFonts w:eastAsia="Times New Roman"/>
                <w:b/>
                <w:color w:val="000000"/>
                <w:sz w:val="22"/>
                <w:szCs w:val="24"/>
                <w:lang w:val="bg-BG" w:eastAsia="bg-BG"/>
              </w:rPr>
              <w:t>8,0</w:t>
            </w:r>
          </w:p>
        </w:tc>
      </w:tr>
      <w:tr w:rsidR="009C5A9E" w:rsidRPr="009C5A9E" w:rsidTr="00C53587">
        <w:trPr>
          <w:trHeight w:val="360"/>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left"/>
              <w:rPr>
                <w:rFonts w:eastAsia="Times New Roman"/>
                <w:b/>
                <w:bCs/>
                <w:color w:val="000000"/>
                <w:sz w:val="22"/>
                <w:szCs w:val="24"/>
                <w:lang w:val="bg-BG" w:eastAsia="bg-BG"/>
              </w:rPr>
            </w:pPr>
            <w:r w:rsidRPr="009C5A9E">
              <w:rPr>
                <w:rFonts w:eastAsia="Times New Roman"/>
                <w:b/>
                <w:bCs/>
                <w:color w:val="000000"/>
                <w:sz w:val="22"/>
                <w:szCs w:val="24"/>
                <w:lang w:val="bg-BG" w:eastAsia="bg-BG"/>
              </w:rPr>
              <w:t>Общо средства за дейността</w:t>
            </w:r>
          </w:p>
        </w:tc>
        <w:tc>
          <w:tcPr>
            <w:tcW w:w="1283" w:type="dxa"/>
            <w:tcBorders>
              <w:top w:val="nil"/>
              <w:left w:val="nil"/>
              <w:bottom w:val="single" w:sz="4" w:space="0" w:color="auto"/>
              <w:right w:val="single" w:sz="4" w:space="0" w:color="auto"/>
            </w:tcBorders>
            <w:shd w:val="clear" w:color="000000" w:fill="FFFFFF"/>
            <w:noWrap/>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13,7</w:t>
            </w:r>
          </w:p>
        </w:tc>
        <w:tc>
          <w:tcPr>
            <w:tcW w:w="1283" w:type="dxa"/>
            <w:tcBorders>
              <w:top w:val="nil"/>
              <w:left w:val="nil"/>
              <w:bottom w:val="single" w:sz="4" w:space="0" w:color="auto"/>
              <w:right w:val="single" w:sz="4" w:space="0" w:color="auto"/>
            </w:tcBorders>
            <w:shd w:val="clear" w:color="000000" w:fill="FFFFFF"/>
            <w:noWrap/>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15,7</w:t>
            </w:r>
          </w:p>
        </w:tc>
        <w:tc>
          <w:tcPr>
            <w:tcW w:w="1364" w:type="dxa"/>
            <w:tcBorders>
              <w:top w:val="nil"/>
              <w:left w:val="nil"/>
              <w:bottom w:val="single" w:sz="4" w:space="0" w:color="auto"/>
              <w:right w:val="single" w:sz="4" w:space="0" w:color="auto"/>
            </w:tcBorders>
            <w:shd w:val="clear" w:color="000000" w:fill="E4DFEC"/>
            <w:noWrap/>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28,0</w:t>
            </w:r>
          </w:p>
        </w:tc>
        <w:tc>
          <w:tcPr>
            <w:tcW w:w="1324" w:type="dxa"/>
            <w:tcBorders>
              <w:top w:val="nil"/>
              <w:left w:val="nil"/>
              <w:bottom w:val="single" w:sz="4" w:space="0" w:color="auto"/>
              <w:right w:val="single" w:sz="4" w:space="0" w:color="auto"/>
            </w:tcBorders>
            <w:shd w:val="clear" w:color="000000" w:fill="E4DFEC"/>
            <w:noWrap/>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28,0</w:t>
            </w:r>
          </w:p>
        </w:tc>
      </w:tr>
      <w:tr w:rsidR="009C5A9E" w:rsidRPr="009C5A9E" w:rsidTr="00C53587">
        <w:trPr>
          <w:trHeight w:val="501"/>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left"/>
              <w:rPr>
                <w:rFonts w:eastAsia="Times New Roman"/>
                <w:color w:val="000000"/>
                <w:sz w:val="22"/>
                <w:szCs w:val="24"/>
                <w:lang w:val="bg-BG" w:eastAsia="bg-BG"/>
              </w:rPr>
            </w:pPr>
            <w:r w:rsidRPr="009C5A9E">
              <w:rPr>
                <w:rFonts w:eastAsia="Times New Roman"/>
                <w:color w:val="000000"/>
                <w:sz w:val="22"/>
                <w:szCs w:val="24"/>
                <w:lang w:val="bg-BG" w:eastAsia="bg-BG"/>
              </w:rPr>
              <w:t>Инвестиционна програма</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4,9</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5,</w:t>
            </w:r>
            <w:proofErr w:type="spellStart"/>
            <w:r w:rsidRPr="009C5A9E">
              <w:rPr>
                <w:rFonts w:eastAsia="Times New Roman"/>
                <w:color w:val="000000"/>
                <w:sz w:val="22"/>
                <w:szCs w:val="24"/>
                <w:lang w:val="bg-BG" w:eastAsia="bg-BG"/>
              </w:rPr>
              <w:t>5</w:t>
            </w:r>
            <w:proofErr w:type="spellEnd"/>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0,8</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color w:val="000000"/>
                <w:sz w:val="22"/>
                <w:szCs w:val="24"/>
                <w:lang w:val="bg-BG" w:eastAsia="bg-BG"/>
              </w:rPr>
            </w:pPr>
            <w:r w:rsidRPr="009C5A9E">
              <w:rPr>
                <w:rFonts w:eastAsia="Times New Roman"/>
                <w:color w:val="000000"/>
                <w:sz w:val="22"/>
                <w:szCs w:val="24"/>
                <w:lang w:val="bg-BG" w:eastAsia="bg-BG"/>
              </w:rPr>
              <w:t>0,9</w:t>
            </w:r>
          </w:p>
        </w:tc>
      </w:tr>
      <w:tr w:rsidR="009C5A9E" w:rsidRPr="009C5A9E" w:rsidTr="00C53587">
        <w:trPr>
          <w:trHeight w:val="601"/>
        </w:trPr>
        <w:tc>
          <w:tcPr>
            <w:tcW w:w="3910" w:type="dxa"/>
            <w:tcBorders>
              <w:top w:val="nil"/>
              <w:left w:val="single" w:sz="4" w:space="0" w:color="auto"/>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left"/>
              <w:rPr>
                <w:rFonts w:eastAsia="Times New Roman"/>
                <w:b/>
                <w:bCs/>
                <w:color w:val="000000"/>
                <w:sz w:val="22"/>
                <w:szCs w:val="24"/>
                <w:lang w:val="bg-BG" w:eastAsia="bg-BG"/>
              </w:rPr>
            </w:pPr>
            <w:r w:rsidRPr="009C5A9E">
              <w:rPr>
                <w:rFonts w:eastAsia="Times New Roman"/>
                <w:b/>
                <w:bCs/>
                <w:color w:val="000000"/>
                <w:sz w:val="22"/>
                <w:szCs w:val="24"/>
                <w:lang w:val="bg-BG" w:eastAsia="bg-BG"/>
              </w:rPr>
              <w:t>ОБЩО НЕОБХОДИМИ СРЕДСТВА ЗА ДЕЙНОСТТА И ИНВЕСТИЦИИ</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18,6</w:t>
            </w:r>
          </w:p>
        </w:tc>
        <w:tc>
          <w:tcPr>
            <w:tcW w:w="1283" w:type="dxa"/>
            <w:tcBorders>
              <w:top w:val="nil"/>
              <w:left w:val="nil"/>
              <w:bottom w:val="single" w:sz="4" w:space="0" w:color="auto"/>
              <w:right w:val="single" w:sz="4" w:space="0" w:color="auto"/>
            </w:tcBorders>
            <w:shd w:val="clear" w:color="000000" w:fill="FFFFFF"/>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21,2</w:t>
            </w:r>
          </w:p>
        </w:tc>
        <w:tc>
          <w:tcPr>
            <w:tcW w:w="136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28,8</w:t>
            </w:r>
          </w:p>
        </w:tc>
        <w:tc>
          <w:tcPr>
            <w:tcW w:w="1324" w:type="dxa"/>
            <w:tcBorders>
              <w:top w:val="nil"/>
              <w:left w:val="nil"/>
              <w:bottom w:val="single" w:sz="4" w:space="0" w:color="auto"/>
              <w:right w:val="single" w:sz="4" w:space="0" w:color="auto"/>
            </w:tcBorders>
            <w:shd w:val="clear" w:color="000000" w:fill="E4DFEC"/>
            <w:vAlign w:val="center"/>
            <w:hideMark/>
          </w:tcPr>
          <w:p w:rsidR="009C5A9E" w:rsidRPr="009C5A9E" w:rsidRDefault="009C5A9E" w:rsidP="009C5A9E">
            <w:pPr>
              <w:spacing w:after="0" w:line="240" w:lineRule="auto"/>
              <w:jc w:val="right"/>
              <w:rPr>
                <w:rFonts w:eastAsia="Times New Roman"/>
                <w:b/>
                <w:bCs/>
                <w:color w:val="000000"/>
                <w:sz w:val="22"/>
                <w:szCs w:val="24"/>
                <w:lang w:val="bg-BG" w:eastAsia="bg-BG"/>
              </w:rPr>
            </w:pPr>
            <w:r w:rsidRPr="009C5A9E">
              <w:rPr>
                <w:rFonts w:eastAsia="Times New Roman"/>
                <w:b/>
                <w:bCs/>
                <w:color w:val="000000"/>
                <w:sz w:val="22"/>
                <w:szCs w:val="24"/>
                <w:lang w:val="bg-BG" w:eastAsia="bg-BG"/>
              </w:rPr>
              <w:t>28,9</w:t>
            </w:r>
          </w:p>
        </w:tc>
      </w:tr>
    </w:tbl>
    <w:p w:rsidR="009C5A9E" w:rsidRDefault="009C5A9E" w:rsidP="00D12E96">
      <w:pPr>
        <w:rPr>
          <w:rFonts w:eastAsia="Times New Roman"/>
          <w:sz w:val="18"/>
          <w:szCs w:val="18"/>
          <w:lang w:val="bg-BG"/>
        </w:rPr>
      </w:pPr>
      <w:r w:rsidRPr="009C5A9E">
        <w:rPr>
          <w:rFonts w:eastAsia="Times New Roman"/>
          <w:sz w:val="18"/>
          <w:szCs w:val="18"/>
          <w:lang w:val="bg-BG"/>
        </w:rPr>
        <w:t>Забележка: Данните за 2019 г. и 2020 г. са прогнозни</w:t>
      </w:r>
      <w:r w:rsidRPr="009C5A9E">
        <w:rPr>
          <w:rFonts w:eastAsia="Times New Roman"/>
          <w:sz w:val="18"/>
          <w:szCs w:val="18"/>
          <w:lang w:val="bg-BG"/>
        </w:rPr>
        <w:tab/>
      </w:r>
    </w:p>
    <w:p w:rsidR="00D12E96" w:rsidRPr="00EA7BE6" w:rsidRDefault="00D12E96" w:rsidP="00D12E96">
      <w:pPr>
        <w:rPr>
          <w:b/>
          <w:sz w:val="22"/>
          <w:lang w:val="bg-BG"/>
        </w:rPr>
      </w:pPr>
      <w:r w:rsidRPr="00EA7BE6">
        <w:rPr>
          <w:b/>
          <w:sz w:val="22"/>
          <w:lang w:val="bg-BG"/>
        </w:rPr>
        <w:t>Въздействия за държавата</w:t>
      </w:r>
      <w:r w:rsidR="0041059F">
        <w:rPr>
          <w:b/>
          <w:sz w:val="22"/>
          <w:lang w:val="bg-BG"/>
        </w:rPr>
        <w:t xml:space="preserve"> </w:t>
      </w:r>
      <w:r w:rsidR="0041059F" w:rsidRPr="0041059F">
        <w:rPr>
          <w:b/>
          <w:bCs/>
          <w:iCs/>
          <w:sz w:val="22"/>
          <w:lang w:val="bg-BG"/>
        </w:rPr>
        <w:t>(държавните институции)</w:t>
      </w:r>
    </w:p>
    <w:p w:rsidR="00D12E96" w:rsidRPr="00EA7BE6" w:rsidRDefault="00D12E96" w:rsidP="00D12E96">
      <w:pPr>
        <w:rPr>
          <w:sz w:val="22"/>
          <w:lang w:val="bg-BG"/>
        </w:rPr>
      </w:pPr>
      <w:r w:rsidRPr="00EA7BE6">
        <w:rPr>
          <w:sz w:val="22"/>
          <w:lang w:val="bg-BG"/>
        </w:rPr>
        <w:t>Към настоящия момент за управление на риска в растениевъдството се прилагат два основни инструмента, финансирани със средства от държавния бюджет:</w:t>
      </w:r>
    </w:p>
    <w:p w:rsidR="00D12E96" w:rsidRPr="00EA7BE6" w:rsidRDefault="00D12E96" w:rsidP="003B77D3">
      <w:pPr>
        <w:pStyle w:val="ListParagraph"/>
        <w:numPr>
          <w:ilvl w:val="0"/>
          <w:numId w:val="13"/>
        </w:numPr>
        <w:rPr>
          <w:sz w:val="22"/>
          <w:lang w:val="bg-BG"/>
        </w:rPr>
      </w:pPr>
      <w:r w:rsidRPr="00EA7BE6">
        <w:rPr>
          <w:sz w:val="22"/>
          <w:lang w:val="bg-BG"/>
        </w:rPr>
        <w:t>противоградова защита върху 1/3 от територията на страната, осъществявана от Изпълнителната агенция „Борба с градушките“ с ракетен способ</w:t>
      </w:r>
      <w:r w:rsidR="00763309" w:rsidRPr="00EA7BE6">
        <w:rPr>
          <w:sz w:val="22"/>
          <w:lang w:val="bg-BG"/>
        </w:rPr>
        <w:t>;</w:t>
      </w:r>
    </w:p>
    <w:p w:rsidR="00D12E96" w:rsidRPr="00EA7BE6" w:rsidRDefault="00D12E96" w:rsidP="003B77D3">
      <w:pPr>
        <w:pStyle w:val="ListParagraph"/>
        <w:numPr>
          <w:ilvl w:val="0"/>
          <w:numId w:val="13"/>
        </w:numPr>
        <w:rPr>
          <w:sz w:val="22"/>
          <w:lang w:val="bg-BG"/>
        </w:rPr>
      </w:pPr>
      <w:r w:rsidRPr="00EA7BE6">
        <w:rPr>
          <w:sz w:val="22"/>
          <w:lang w:val="bg-BG"/>
        </w:rPr>
        <w:t xml:space="preserve">две схеми за държавна помощ: </w:t>
      </w:r>
    </w:p>
    <w:p w:rsidR="00D12E96" w:rsidRPr="00EA7BE6" w:rsidRDefault="00D12E96" w:rsidP="003B77D3">
      <w:pPr>
        <w:pStyle w:val="ListParagraph"/>
        <w:numPr>
          <w:ilvl w:val="1"/>
          <w:numId w:val="13"/>
        </w:numPr>
        <w:rPr>
          <w:sz w:val="22"/>
          <w:lang w:val="bg-BG"/>
        </w:rPr>
      </w:pPr>
      <w:r w:rsidRPr="00EA7BE6">
        <w:rPr>
          <w:sz w:val="22"/>
          <w:lang w:val="bg-BG"/>
        </w:rPr>
        <w:t>за компенсиране на щети от неблагоприятни климатични събития</w:t>
      </w:r>
      <w:r w:rsidR="00763309" w:rsidRPr="00EA7BE6">
        <w:rPr>
          <w:sz w:val="22"/>
          <w:lang w:val="bg-BG"/>
        </w:rPr>
        <w:t>;</w:t>
      </w:r>
    </w:p>
    <w:p w:rsidR="00D12E96" w:rsidRPr="00EA7BE6" w:rsidRDefault="00D12E96" w:rsidP="003B77D3">
      <w:pPr>
        <w:pStyle w:val="ListParagraph"/>
        <w:numPr>
          <w:ilvl w:val="1"/>
          <w:numId w:val="13"/>
        </w:numPr>
        <w:rPr>
          <w:sz w:val="22"/>
          <w:lang w:val="bg-BG"/>
        </w:rPr>
      </w:pPr>
      <w:r w:rsidRPr="00EA7BE6">
        <w:rPr>
          <w:sz w:val="22"/>
          <w:lang w:val="bg-BG"/>
        </w:rPr>
        <w:lastRenderedPageBreak/>
        <w:t>за съфинансиране на застрахователни премии при застраховане на интензивни земеделски култури (плодове, зеленчуци, етерично-маслени култури, лозя и тютюн)</w:t>
      </w:r>
      <w:r w:rsidR="00763309" w:rsidRPr="00EA7BE6">
        <w:rPr>
          <w:sz w:val="22"/>
          <w:lang w:val="bg-BG"/>
        </w:rPr>
        <w:t>.</w:t>
      </w:r>
    </w:p>
    <w:p w:rsidR="009C5A9E" w:rsidRDefault="00763309" w:rsidP="00D12E96">
      <w:pPr>
        <w:rPr>
          <w:sz w:val="22"/>
          <w:lang w:val="bg-BG"/>
        </w:rPr>
      </w:pPr>
      <w:r w:rsidRPr="00EA7BE6">
        <w:rPr>
          <w:sz w:val="22"/>
          <w:lang w:val="bg-BG"/>
        </w:rPr>
        <w:t xml:space="preserve">Видно от </w:t>
      </w:r>
      <w:r w:rsidR="00FE7599">
        <w:rPr>
          <w:sz w:val="22"/>
          <w:lang w:val="bg-BG"/>
        </w:rPr>
        <w:t>Таблица 11</w:t>
      </w:r>
      <w:r w:rsidRPr="00EA7BE6">
        <w:rPr>
          <w:sz w:val="22"/>
          <w:lang w:val="bg-BG"/>
        </w:rPr>
        <w:t>, с</w:t>
      </w:r>
      <w:r w:rsidR="00D12E96" w:rsidRPr="00EA7BE6">
        <w:rPr>
          <w:sz w:val="22"/>
          <w:lang w:val="bg-BG"/>
        </w:rPr>
        <w:t xml:space="preserve">редногодишните разходи за прилагане на двата инструмента възлизат на около 20 млн. лева за периода 2007-2017 г., от които около 12 млн. лева годишно за дейността на </w:t>
      </w:r>
      <w:r w:rsidRPr="00EA7BE6">
        <w:rPr>
          <w:sz w:val="22"/>
          <w:lang w:val="bg-BG"/>
        </w:rPr>
        <w:t>Изпълнителна агенция „Борба с градушките“</w:t>
      </w:r>
      <w:r w:rsidR="00D12E96" w:rsidRPr="00EA7BE6">
        <w:rPr>
          <w:sz w:val="22"/>
          <w:lang w:val="bg-BG"/>
        </w:rPr>
        <w:t xml:space="preserve">. </w:t>
      </w:r>
      <w:r w:rsidRPr="00EA7BE6">
        <w:rPr>
          <w:sz w:val="22"/>
          <w:lang w:val="bg-BG"/>
        </w:rPr>
        <w:t>В таблицата се съдържат данни и за и</w:t>
      </w:r>
      <w:r w:rsidR="00D12E96" w:rsidRPr="00EA7BE6">
        <w:rPr>
          <w:sz w:val="22"/>
          <w:lang w:val="bg-BG"/>
        </w:rPr>
        <w:t>зплатени</w:t>
      </w:r>
      <w:r w:rsidRPr="00EA7BE6">
        <w:rPr>
          <w:sz w:val="22"/>
          <w:lang w:val="bg-BG"/>
        </w:rPr>
        <w:t>те</w:t>
      </w:r>
      <w:r w:rsidR="00D12E96" w:rsidRPr="00EA7BE6">
        <w:rPr>
          <w:sz w:val="22"/>
          <w:lang w:val="bg-BG"/>
        </w:rPr>
        <w:t xml:space="preserve"> средства </w:t>
      </w:r>
      <w:r w:rsidRPr="00EA7BE6">
        <w:rPr>
          <w:sz w:val="22"/>
          <w:lang w:val="bg-BG"/>
        </w:rPr>
        <w:t xml:space="preserve">от държавния бюджет </w:t>
      </w:r>
      <w:r w:rsidR="00D12E96" w:rsidRPr="00EA7BE6">
        <w:rPr>
          <w:sz w:val="22"/>
          <w:lang w:val="bg-BG"/>
        </w:rPr>
        <w:t xml:space="preserve">за управление на риска в растениевъдството за периода 2007-2017 г. </w:t>
      </w:r>
    </w:p>
    <w:p w:rsidR="00FE7599" w:rsidRPr="00C53587" w:rsidRDefault="009C5A9E" w:rsidP="00C53587">
      <w:pPr>
        <w:spacing w:after="0" w:line="240" w:lineRule="auto"/>
        <w:rPr>
          <w:b/>
          <w:sz w:val="22"/>
          <w:lang w:val="bg-BG"/>
        </w:rPr>
      </w:pPr>
      <w:r w:rsidRPr="00C53587">
        <w:rPr>
          <w:b/>
          <w:sz w:val="22"/>
          <w:lang w:val="bg-BG"/>
        </w:rPr>
        <w:t xml:space="preserve">Таблица </w:t>
      </w:r>
      <w:r w:rsidR="00FE7599">
        <w:rPr>
          <w:b/>
          <w:sz w:val="22"/>
          <w:lang w:val="bg-BG"/>
        </w:rPr>
        <w:t>11</w:t>
      </w:r>
    </w:p>
    <w:p w:rsidR="009C5A9E" w:rsidRPr="00EA7BE6" w:rsidRDefault="009C5A9E" w:rsidP="00C53587">
      <w:pPr>
        <w:spacing w:after="0" w:line="240" w:lineRule="auto"/>
        <w:rPr>
          <w:sz w:val="22"/>
          <w:lang w:val="bg-BG"/>
        </w:rPr>
      </w:pPr>
      <w:r w:rsidRPr="00C53587">
        <w:rPr>
          <w:b/>
          <w:sz w:val="22"/>
          <w:lang w:val="bg-BG"/>
        </w:rPr>
        <w:t xml:space="preserve">Изплатени средства за управление на риска в растениевъдството за периода 2007-2017 г., </w:t>
      </w:r>
      <w:r>
        <w:rPr>
          <w:b/>
          <w:sz w:val="22"/>
          <w:lang w:val="ru-RU"/>
        </w:rPr>
        <w:t>млн. лв</w:t>
      </w:r>
      <w:r w:rsidR="003311F8">
        <w:rPr>
          <w:b/>
          <w:sz w:val="22"/>
          <w:lang w:val="ru-RU"/>
        </w:rPr>
        <w:t>.</w:t>
      </w:r>
    </w:p>
    <w:p w:rsidR="00D12E96" w:rsidRPr="00EA7BE6" w:rsidRDefault="00D12E96" w:rsidP="00D12E96">
      <w:pPr>
        <w:rPr>
          <w:sz w:val="22"/>
          <w:lang w:val="bg-BG"/>
        </w:rPr>
      </w:pPr>
      <w:r w:rsidRPr="00EA7BE6">
        <w:rPr>
          <w:noProof/>
          <w:sz w:val="22"/>
        </w:rPr>
        <w:drawing>
          <wp:inline distT="0" distB="0" distL="0" distR="0" wp14:anchorId="75A88A40" wp14:editId="5DCCA8BE">
            <wp:extent cx="6209445" cy="2606722"/>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6197" cy="2605358"/>
                    </a:xfrm>
                    <a:prstGeom prst="rect">
                      <a:avLst/>
                    </a:prstGeom>
                    <a:noFill/>
                    <a:ln>
                      <a:noFill/>
                    </a:ln>
                  </pic:spPr>
                </pic:pic>
              </a:graphicData>
            </a:graphic>
          </wp:inline>
        </w:drawing>
      </w:r>
    </w:p>
    <w:p w:rsidR="00D12E96" w:rsidRPr="00EA7BE6" w:rsidRDefault="00D12E96" w:rsidP="00D12E96">
      <w:pPr>
        <w:rPr>
          <w:sz w:val="22"/>
          <w:lang w:val="bg-BG"/>
        </w:rPr>
      </w:pPr>
      <w:r w:rsidRPr="00EA7BE6">
        <w:rPr>
          <w:sz w:val="22"/>
          <w:lang w:val="bg-BG"/>
        </w:rPr>
        <w:t xml:space="preserve">След въвеждане на споделено финансиране на системата за превенция срещу неблагоприятни климатични събития </w:t>
      </w:r>
      <w:r w:rsidR="00763309" w:rsidRPr="00EA7BE6">
        <w:rPr>
          <w:sz w:val="22"/>
          <w:lang w:val="bg-BG"/>
        </w:rPr>
        <w:t>в земеделието</w:t>
      </w:r>
      <w:r w:rsidRPr="00EA7BE6">
        <w:rPr>
          <w:sz w:val="22"/>
          <w:lang w:val="bg-BG"/>
        </w:rPr>
        <w:t xml:space="preserve"> финансовият ресурс, който ще се предоставя от държавния бюджет за дейностите по превенция срещу градушки</w:t>
      </w:r>
      <w:r w:rsidR="00B205BE">
        <w:rPr>
          <w:sz w:val="22"/>
          <w:lang w:val="bg-BG"/>
        </w:rPr>
        <w:t>,</w:t>
      </w:r>
      <w:r w:rsidRPr="00EA7BE6">
        <w:rPr>
          <w:sz w:val="22"/>
          <w:lang w:val="bg-BG"/>
        </w:rPr>
        <w:t xml:space="preserve"> ще намалее чувствително, дори вече в условията на пълно покритие на градозащитата на територията на страната</w:t>
      </w:r>
      <w:r w:rsidR="00D9697B" w:rsidRPr="00EA7BE6">
        <w:rPr>
          <w:sz w:val="22"/>
          <w:lang w:val="bg-BG"/>
        </w:rPr>
        <w:t xml:space="preserve"> съгласно </w:t>
      </w:r>
      <w:r w:rsidR="00FA0182">
        <w:rPr>
          <w:sz w:val="22"/>
          <w:lang w:val="bg-BG"/>
        </w:rPr>
        <w:t>Т</w:t>
      </w:r>
      <w:r w:rsidR="00FA0182" w:rsidRPr="00EA7BE6">
        <w:rPr>
          <w:sz w:val="22"/>
          <w:lang w:val="bg-BG"/>
        </w:rPr>
        <w:t>аблица</w:t>
      </w:r>
      <w:r w:rsidR="003311F8">
        <w:rPr>
          <w:sz w:val="22"/>
          <w:lang w:val="bg-BG"/>
        </w:rPr>
        <w:t xml:space="preserve"> 7</w:t>
      </w:r>
      <w:r w:rsidR="00D9697B" w:rsidRPr="00EA7BE6">
        <w:rPr>
          <w:sz w:val="22"/>
          <w:lang w:val="bg-BG"/>
        </w:rPr>
        <w:t>.</w:t>
      </w:r>
    </w:p>
    <w:p w:rsidR="00D12E96" w:rsidRPr="00EA7BE6" w:rsidRDefault="00D12E96" w:rsidP="00D12E96">
      <w:pPr>
        <w:rPr>
          <w:b/>
          <w:sz w:val="22"/>
          <w:lang w:val="bg-BG"/>
        </w:rPr>
      </w:pPr>
      <w:r w:rsidRPr="00EA7BE6">
        <w:rPr>
          <w:b/>
          <w:sz w:val="22"/>
          <w:lang w:val="bg-BG"/>
        </w:rPr>
        <w:t>Въздействия за земеделските стопани</w:t>
      </w:r>
    </w:p>
    <w:p w:rsidR="00D12E96" w:rsidRPr="00EA7BE6" w:rsidRDefault="00D12E96" w:rsidP="00D12E96">
      <w:pPr>
        <w:rPr>
          <w:sz w:val="22"/>
          <w:lang w:val="bg-BG"/>
        </w:rPr>
      </w:pPr>
      <w:r w:rsidRPr="00EA7BE6">
        <w:rPr>
          <w:sz w:val="22"/>
          <w:lang w:val="bg-BG"/>
        </w:rPr>
        <w:t>Годишните разходи на земеделските стопани за финансиране на дейностите по превенция на неблагоприятни климатични събития на единица площ възлизат на 0,50 лв./дка обработваема земя и трайни насаждения. Размерът на вноската за всеки земеделски стопанин се определя въз основа на заявените за подпомагане по Схемата за единно плащане на площ обработваеми земи и трайни насаждения през предходната стопанска година.</w:t>
      </w:r>
    </w:p>
    <w:p w:rsidR="00D12E96" w:rsidRPr="00EA7BE6" w:rsidRDefault="00D12E96" w:rsidP="00D12E96">
      <w:pPr>
        <w:rPr>
          <w:sz w:val="22"/>
          <w:lang w:val="bg-BG"/>
        </w:rPr>
      </w:pPr>
      <w:r w:rsidRPr="00EA7BE6">
        <w:rPr>
          <w:sz w:val="22"/>
          <w:lang w:val="bg-BG"/>
        </w:rPr>
        <w:t xml:space="preserve">Индикативният общ размер на средствата, </w:t>
      </w:r>
      <w:r w:rsidR="00E348D6" w:rsidRPr="00EA7BE6">
        <w:rPr>
          <w:sz w:val="22"/>
          <w:lang w:val="bg-BG"/>
        </w:rPr>
        <w:t xml:space="preserve">които ще бъдат </w:t>
      </w:r>
      <w:r w:rsidRPr="00EA7BE6">
        <w:rPr>
          <w:sz w:val="22"/>
          <w:lang w:val="bg-BG"/>
        </w:rPr>
        <w:t xml:space="preserve">набрани от земеделските производители за обезпечаване на дейностите на държавното предприятие </w:t>
      </w:r>
      <w:r w:rsidR="00E348D6" w:rsidRPr="00EA7BE6">
        <w:rPr>
          <w:sz w:val="22"/>
          <w:lang w:val="bg-BG"/>
        </w:rPr>
        <w:t>за</w:t>
      </w:r>
      <w:r w:rsidRPr="00EA7BE6">
        <w:rPr>
          <w:sz w:val="22"/>
          <w:lang w:val="bg-BG"/>
        </w:rPr>
        <w:t xml:space="preserve"> превенция </w:t>
      </w:r>
      <w:r w:rsidR="00E348D6" w:rsidRPr="00EA7BE6">
        <w:rPr>
          <w:sz w:val="22"/>
          <w:lang w:val="bg-BG"/>
        </w:rPr>
        <w:t>от</w:t>
      </w:r>
      <w:r w:rsidRPr="00EA7BE6">
        <w:rPr>
          <w:sz w:val="22"/>
          <w:lang w:val="bg-BG"/>
        </w:rPr>
        <w:t xml:space="preserve"> неблагоприятни климатични събития</w:t>
      </w:r>
      <w:r w:rsidR="00E348D6" w:rsidRPr="00EA7BE6">
        <w:rPr>
          <w:sz w:val="22"/>
          <w:lang w:val="bg-BG"/>
        </w:rPr>
        <w:t xml:space="preserve"> в земеделието</w:t>
      </w:r>
      <w:r w:rsidRPr="00EA7BE6">
        <w:rPr>
          <w:sz w:val="22"/>
          <w:lang w:val="bg-BG"/>
        </w:rPr>
        <w:t xml:space="preserve">, възлиза на около 13,5 млн. лева годишно. </w:t>
      </w:r>
    </w:p>
    <w:p w:rsidR="00523EFC" w:rsidRDefault="00E348D6" w:rsidP="003311F8">
      <w:pPr>
        <w:rPr>
          <w:sz w:val="22"/>
          <w:lang w:val="bg-BG"/>
        </w:rPr>
      </w:pPr>
      <w:r w:rsidRPr="00EA7BE6">
        <w:rPr>
          <w:sz w:val="22"/>
          <w:lang w:val="bg-BG"/>
        </w:rPr>
        <w:t xml:space="preserve">В </w:t>
      </w:r>
      <w:r w:rsidR="00A911AA">
        <w:rPr>
          <w:sz w:val="22"/>
          <w:lang w:val="bg-BG"/>
        </w:rPr>
        <w:t>Т</w:t>
      </w:r>
      <w:r w:rsidRPr="00EA7BE6">
        <w:rPr>
          <w:sz w:val="22"/>
          <w:lang w:val="bg-BG"/>
        </w:rPr>
        <w:t xml:space="preserve">аблица </w:t>
      </w:r>
      <w:r w:rsidR="00A911AA">
        <w:rPr>
          <w:sz w:val="22"/>
          <w:lang w:val="bg-BG"/>
        </w:rPr>
        <w:t xml:space="preserve">12 </w:t>
      </w:r>
      <w:r w:rsidRPr="00EA7BE6">
        <w:rPr>
          <w:sz w:val="22"/>
          <w:lang w:val="bg-BG"/>
        </w:rPr>
        <w:t>са посочени данни за размера на стопанствата, заявили подпомагане по Схемата за единно плащане н</w:t>
      </w:r>
      <w:r w:rsidR="003311F8">
        <w:rPr>
          <w:sz w:val="22"/>
          <w:lang w:val="bg-BG"/>
        </w:rPr>
        <w:t xml:space="preserve">а площ за </w:t>
      </w:r>
      <w:proofErr w:type="spellStart"/>
      <w:r w:rsidR="003311F8">
        <w:rPr>
          <w:sz w:val="22"/>
          <w:lang w:val="bg-BG"/>
        </w:rPr>
        <w:t>кампании`</w:t>
      </w:r>
      <w:proofErr w:type="spellEnd"/>
      <w:r w:rsidR="003311F8">
        <w:rPr>
          <w:sz w:val="22"/>
          <w:lang w:val="bg-BG"/>
        </w:rPr>
        <w:t xml:space="preserve"> 2015 и 2016.</w:t>
      </w:r>
    </w:p>
    <w:p w:rsidR="00523EFC" w:rsidRDefault="00523EFC" w:rsidP="003311F8">
      <w:pPr>
        <w:rPr>
          <w:sz w:val="22"/>
          <w:lang w:val="bg-BG"/>
        </w:rPr>
      </w:pPr>
    </w:p>
    <w:p w:rsidR="00523EFC" w:rsidRDefault="00523EFC" w:rsidP="003311F8">
      <w:pPr>
        <w:rPr>
          <w:sz w:val="22"/>
          <w:lang w:val="bg-BG"/>
        </w:rPr>
      </w:pPr>
    </w:p>
    <w:p w:rsidR="00523EFC" w:rsidRPr="003311F8" w:rsidRDefault="00523EFC" w:rsidP="003311F8">
      <w:pPr>
        <w:rPr>
          <w:sz w:val="22"/>
          <w:lang w:val="bg-BG"/>
        </w:rPr>
      </w:pPr>
    </w:p>
    <w:p w:rsidR="00494B51" w:rsidRPr="00C53587" w:rsidRDefault="00494B51" w:rsidP="00C53587">
      <w:pPr>
        <w:spacing w:after="0" w:line="240" w:lineRule="auto"/>
        <w:rPr>
          <w:b/>
          <w:sz w:val="22"/>
          <w:lang w:val="bg-BG"/>
        </w:rPr>
      </w:pPr>
      <w:r w:rsidRPr="00C53587">
        <w:rPr>
          <w:b/>
          <w:sz w:val="22"/>
          <w:lang w:val="bg-BG"/>
        </w:rPr>
        <w:lastRenderedPageBreak/>
        <w:t xml:space="preserve">Таблица </w:t>
      </w:r>
      <w:r w:rsidR="003311F8" w:rsidRPr="00C53587">
        <w:rPr>
          <w:b/>
          <w:sz w:val="22"/>
          <w:lang w:val="bg-BG"/>
        </w:rPr>
        <w:t>1</w:t>
      </w:r>
      <w:r w:rsidR="003311F8">
        <w:rPr>
          <w:b/>
          <w:sz w:val="22"/>
          <w:lang w:val="bg-BG"/>
        </w:rPr>
        <w:t>2</w:t>
      </w:r>
    </w:p>
    <w:p w:rsidR="00494B51" w:rsidRPr="00EA7BE6" w:rsidRDefault="00494B51" w:rsidP="00C53587">
      <w:pPr>
        <w:spacing w:after="0" w:line="240" w:lineRule="auto"/>
        <w:rPr>
          <w:sz w:val="22"/>
          <w:lang w:val="bg-BG"/>
        </w:rPr>
      </w:pPr>
      <w:r w:rsidRPr="00494B51">
        <w:rPr>
          <w:rFonts w:eastAsia="Times New Roman"/>
          <w:b/>
          <w:bCs/>
          <w:color w:val="000000"/>
          <w:sz w:val="22"/>
          <w:szCs w:val="20"/>
          <w:lang w:val="bg-BG" w:eastAsia="bg-BG"/>
        </w:rPr>
        <w:t>Данни за размера на стопанствата, заявили подпомагане по СЕПП, кампании` 2015 и 2016</w:t>
      </w:r>
    </w:p>
    <w:tbl>
      <w:tblPr>
        <w:tblW w:w="9628" w:type="dxa"/>
        <w:tblInd w:w="55" w:type="dxa"/>
        <w:tblCellMar>
          <w:left w:w="70" w:type="dxa"/>
          <w:right w:w="70" w:type="dxa"/>
        </w:tblCellMar>
        <w:tblLook w:val="04A0" w:firstRow="1" w:lastRow="0" w:firstColumn="1" w:lastColumn="0" w:noHBand="0" w:noVBand="1"/>
      </w:tblPr>
      <w:tblGrid>
        <w:gridCol w:w="2740"/>
        <w:gridCol w:w="1631"/>
        <w:gridCol w:w="1734"/>
        <w:gridCol w:w="1761"/>
        <w:gridCol w:w="1762"/>
      </w:tblGrid>
      <w:tr w:rsidR="00E348D6" w:rsidRPr="00EA7BE6" w:rsidTr="00C53587">
        <w:trPr>
          <w:trHeight w:val="431"/>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rPr>
                <w:b/>
                <w:sz w:val="22"/>
                <w:lang w:val="bg-BG"/>
              </w:rPr>
            </w:pPr>
            <w:r w:rsidRPr="00C53587">
              <w:rPr>
                <w:b/>
                <w:sz w:val="22"/>
                <w:lang w:val="bg-BG"/>
              </w:rPr>
              <w:t>Размер на стопанството</w:t>
            </w:r>
          </w:p>
        </w:tc>
        <w:tc>
          <w:tcPr>
            <w:tcW w:w="3365" w:type="dxa"/>
            <w:gridSpan w:val="2"/>
            <w:tcBorders>
              <w:top w:val="single" w:sz="4" w:space="0" w:color="auto"/>
              <w:left w:val="nil"/>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jc w:val="center"/>
              <w:rPr>
                <w:b/>
                <w:sz w:val="22"/>
                <w:lang w:val="bg-BG"/>
              </w:rPr>
            </w:pPr>
            <w:r w:rsidRPr="00C53587">
              <w:rPr>
                <w:b/>
                <w:sz w:val="22"/>
                <w:lang w:val="bg-BG"/>
              </w:rPr>
              <w:t>Кампания` 2015</w:t>
            </w:r>
          </w:p>
        </w:tc>
        <w:tc>
          <w:tcPr>
            <w:tcW w:w="3523" w:type="dxa"/>
            <w:gridSpan w:val="2"/>
            <w:tcBorders>
              <w:top w:val="single" w:sz="4" w:space="0" w:color="auto"/>
              <w:left w:val="nil"/>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jc w:val="center"/>
              <w:rPr>
                <w:b/>
                <w:sz w:val="22"/>
                <w:lang w:val="bg-BG"/>
              </w:rPr>
            </w:pPr>
            <w:r w:rsidRPr="00C53587">
              <w:rPr>
                <w:b/>
                <w:sz w:val="22"/>
                <w:lang w:val="bg-BG"/>
              </w:rPr>
              <w:t>Кампания` 2016</w:t>
            </w:r>
          </w:p>
        </w:tc>
      </w:tr>
      <w:tr w:rsidR="00E348D6" w:rsidRPr="00EA7BE6" w:rsidTr="00C53587">
        <w:trPr>
          <w:trHeight w:val="691"/>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348D6" w:rsidRPr="00C53587" w:rsidRDefault="00E348D6" w:rsidP="00C53587">
            <w:pPr>
              <w:spacing w:after="0" w:line="240" w:lineRule="auto"/>
              <w:rPr>
                <w:b/>
                <w:sz w:val="22"/>
                <w:lang w:val="bg-BG"/>
              </w:rPr>
            </w:pPr>
          </w:p>
        </w:tc>
        <w:tc>
          <w:tcPr>
            <w:tcW w:w="1631" w:type="dxa"/>
            <w:tcBorders>
              <w:top w:val="nil"/>
              <w:left w:val="nil"/>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jc w:val="center"/>
              <w:rPr>
                <w:b/>
                <w:sz w:val="22"/>
                <w:lang w:val="bg-BG"/>
              </w:rPr>
            </w:pPr>
            <w:r w:rsidRPr="00C53587">
              <w:rPr>
                <w:b/>
                <w:sz w:val="22"/>
                <w:lang w:val="bg-BG"/>
              </w:rPr>
              <w:t xml:space="preserve">Стопанства, </w:t>
            </w:r>
            <w:r w:rsidRPr="00C53587">
              <w:rPr>
                <w:b/>
                <w:sz w:val="22"/>
                <w:lang w:val="bg-BG"/>
              </w:rPr>
              <w:br/>
              <w:t>брой</w:t>
            </w:r>
          </w:p>
        </w:tc>
        <w:tc>
          <w:tcPr>
            <w:tcW w:w="1734" w:type="dxa"/>
            <w:tcBorders>
              <w:top w:val="nil"/>
              <w:left w:val="nil"/>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jc w:val="center"/>
              <w:rPr>
                <w:b/>
                <w:sz w:val="22"/>
                <w:lang w:val="bg-BG"/>
              </w:rPr>
            </w:pPr>
            <w:r w:rsidRPr="00C53587">
              <w:rPr>
                <w:b/>
                <w:sz w:val="22"/>
                <w:lang w:val="bg-BG"/>
              </w:rPr>
              <w:t>Дял на стопанствата,</w:t>
            </w:r>
          </w:p>
          <w:p w:rsidR="00E348D6" w:rsidRPr="00C53587" w:rsidRDefault="00E348D6" w:rsidP="00C53587">
            <w:pPr>
              <w:spacing w:after="0" w:line="240" w:lineRule="auto"/>
              <w:jc w:val="center"/>
              <w:rPr>
                <w:b/>
                <w:sz w:val="22"/>
                <w:lang w:val="bg-BG"/>
              </w:rPr>
            </w:pPr>
            <w:r w:rsidRPr="00C53587">
              <w:rPr>
                <w:b/>
                <w:sz w:val="22"/>
                <w:lang w:val="bg-BG"/>
              </w:rPr>
              <w:t>%</w:t>
            </w:r>
          </w:p>
        </w:tc>
        <w:tc>
          <w:tcPr>
            <w:tcW w:w="1761" w:type="dxa"/>
            <w:tcBorders>
              <w:top w:val="nil"/>
              <w:left w:val="nil"/>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jc w:val="center"/>
              <w:rPr>
                <w:b/>
                <w:sz w:val="22"/>
                <w:lang w:val="bg-BG"/>
              </w:rPr>
            </w:pPr>
            <w:r w:rsidRPr="00C53587">
              <w:rPr>
                <w:b/>
                <w:sz w:val="22"/>
                <w:lang w:val="bg-BG"/>
              </w:rPr>
              <w:t xml:space="preserve">Стопанства, </w:t>
            </w:r>
            <w:r w:rsidRPr="00C53587">
              <w:rPr>
                <w:b/>
                <w:sz w:val="22"/>
                <w:lang w:val="bg-BG"/>
              </w:rPr>
              <w:br/>
              <w:t>брой</w:t>
            </w:r>
          </w:p>
        </w:tc>
        <w:tc>
          <w:tcPr>
            <w:tcW w:w="1762" w:type="dxa"/>
            <w:tcBorders>
              <w:top w:val="nil"/>
              <w:left w:val="nil"/>
              <w:bottom w:val="single" w:sz="4" w:space="0" w:color="auto"/>
              <w:right w:val="single" w:sz="4" w:space="0" w:color="auto"/>
            </w:tcBorders>
            <w:shd w:val="clear" w:color="auto" w:fill="auto"/>
            <w:vAlign w:val="center"/>
            <w:hideMark/>
          </w:tcPr>
          <w:p w:rsidR="00E348D6" w:rsidRPr="00C53587" w:rsidRDefault="00E348D6" w:rsidP="00C53587">
            <w:pPr>
              <w:spacing w:after="0" w:line="240" w:lineRule="auto"/>
              <w:jc w:val="center"/>
              <w:rPr>
                <w:b/>
                <w:sz w:val="22"/>
                <w:lang w:val="bg-BG"/>
              </w:rPr>
            </w:pPr>
            <w:r w:rsidRPr="00C53587">
              <w:rPr>
                <w:b/>
                <w:sz w:val="22"/>
                <w:lang w:val="bg-BG"/>
              </w:rPr>
              <w:t>Дял на стопанствата,</w:t>
            </w:r>
            <w:r w:rsidRPr="00C53587">
              <w:rPr>
                <w:b/>
                <w:sz w:val="22"/>
                <w:lang w:val="bg-BG"/>
              </w:rPr>
              <w:br/>
              <w:t>%</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&lt;100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36 163</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59,1%</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35 865</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58,3%</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100 - 500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15 877</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26,0%</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16 375</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26,6%</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500</w:t>
            </w:r>
            <w:r w:rsidR="00494B51">
              <w:rPr>
                <w:sz w:val="22"/>
                <w:lang w:val="bg-BG"/>
              </w:rPr>
              <w:t xml:space="preserve"> </w:t>
            </w:r>
            <w:r w:rsidRPr="00EA7BE6">
              <w:rPr>
                <w:sz w:val="22"/>
                <w:lang w:val="bg-BG"/>
              </w:rPr>
              <w:t>-1 000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3 518</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5,8%</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3 602</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5,9%</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1 000 - 5 000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3 767</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6,2%</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3 815</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6,2%</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5 000 - 10 000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1 107</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1,8%</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1 105</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1,8%</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10 000 - 50 000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693</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1,1%</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690</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1,1%</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50 000 - 100 000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13</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0,02%</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14</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0,02%</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100 000 - 200 000 дка</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7</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0,01%</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5</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0,01%</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rPr>
                <w:sz w:val="22"/>
                <w:lang w:val="bg-BG"/>
              </w:rPr>
            </w:pPr>
            <w:r w:rsidRPr="00EA7BE6">
              <w:rPr>
                <w:sz w:val="22"/>
                <w:lang w:val="bg-BG"/>
              </w:rPr>
              <w:t>&gt;200 00 дка</w:t>
            </w:r>
          </w:p>
        </w:tc>
        <w:tc>
          <w:tcPr>
            <w:tcW w:w="163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 xml:space="preserve"> -</w:t>
            </w:r>
          </w:p>
        </w:tc>
        <w:tc>
          <w:tcPr>
            <w:tcW w:w="1734"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 xml:space="preserve"> -</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2</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0,003%</w:t>
            </w:r>
          </w:p>
        </w:tc>
      </w:tr>
      <w:tr w:rsidR="00E348D6" w:rsidRPr="00EA7BE6" w:rsidTr="00C53587">
        <w:trPr>
          <w:trHeight w:val="32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rPr>
                <w:sz w:val="22"/>
                <w:lang w:val="bg-BG"/>
              </w:rPr>
            </w:pPr>
            <w:r w:rsidRPr="00EA7BE6">
              <w:rPr>
                <w:sz w:val="22"/>
                <w:lang w:val="bg-BG"/>
              </w:rPr>
              <w:t>Общо</w:t>
            </w:r>
          </w:p>
        </w:tc>
        <w:tc>
          <w:tcPr>
            <w:tcW w:w="1631"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61 145</w:t>
            </w:r>
          </w:p>
        </w:tc>
        <w:tc>
          <w:tcPr>
            <w:tcW w:w="1734" w:type="dxa"/>
            <w:tcBorders>
              <w:top w:val="nil"/>
              <w:left w:val="nil"/>
              <w:bottom w:val="single" w:sz="4" w:space="0" w:color="auto"/>
              <w:right w:val="single" w:sz="4" w:space="0" w:color="auto"/>
            </w:tcBorders>
            <w:shd w:val="clear" w:color="auto" w:fill="auto"/>
            <w:vAlign w:val="center"/>
            <w:hideMark/>
          </w:tcPr>
          <w:p w:rsidR="00E348D6" w:rsidRPr="00EA7BE6" w:rsidRDefault="00E348D6" w:rsidP="00C53587">
            <w:pPr>
              <w:spacing w:after="0" w:line="240" w:lineRule="auto"/>
              <w:jc w:val="right"/>
              <w:rPr>
                <w:sz w:val="22"/>
                <w:lang w:val="bg-BG"/>
              </w:rPr>
            </w:pPr>
            <w:r w:rsidRPr="00EA7BE6">
              <w:rPr>
                <w:sz w:val="22"/>
                <w:lang w:val="bg-BG"/>
              </w:rPr>
              <w:t>100%</w:t>
            </w:r>
          </w:p>
        </w:tc>
        <w:tc>
          <w:tcPr>
            <w:tcW w:w="1761"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61 473</w:t>
            </w:r>
          </w:p>
        </w:tc>
        <w:tc>
          <w:tcPr>
            <w:tcW w:w="1762" w:type="dxa"/>
            <w:tcBorders>
              <w:top w:val="nil"/>
              <w:left w:val="nil"/>
              <w:bottom w:val="single" w:sz="4" w:space="0" w:color="auto"/>
              <w:right w:val="single" w:sz="4" w:space="0" w:color="auto"/>
            </w:tcBorders>
            <w:shd w:val="clear" w:color="auto" w:fill="auto"/>
            <w:noWrap/>
            <w:vAlign w:val="center"/>
            <w:hideMark/>
          </w:tcPr>
          <w:p w:rsidR="00E348D6" w:rsidRPr="00EA7BE6" w:rsidRDefault="00E348D6" w:rsidP="00C53587">
            <w:pPr>
              <w:spacing w:after="0" w:line="240" w:lineRule="auto"/>
              <w:jc w:val="right"/>
              <w:rPr>
                <w:sz w:val="22"/>
                <w:lang w:val="bg-BG"/>
              </w:rPr>
            </w:pPr>
            <w:r w:rsidRPr="00EA7BE6">
              <w:rPr>
                <w:sz w:val="22"/>
                <w:lang w:val="bg-BG"/>
              </w:rPr>
              <w:t>100%</w:t>
            </w:r>
          </w:p>
        </w:tc>
      </w:tr>
    </w:tbl>
    <w:p w:rsidR="00E348D6" w:rsidRPr="00C53587" w:rsidRDefault="00693A5A" w:rsidP="00D12E96">
      <w:pPr>
        <w:rPr>
          <w:sz w:val="18"/>
          <w:lang w:val="bg-BG"/>
        </w:rPr>
      </w:pPr>
      <w:r w:rsidRPr="00C53587">
        <w:rPr>
          <w:sz w:val="18"/>
          <w:lang w:val="bg-BG"/>
        </w:rPr>
        <w:t>Източник: МЗХГ</w:t>
      </w:r>
    </w:p>
    <w:p w:rsidR="00D12E96" w:rsidRPr="00EA7BE6" w:rsidRDefault="00D12E96" w:rsidP="00D12E96">
      <w:pPr>
        <w:rPr>
          <w:sz w:val="22"/>
          <w:lang w:val="bg-BG"/>
        </w:rPr>
      </w:pPr>
      <w:r w:rsidRPr="00EA7BE6">
        <w:rPr>
          <w:sz w:val="22"/>
          <w:lang w:val="bg-BG"/>
        </w:rPr>
        <w:t xml:space="preserve">Данните за прилагането на Схемата за единно плащане на площ за кампании 2015 и 2016 сочат, че близо 60% от земеделските стопанства са заявили за подпомагане до 100 дка обработваема земя и трайни насаждения. Годишният разход за превенция срещу градушки на тези стопанства би възлязъл на до 50 лв. Втората по големина група стопанства – които обработват между 100 и 500 дка (26% от всички стопанства) ще заплащат до 250 лв. годишно. Така, над 85% от всички, кандидатствали за подпомагане по </w:t>
      </w:r>
      <w:r w:rsidR="00E348D6" w:rsidRPr="00EA7BE6">
        <w:rPr>
          <w:sz w:val="22"/>
          <w:lang w:val="bg-BG"/>
        </w:rPr>
        <w:t>Схемата за единно плащане на площ</w:t>
      </w:r>
      <w:r w:rsidRPr="00EA7BE6">
        <w:rPr>
          <w:sz w:val="22"/>
          <w:lang w:val="bg-BG"/>
        </w:rPr>
        <w:t xml:space="preserve"> земеделски стопанства, ще правят годишна вноска в размер до 250 л</w:t>
      </w:r>
      <w:r w:rsidR="00E348D6" w:rsidRPr="00EA7BE6">
        <w:rPr>
          <w:sz w:val="22"/>
          <w:lang w:val="bg-BG"/>
        </w:rPr>
        <w:t>е</w:t>
      </w:r>
      <w:r w:rsidRPr="00EA7BE6">
        <w:rPr>
          <w:sz w:val="22"/>
          <w:lang w:val="bg-BG"/>
        </w:rPr>
        <w:t>в</w:t>
      </w:r>
      <w:r w:rsidR="00E348D6" w:rsidRPr="00EA7BE6">
        <w:rPr>
          <w:sz w:val="22"/>
          <w:lang w:val="bg-BG"/>
        </w:rPr>
        <w:t>а</w:t>
      </w:r>
      <w:r w:rsidRPr="00EA7BE6">
        <w:rPr>
          <w:sz w:val="22"/>
          <w:lang w:val="bg-BG"/>
        </w:rPr>
        <w:t xml:space="preserve">. </w:t>
      </w:r>
    </w:p>
    <w:p w:rsidR="00D12E96" w:rsidRPr="00EA7BE6" w:rsidRDefault="00D12E96" w:rsidP="00D12E96">
      <w:pPr>
        <w:rPr>
          <w:sz w:val="22"/>
          <w:lang w:val="bg-BG"/>
        </w:rPr>
      </w:pPr>
      <w:r w:rsidRPr="00EA7BE6">
        <w:rPr>
          <w:sz w:val="22"/>
          <w:lang w:val="bg-BG"/>
        </w:rPr>
        <w:t>Незначителен брой стопанства (общо 20 или около 0,03% от всички стопанства), обработващи над 50 000 дка, ще плащат вноска в размер на около и над 25 000 лв. годишно.</w:t>
      </w:r>
    </w:p>
    <w:p w:rsidR="00D12E96" w:rsidRPr="00EA7BE6" w:rsidRDefault="00D12E96" w:rsidP="00D12E96">
      <w:pPr>
        <w:rPr>
          <w:sz w:val="22"/>
          <w:lang w:val="bg-BG"/>
        </w:rPr>
      </w:pPr>
      <w:r w:rsidRPr="00EA7BE6">
        <w:rPr>
          <w:sz w:val="22"/>
          <w:lang w:val="bg-BG"/>
        </w:rPr>
        <w:t xml:space="preserve">Отражението на задължителната вноска за превенция върху доходите на земеделските стопани може да бъде оценено въз основа на данните от Системата за земеделска счетоводна информация (последни налични данни за 2015 г.). </w:t>
      </w:r>
    </w:p>
    <w:p w:rsidR="00D12E96" w:rsidRPr="00EA7BE6" w:rsidRDefault="00E348D6" w:rsidP="00D12E96">
      <w:pPr>
        <w:rPr>
          <w:sz w:val="22"/>
          <w:lang w:val="bg-BG"/>
        </w:rPr>
      </w:pPr>
      <w:r w:rsidRPr="00EA7BE6">
        <w:rPr>
          <w:sz w:val="22"/>
          <w:lang w:val="bg-BG"/>
        </w:rPr>
        <w:t xml:space="preserve">В </w:t>
      </w:r>
      <w:r w:rsidR="003311F8">
        <w:rPr>
          <w:sz w:val="22"/>
          <w:lang w:val="bg-BG"/>
        </w:rPr>
        <w:t>Т</w:t>
      </w:r>
      <w:r w:rsidR="003311F8" w:rsidRPr="00EA7BE6">
        <w:rPr>
          <w:sz w:val="22"/>
          <w:lang w:val="bg-BG"/>
        </w:rPr>
        <w:t>аблица</w:t>
      </w:r>
      <w:r w:rsidR="003311F8">
        <w:rPr>
          <w:sz w:val="22"/>
          <w:lang w:val="bg-BG"/>
        </w:rPr>
        <w:t xml:space="preserve"> 13 </w:t>
      </w:r>
      <w:r w:rsidRPr="00EA7BE6">
        <w:rPr>
          <w:sz w:val="22"/>
          <w:lang w:val="bg-BG"/>
        </w:rPr>
        <w:t>е посочено н</w:t>
      </w:r>
      <w:r w:rsidR="00D12E96" w:rsidRPr="00EA7BE6">
        <w:rPr>
          <w:sz w:val="22"/>
          <w:lang w:val="bg-BG"/>
        </w:rPr>
        <w:t>амалението на нетния доход в резултат от направените вноски</w:t>
      </w:r>
      <w:r w:rsidR="00413F1B">
        <w:rPr>
          <w:sz w:val="22"/>
          <w:lang w:val="bg-BG"/>
        </w:rPr>
        <w:t>, който</w:t>
      </w:r>
      <w:r w:rsidR="00D12E96" w:rsidRPr="00EA7BE6">
        <w:rPr>
          <w:sz w:val="22"/>
          <w:lang w:val="bg-BG"/>
        </w:rPr>
        <w:t xml:space="preserve"> варира от 0,3% до 3,8% в зависимост от икономическия размер на стопанствата. За над 95% от всички стопанства вноската за превенция би понижила нетния им доход с по-малко от един процент. За останалите стопанства намалението би било до 3,8%.</w:t>
      </w: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760603" w:rsidRDefault="00760603" w:rsidP="0021179D">
      <w:pPr>
        <w:spacing w:after="0" w:line="240" w:lineRule="auto"/>
        <w:rPr>
          <w:b/>
          <w:sz w:val="22"/>
          <w:lang w:val="bg-BG"/>
        </w:rPr>
      </w:pPr>
    </w:p>
    <w:p w:rsidR="00AA7853" w:rsidRDefault="00AA7853" w:rsidP="0021179D">
      <w:pPr>
        <w:spacing w:after="0" w:line="240" w:lineRule="auto"/>
        <w:rPr>
          <w:b/>
          <w:sz w:val="22"/>
          <w:lang w:val="bg-BG"/>
        </w:rPr>
      </w:pPr>
    </w:p>
    <w:p w:rsidR="00AA7853" w:rsidRDefault="00AA7853" w:rsidP="0021179D">
      <w:pPr>
        <w:spacing w:after="0" w:line="240" w:lineRule="auto"/>
        <w:rPr>
          <w:b/>
          <w:sz w:val="22"/>
          <w:lang w:val="bg-BG"/>
        </w:rPr>
      </w:pPr>
    </w:p>
    <w:p w:rsidR="0021179D" w:rsidRPr="007C77ED" w:rsidRDefault="0021179D" w:rsidP="0021179D">
      <w:pPr>
        <w:spacing w:after="0" w:line="240" w:lineRule="auto"/>
        <w:rPr>
          <w:b/>
          <w:sz w:val="22"/>
          <w:lang w:val="bg-BG"/>
        </w:rPr>
      </w:pPr>
      <w:r w:rsidRPr="007C77ED">
        <w:rPr>
          <w:b/>
          <w:sz w:val="22"/>
          <w:lang w:val="bg-BG"/>
        </w:rPr>
        <w:lastRenderedPageBreak/>
        <w:t xml:space="preserve">Таблица </w:t>
      </w:r>
      <w:r w:rsidR="003311F8" w:rsidRPr="007C77ED">
        <w:rPr>
          <w:b/>
          <w:sz w:val="22"/>
          <w:lang w:val="bg-BG"/>
        </w:rPr>
        <w:t>1</w:t>
      </w:r>
      <w:r w:rsidR="003311F8">
        <w:rPr>
          <w:b/>
          <w:sz w:val="22"/>
          <w:lang w:val="bg-BG"/>
        </w:rPr>
        <w:t>3</w:t>
      </w:r>
    </w:p>
    <w:p w:rsidR="00D12E96" w:rsidRPr="00C53587" w:rsidRDefault="0021179D" w:rsidP="00D12E96">
      <w:pPr>
        <w:rPr>
          <w:b/>
          <w:sz w:val="22"/>
          <w:lang w:val="bg-BG"/>
        </w:rPr>
      </w:pPr>
      <w:r w:rsidRPr="00C53587">
        <w:rPr>
          <w:b/>
          <w:sz w:val="22"/>
          <w:lang w:val="bg-BG"/>
        </w:rPr>
        <w:t>Средни резултати за стопанствата по икономически размер за 2015 г.</w:t>
      </w:r>
    </w:p>
    <w:tbl>
      <w:tblPr>
        <w:tblW w:w="10490" w:type="dxa"/>
        <w:tblInd w:w="-214" w:type="dxa"/>
        <w:tblLayout w:type="fixed"/>
        <w:tblCellMar>
          <w:left w:w="70" w:type="dxa"/>
          <w:right w:w="70" w:type="dxa"/>
        </w:tblCellMar>
        <w:tblLook w:val="04A0" w:firstRow="1" w:lastRow="0" w:firstColumn="1" w:lastColumn="0" w:noHBand="0" w:noVBand="1"/>
      </w:tblPr>
      <w:tblGrid>
        <w:gridCol w:w="2127"/>
        <w:gridCol w:w="992"/>
        <w:gridCol w:w="941"/>
        <w:gridCol w:w="1120"/>
        <w:gridCol w:w="1200"/>
        <w:gridCol w:w="992"/>
        <w:gridCol w:w="850"/>
        <w:gridCol w:w="1134"/>
        <w:gridCol w:w="1134"/>
      </w:tblGrid>
      <w:tr w:rsidR="00125C99" w:rsidRPr="00132F96" w:rsidTr="00125C99">
        <w:trPr>
          <w:trHeight w:val="161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Икономически размер на стопанствата (стандартна продукция)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Брой стопанства</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125C99" w:rsidRPr="00125C99" w:rsidRDefault="00D12E96" w:rsidP="00125C99">
            <w:pPr>
              <w:spacing w:after="0" w:line="240" w:lineRule="auto"/>
              <w:jc w:val="center"/>
              <w:rPr>
                <w:sz w:val="18"/>
                <w:lang w:val="bg-BG"/>
              </w:rPr>
            </w:pPr>
            <w:r w:rsidRPr="00125C99">
              <w:rPr>
                <w:sz w:val="18"/>
                <w:lang w:val="bg-BG"/>
              </w:rPr>
              <w:t xml:space="preserve">Дял на </w:t>
            </w:r>
            <w:proofErr w:type="spellStart"/>
            <w:r w:rsidRPr="00125C99">
              <w:rPr>
                <w:sz w:val="18"/>
                <w:lang w:val="bg-BG"/>
              </w:rPr>
              <w:t>стопанст</w:t>
            </w:r>
            <w:r w:rsidR="00125C99" w:rsidRPr="00125C99">
              <w:rPr>
                <w:sz w:val="18"/>
                <w:lang w:val="bg-BG"/>
              </w:rPr>
              <w:t>-</w:t>
            </w:r>
            <w:r w:rsidRPr="00125C99">
              <w:rPr>
                <w:sz w:val="18"/>
                <w:lang w:val="bg-BG"/>
              </w:rPr>
              <w:t>вата</w:t>
            </w:r>
            <w:proofErr w:type="spellEnd"/>
            <w:r w:rsidRPr="00125C99">
              <w:rPr>
                <w:sz w:val="18"/>
                <w:lang w:val="bg-BG"/>
              </w:rPr>
              <w:t xml:space="preserve"> </w:t>
            </w:r>
          </w:p>
          <w:p w:rsidR="00D12E96" w:rsidRPr="00125C99" w:rsidRDefault="00D12E96" w:rsidP="00125C99">
            <w:pPr>
              <w:spacing w:after="0" w:line="240" w:lineRule="auto"/>
              <w:jc w:val="center"/>
              <w:rPr>
                <w:sz w:val="18"/>
                <w:lang w:val="bg-BG"/>
              </w:rPr>
            </w:pPr>
            <w:r w:rsidRPr="00125C99">
              <w:rPr>
                <w:sz w:val="18"/>
                <w:lang w:val="bg-BG"/>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Използвана земеделска площ, дка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Годишен разход на стопанствата за превенция, лева*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Брутна</w:t>
            </w:r>
            <w:r w:rsidR="00125C99" w:rsidRPr="00125C99">
              <w:rPr>
                <w:sz w:val="18"/>
                <w:lang w:val="bg-BG"/>
              </w:rPr>
              <w:t xml:space="preserve"> продукция</w:t>
            </w:r>
            <w:r w:rsidR="0021179D">
              <w:rPr>
                <w:sz w:val="18"/>
                <w:lang w:val="bg-BG"/>
              </w:rPr>
              <w:t xml:space="preserve"> </w:t>
            </w:r>
            <w:r w:rsidRPr="00125C99">
              <w:rPr>
                <w:sz w:val="18"/>
                <w:lang w:val="bg-BG"/>
              </w:rPr>
              <w:t>лева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5C99" w:rsidRPr="00125C99" w:rsidRDefault="00D12E96" w:rsidP="00125C99">
            <w:pPr>
              <w:spacing w:after="0" w:line="240" w:lineRule="auto"/>
              <w:jc w:val="center"/>
              <w:rPr>
                <w:sz w:val="18"/>
                <w:lang w:val="bg-BG"/>
              </w:rPr>
            </w:pPr>
            <w:r w:rsidRPr="00125C99">
              <w:rPr>
                <w:sz w:val="18"/>
                <w:lang w:val="bg-BG"/>
              </w:rPr>
              <w:t>Нетен доход,</w:t>
            </w:r>
          </w:p>
          <w:p w:rsidR="00D12E96" w:rsidRPr="00125C99" w:rsidRDefault="00D12E96" w:rsidP="00125C99">
            <w:pPr>
              <w:spacing w:after="0" w:line="240" w:lineRule="auto"/>
              <w:jc w:val="center"/>
              <w:rPr>
                <w:sz w:val="18"/>
                <w:lang w:val="bg-BG"/>
              </w:rPr>
            </w:pPr>
            <w:r w:rsidRPr="00125C99">
              <w:rPr>
                <w:sz w:val="18"/>
                <w:lang w:val="bg-BG"/>
              </w:rPr>
              <w:t xml:space="preserve"> лева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Нетен доход с включени разходи за превенция, лева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center"/>
              <w:rPr>
                <w:sz w:val="18"/>
                <w:lang w:val="bg-BG"/>
              </w:rPr>
            </w:pPr>
            <w:r w:rsidRPr="00125C99">
              <w:rPr>
                <w:sz w:val="18"/>
                <w:lang w:val="bg-BG"/>
              </w:rPr>
              <w:t>Изменение на нетния доход след включване на разходи за превенция, %</w:t>
            </w:r>
          </w:p>
        </w:tc>
      </w:tr>
      <w:tr w:rsidR="00125C99" w:rsidRPr="00EA7BE6" w:rsidTr="00125C99">
        <w:trPr>
          <w:trHeight w:val="3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left"/>
              <w:rPr>
                <w:sz w:val="20"/>
                <w:lang w:val="bg-BG"/>
              </w:rPr>
            </w:pPr>
            <w:r w:rsidRPr="00125C99">
              <w:rPr>
                <w:sz w:val="20"/>
                <w:lang w:val="bg-BG"/>
              </w:rPr>
              <w:t>от 2 до 8 хил. евро</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78 960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69,0%</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35,7</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71</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10 448</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6 630</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6 612</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-0,3%</w:t>
            </w:r>
          </w:p>
        </w:tc>
      </w:tr>
      <w:tr w:rsidR="00125C99" w:rsidRPr="00EA7BE6" w:rsidTr="00125C99">
        <w:trPr>
          <w:trHeight w:val="3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left"/>
              <w:rPr>
                <w:sz w:val="20"/>
                <w:lang w:val="bg-BG"/>
              </w:rPr>
            </w:pPr>
            <w:r w:rsidRPr="00125C99">
              <w:rPr>
                <w:sz w:val="20"/>
                <w:lang w:val="bg-BG"/>
              </w:rPr>
              <w:t>от 8 до 25 хил. евро</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20 940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18,3%</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138,2</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276</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31 723</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20 770</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20 701</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-0,3%</w:t>
            </w:r>
          </w:p>
        </w:tc>
      </w:tr>
      <w:tr w:rsidR="00125C99" w:rsidRPr="00EA7BE6" w:rsidTr="00125C99">
        <w:trPr>
          <w:trHeight w:val="55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left"/>
              <w:rPr>
                <w:sz w:val="20"/>
                <w:lang w:val="bg-BG"/>
              </w:rPr>
            </w:pPr>
            <w:r w:rsidRPr="00125C99">
              <w:rPr>
                <w:sz w:val="20"/>
                <w:lang w:val="bg-BG"/>
              </w:rPr>
              <w:t>от 25 до 50 хил. евро</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5 050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4,4%</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436,8</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874</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72 775</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36 207</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35 989</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-0,6%</w:t>
            </w:r>
          </w:p>
        </w:tc>
      </w:tr>
      <w:tr w:rsidR="00125C99" w:rsidRPr="00EA7BE6" w:rsidTr="00125C99">
        <w:trPr>
          <w:trHeight w:val="3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left"/>
              <w:rPr>
                <w:sz w:val="20"/>
                <w:lang w:val="bg-BG"/>
              </w:rPr>
            </w:pPr>
            <w:r w:rsidRPr="00125C99">
              <w:rPr>
                <w:sz w:val="20"/>
                <w:lang w:val="bg-BG"/>
              </w:rPr>
              <w:t>от 50 до 100 хил. евро</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4 280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3,7%</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786,2</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1 572</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139 052</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52 798</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52 405</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-0,7%</w:t>
            </w:r>
          </w:p>
        </w:tc>
      </w:tr>
      <w:tr w:rsidR="00125C99" w:rsidRPr="00EA7BE6" w:rsidTr="00125C99">
        <w:trPr>
          <w:trHeight w:val="3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left"/>
              <w:rPr>
                <w:sz w:val="20"/>
                <w:lang w:val="bg-BG"/>
              </w:rPr>
            </w:pPr>
            <w:r w:rsidRPr="00125C99">
              <w:rPr>
                <w:sz w:val="20"/>
                <w:lang w:val="bg-BG"/>
              </w:rPr>
              <w:t>от 100 до 500 хил. евро</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3 870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3,4%</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3 635,8</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7 272</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578 149</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48 465</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46 647</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-3,8%</w:t>
            </w:r>
          </w:p>
        </w:tc>
      </w:tr>
      <w:tr w:rsidR="00125C99" w:rsidRPr="00EA7BE6" w:rsidTr="00125C99">
        <w:trPr>
          <w:trHeight w:val="3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125C99" w:rsidRDefault="00D12E96" w:rsidP="00125C99">
            <w:pPr>
              <w:spacing w:after="0" w:line="240" w:lineRule="auto"/>
              <w:jc w:val="left"/>
              <w:rPr>
                <w:sz w:val="20"/>
                <w:lang w:val="bg-BG"/>
              </w:rPr>
            </w:pPr>
            <w:r w:rsidRPr="00125C99">
              <w:rPr>
                <w:sz w:val="20"/>
                <w:lang w:val="bg-BG"/>
              </w:rPr>
              <w:t>над 500 хил. евро</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1 310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14 391,3</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28 783</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3 063 931</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415 494</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408 298</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125C99" w:rsidRDefault="00D12E96" w:rsidP="0021179D">
            <w:pPr>
              <w:spacing w:after="0" w:line="240" w:lineRule="auto"/>
              <w:jc w:val="right"/>
              <w:rPr>
                <w:sz w:val="20"/>
                <w:lang w:val="bg-BG"/>
              </w:rPr>
            </w:pPr>
            <w:r w:rsidRPr="00125C99">
              <w:rPr>
                <w:sz w:val="20"/>
                <w:lang w:val="bg-BG"/>
              </w:rPr>
              <w:t>-1,7%</w:t>
            </w:r>
          </w:p>
        </w:tc>
      </w:tr>
      <w:tr w:rsidR="00125C99" w:rsidRPr="00EA7BE6" w:rsidTr="00125C99">
        <w:trPr>
          <w:trHeight w:val="4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12E96" w:rsidRPr="0021179D" w:rsidRDefault="00D12E96" w:rsidP="00125C99">
            <w:pPr>
              <w:spacing w:after="0" w:line="240" w:lineRule="auto"/>
              <w:jc w:val="left"/>
              <w:rPr>
                <w:b/>
                <w:sz w:val="20"/>
                <w:lang w:val="bg-BG"/>
              </w:rPr>
            </w:pPr>
            <w:r w:rsidRPr="0021179D">
              <w:rPr>
                <w:b/>
                <w:sz w:val="20"/>
                <w:lang w:val="bg-BG"/>
              </w:rPr>
              <w:t>Всички стопанства</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114 410</w:t>
            </w:r>
          </w:p>
        </w:tc>
        <w:tc>
          <w:tcPr>
            <w:tcW w:w="941"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386,3</w:t>
            </w:r>
          </w:p>
        </w:tc>
        <w:tc>
          <w:tcPr>
            <w:tcW w:w="1200"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773</w:t>
            </w:r>
          </w:p>
        </w:tc>
        <w:tc>
          <w:tcPr>
            <w:tcW w:w="992"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76 036</w:t>
            </w:r>
          </w:p>
        </w:tc>
        <w:tc>
          <w:tcPr>
            <w:tcW w:w="850"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18 341</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18 148</w:t>
            </w:r>
          </w:p>
        </w:tc>
        <w:tc>
          <w:tcPr>
            <w:tcW w:w="1134" w:type="dxa"/>
            <w:tcBorders>
              <w:top w:val="nil"/>
              <w:left w:val="nil"/>
              <w:bottom w:val="single" w:sz="4" w:space="0" w:color="auto"/>
              <w:right w:val="single" w:sz="4" w:space="0" w:color="auto"/>
            </w:tcBorders>
            <w:shd w:val="clear" w:color="auto" w:fill="auto"/>
            <w:noWrap/>
            <w:vAlign w:val="center"/>
            <w:hideMark/>
          </w:tcPr>
          <w:p w:rsidR="00D12E96" w:rsidRPr="0021179D" w:rsidRDefault="00D12E96" w:rsidP="0021179D">
            <w:pPr>
              <w:spacing w:after="0" w:line="240" w:lineRule="auto"/>
              <w:jc w:val="right"/>
              <w:rPr>
                <w:b/>
                <w:sz w:val="20"/>
                <w:lang w:val="bg-BG"/>
              </w:rPr>
            </w:pPr>
            <w:r w:rsidRPr="0021179D">
              <w:rPr>
                <w:b/>
                <w:sz w:val="20"/>
                <w:lang w:val="bg-BG"/>
              </w:rPr>
              <w:t>-1,1%</w:t>
            </w:r>
          </w:p>
        </w:tc>
      </w:tr>
    </w:tbl>
    <w:p w:rsidR="00D12E96" w:rsidRPr="00EA7BE6" w:rsidRDefault="00D12E96" w:rsidP="0046675C">
      <w:pPr>
        <w:spacing w:after="0"/>
        <w:ind w:left="-284"/>
        <w:rPr>
          <w:sz w:val="18"/>
          <w:szCs w:val="18"/>
          <w:lang w:val="bg-BG"/>
        </w:rPr>
      </w:pPr>
      <w:r w:rsidRPr="00EA7BE6">
        <w:rPr>
          <w:sz w:val="18"/>
          <w:szCs w:val="18"/>
          <w:lang w:val="bg-BG"/>
        </w:rPr>
        <w:t xml:space="preserve">Източник: МЗХГ, отдел </w:t>
      </w:r>
      <w:r w:rsidR="0037389F" w:rsidRPr="00C53587">
        <w:rPr>
          <w:sz w:val="18"/>
          <w:szCs w:val="18"/>
          <w:lang w:val="ru-RU"/>
        </w:rPr>
        <w:t>“</w:t>
      </w:r>
      <w:r w:rsidRPr="00EA7BE6">
        <w:rPr>
          <w:sz w:val="18"/>
          <w:szCs w:val="18"/>
          <w:lang w:val="bg-BG"/>
        </w:rPr>
        <w:t>Агростатистика</w:t>
      </w:r>
      <w:r w:rsidR="0037389F" w:rsidRPr="00C53587">
        <w:rPr>
          <w:sz w:val="18"/>
          <w:szCs w:val="18"/>
          <w:lang w:val="ru-RU"/>
        </w:rPr>
        <w:t>”</w:t>
      </w:r>
      <w:r w:rsidRPr="00EA7BE6">
        <w:rPr>
          <w:sz w:val="18"/>
          <w:szCs w:val="18"/>
          <w:lang w:val="bg-BG"/>
        </w:rPr>
        <w:t>, Система за земеделска счетоводна информация 2015 г.</w:t>
      </w:r>
    </w:p>
    <w:p w:rsidR="00D12E96" w:rsidRPr="00C53587" w:rsidRDefault="00D12E96" w:rsidP="0046675C">
      <w:pPr>
        <w:spacing w:after="0"/>
        <w:ind w:hanging="284"/>
        <w:rPr>
          <w:sz w:val="18"/>
          <w:szCs w:val="18"/>
          <w:lang w:val="ru-RU"/>
        </w:rPr>
      </w:pPr>
      <w:r w:rsidRPr="00EA7BE6">
        <w:rPr>
          <w:sz w:val="18"/>
          <w:szCs w:val="18"/>
          <w:lang w:val="bg-BG"/>
        </w:rPr>
        <w:t>*Разходът е изчислен при размер на вноската за единица площ от 0,50 лв. на дка обработваема земя и трайни насаждения</w:t>
      </w:r>
    </w:p>
    <w:p w:rsidR="001D36E1" w:rsidRPr="00EA7BE6" w:rsidRDefault="001D36E1" w:rsidP="001D36E1">
      <w:pPr>
        <w:ind w:left="-284"/>
        <w:rPr>
          <w:sz w:val="18"/>
          <w:szCs w:val="18"/>
          <w:lang w:val="bg-BG"/>
        </w:rPr>
      </w:pPr>
      <w:r w:rsidRPr="00C53587">
        <w:rPr>
          <w:sz w:val="18"/>
          <w:szCs w:val="18"/>
          <w:lang w:val="ru-RU"/>
        </w:rPr>
        <w:t>*</w:t>
      </w:r>
      <w:r w:rsidRPr="00EA7BE6">
        <w:rPr>
          <w:sz w:val="18"/>
          <w:szCs w:val="18"/>
          <w:lang w:val="bg-BG"/>
        </w:rPr>
        <w:t xml:space="preserve">Икономическият размер на стопанството се измерва в евро и представлява общата стандартна продукция. Стандартната продукция  отразява средната парична стойност на селскостопанската продукция, по отделни продукти, по цена на производител. </w:t>
      </w:r>
    </w:p>
    <w:p w:rsidR="00D12E96" w:rsidRPr="00EA7BE6" w:rsidRDefault="00D12E96" w:rsidP="00D12E96">
      <w:pPr>
        <w:rPr>
          <w:b/>
          <w:sz w:val="22"/>
          <w:lang w:val="bg-BG"/>
        </w:rPr>
      </w:pPr>
      <w:r w:rsidRPr="00EA7BE6">
        <w:rPr>
          <w:b/>
          <w:sz w:val="22"/>
          <w:lang w:val="bg-BG"/>
        </w:rPr>
        <w:t>Въздействия за застрахователните компании</w:t>
      </w:r>
    </w:p>
    <w:p w:rsidR="00D12E96" w:rsidRPr="00EA7BE6" w:rsidRDefault="00D12E96" w:rsidP="00D12E96">
      <w:pPr>
        <w:rPr>
          <w:sz w:val="22"/>
          <w:lang w:val="bg-BG"/>
        </w:rPr>
      </w:pPr>
      <w:r w:rsidRPr="00EA7BE6">
        <w:rPr>
          <w:sz w:val="22"/>
          <w:lang w:val="bg-BG"/>
        </w:rPr>
        <w:t xml:space="preserve">Задължителна годишна вноска за превенция срещу природни бедствия и неблагоприятни климатични събития </w:t>
      </w:r>
      <w:r w:rsidR="00043909" w:rsidRPr="00EA7BE6">
        <w:rPr>
          <w:sz w:val="22"/>
          <w:lang w:val="bg-BG"/>
        </w:rPr>
        <w:t xml:space="preserve">ще </w:t>
      </w:r>
      <w:r w:rsidRPr="00EA7BE6">
        <w:rPr>
          <w:sz w:val="22"/>
          <w:lang w:val="bg-BG"/>
        </w:rPr>
        <w:t xml:space="preserve">дължат застрахователните компании, които предлагат застраховки по класове „Сухопътни превозни средства (без релсови превозни средства)“, „Пожар и природни бедствия“ и „Щети по имущество“. </w:t>
      </w:r>
    </w:p>
    <w:p w:rsidR="00D12E96" w:rsidRPr="00EA7BE6" w:rsidRDefault="00D12E96" w:rsidP="00D12E96">
      <w:pPr>
        <w:rPr>
          <w:sz w:val="22"/>
          <w:lang w:val="bg-BG"/>
        </w:rPr>
      </w:pPr>
      <w:r w:rsidRPr="00EA7BE6">
        <w:rPr>
          <w:sz w:val="22"/>
          <w:lang w:val="bg-BG"/>
        </w:rPr>
        <w:t xml:space="preserve">Годишната вноска на застрахователните компании </w:t>
      </w:r>
      <w:r w:rsidR="00043909" w:rsidRPr="00EA7BE6">
        <w:rPr>
          <w:sz w:val="22"/>
          <w:lang w:val="bg-BG"/>
        </w:rPr>
        <w:t xml:space="preserve">ще </w:t>
      </w:r>
      <w:r w:rsidRPr="00EA7BE6">
        <w:rPr>
          <w:sz w:val="22"/>
          <w:lang w:val="bg-BG"/>
        </w:rPr>
        <w:t>представлява 0,8% от премийния приход по посочените три класа застраховки. Общият индикативен размер на вноската от застрахователните компании възлиза на около 6 млн. лева годишно, изчислен въз основа на данни</w:t>
      </w:r>
      <w:r w:rsidR="00043909" w:rsidRPr="00EA7BE6">
        <w:rPr>
          <w:sz w:val="22"/>
          <w:lang w:val="bg-BG"/>
        </w:rPr>
        <w:t xml:space="preserve"> за премийните приходи и изплатените обезщетения по посочените класове застраховки за периода 2013-2017 г.,</w:t>
      </w:r>
      <w:r w:rsidRPr="00EA7BE6">
        <w:rPr>
          <w:sz w:val="22"/>
          <w:lang w:val="bg-BG"/>
        </w:rPr>
        <w:t xml:space="preserve"> </w:t>
      </w:r>
      <w:r w:rsidR="00043909" w:rsidRPr="00EA7BE6">
        <w:rPr>
          <w:sz w:val="22"/>
          <w:lang w:val="bg-BG"/>
        </w:rPr>
        <w:t>получени от</w:t>
      </w:r>
      <w:r w:rsidRPr="00EA7BE6">
        <w:rPr>
          <w:sz w:val="22"/>
          <w:lang w:val="bg-BG"/>
        </w:rPr>
        <w:t xml:space="preserve"> Комисията за финансов надзор </w:t>
      </w:r>
      <w:r w:rsidR="00043909" w:rsidRPr="00EA7BE6">
        <w:rPr>
          <w:sz w:val="22"/>
          <w:lang w:val="bg-BG"/>
        </w:rPr>
        <w:t xml:space="preserve">и обобщени в </w:t>
      </w:r>
      <w:r w:rsidR="00FA0182">
        <w:rPr>
          <w:sz w:val="22"/>
          <w:lang w:val="bg-BG"/>
        </w:rPr>
        <w:t xml:space="preserve">Таблица </w:t>
      </w:r>
      <w:r w:rsidR="00F764E2">
        <w:rPr>
          <w:sz w:val="22"/>
          <w:lang w:val="bg-BG"/>
        </w:rPr>
        <w:t>8</w:t>
      </w:r>
      <w:r w:rsidR="00FA0182">
        <w:rPr>
          <w:sz w:val="22"/>
          <w:lang w:val="bg-BG"/>
        </w:rPr>
        <w:t xml:space="preserve">. </w:t>
      </w:r>
    </w:p>
    <w:p w:rsidR="003311F8" w:rsidRDefault="003311F8" w:rsidP="00F764E2">
      <w:pPr>
        <w:spacing w:after="0"/>
        <w:rPr>
          <w:sz w:val="18"/>
          <w:szCs w:val="18"/>
          <w:lang w:val="bg-BG"/>
        </w:rPr>
      </w:pPr>
    </w:p>
    <w:p w:rsidR="003311F8" w:rsidRDefault="003311F8" w:rsidP="00F764E2">
      <w:pPr>
        <w:spacing w:after="0"/>
        <w:rPr>
          <w:sz w:val="18"/>
          <w:szCs w:val="18"/>
          <w:lang w:val="bg-BG"/>
        </w:rPr>
      </w:pPr>
    </w:p>
    <w:p w:rsidR="00D12E96" w:rsidRPr="00F764E2" w:rsidRDefault="00D12E96" w:rsidP="00F764E2">
      <w:pPr>
        <w:spacing w:after="0"/>
        <w:rPr>
          <w:sz w:val="18"/>
          <w:szCs w:val="18"/>
          <w:lang w:val="bg-BG"/>
        </w:rPr>
      </w:pPr>
      <w:r w:rsidRPr="00EA7BE6">
        <w:rPr>
          <w:sz w:val="22"/>
          <w:lang w:val="bg-BG"/>
        </w:rPr>
        <w:t xml:space="preserve">В проекта на Закон за превенция от неблагоприятни климатични събития в земеделието се предвиждат промени в чл. 8, ал. 4, т. 3 на Закона за данък върху застрахователните премии и в чл. 14, ал. 1, т. 3 на Закона за подпомагане на земеделските производители. С това ще отпадне съществуващото задължение за отчисляване на средства в размер на 4 на сто от премийния приход по застраховки на земеделските култури, животни, машини, сгради, съоръжения и друго имущество, както и други дълготрайни активи на земеделските стопани, постъпващи като приход на </w:t>
      </w:r>
      <w:r w:rsidR="002E112E" w:rsidRPr="00EA7BE6">
        <w:rPr>
          <w:sz w:val="22"/>
          <w:lang w:val="bg-BG"/>
        </w:rPr>
        <w:t>Държавен фонд</w:t>
      </w:r>
      <w:r w:rsidRPr="00EA7BE6">
        <w:rPr>
          <w:sz w:val="22"/>
          <w:lang w:val="bg-BG"/>
        </w:rPr>
        <w:t xml:space="preserve"> „Земеделие“. </w:t>
      </w:r>
      <w:r w:rsidR="002E112E" w:rsidRPr="00EA7BE6">
        <w:rPr>
          <w:sz w:val="22"/>
          <w:lang w:val="bg-BG"/>
        </w:rPr>
        <w:t>По този начин</w:t>
      </w:r>
      <w:r w:rsidRPr="00EA7BE6">
        <w:rPr>
          <w:sz w:val="22"/>
          <w:lang w:val="bg-BG"/>
        </w:rPr>
        <w:t xml:space="preserve"> ще се избегне двойното отчисляване на вноски от застрахователните компании върху едни и същи премийни приходи (касаещи земеделски застраховки).</w:t>
      </w:r>
    </w:p>
    <w:p w:rsidR="00283C92" w:rsidRPr="00EA7BE6" w:rsidRDefault="001459DF" w:rsidP="00283C92">
      <w:pPr>
        <w:pStyle w:val="Heading1"/>
        <w:spacing w:after="120"/>
        <w:rPr>
          <w:rFonts w:eastAsia="Times New Roman" w:cs="Times New Roman"/>
          <w:sz w:val="22"/>
          <w:szCs w:val="22"/>
          <w:lang w:val="bg-BG"/>
        </w:rPr>
      </w:pPr>
      <w:r w:rsidRPr="00EA7BE6">
        <w:rPr>
          <w:rFonts w:eastAsia="Times New Roman" w:cs="Times New Roman"/>
          <w:sz w:val="22"/>
          <w:szCs w:val="22"/>
          <w:lang w:val="bg-BG"/>
        </w:rPr>
        <w:lastRenderedPageBreak/>
        <w:t xml:space="preserve">VII.3. Вариант 3: </w:t>
      </w:r>
      <w:bookmarkEnd w:id="24"/>
      <w:r w:rsidRPr="00EA7BE6">
        <w:rPr>
          <w:rFonts w:eastAsia="Times New Roman" w:cs="Times New Roman"/>
          <w:sz w:val="22"/>
          <w:szCs w:val="22"/>
          <w:lang w:val="bg-BG"/>
        </w:rPr>
        <w:t>Промяна на съществуващата подзаконова нормативна уредба при запазване на сегашния статут</w:t>
      </w:r>
      <w:bookmarkStart w:id="25" w:name="_Toc496709960"/>
    </w:p>
    <w:p w:rsidR="00283C92" w:rsidRPr="00EA7BE6" w:rsidRDefault="00283C92" w:rsidP="00283C92">
      <w:pPr>
        <w:rPr>
          <w:sz w:val="22"/>
          <w:lang w:val="bg-BG"/>
        </w:rPr>
      </w:pPr>
      <w:r w:rsidRPr="00EA7BE6">
        <w:rPr>
          <w:sz w:val="22"/>
          <w:lang w:val="bg-BG"/>
        </w:rPr>
        <w:t xml:space="preserve">При вариант на действие „Промяна на съществуващата подзаконова нормативна уредба при запазване на сегашния статут“ градозащитата ще продължи да се осъществява на 1/3 от територията на страната. Възможно ще е частично увеличаване на защитаваната от градушки и други неблагоприятни климатични събития в земеделието територия на страната, но няма да бъде възможно покриването на цялата територия на страната само с ракетен способ. </w:t>
      </w:r>
    </w:p>
    <w:p w:rsidR="00283C92" w:rsidRPr="00EA7BE6" w:rsidRDefault="00283C92" w:rsidP="00283C92">
      <w:pPr>
        <w:rPr>
          <w:sz w:val="22"/>
          <w:lang w:val="bg-BG"/>
        </w:rPr>
      </w:pPr>
      <w:r w:rsidRPr="00EA7BE6">
        <w:rPr>
          <w:sz w:val="22"/>
          <w:lang w:val="bg-BG"/>
        </w:rPr>
        <w:t xml:space="preserve">За държавата </w:t>
      </w:r>
      <w:r w:rsidR="00FA5C54" w:rsidRPr="00EA7BE6">
        <w:rPr>
          <w:sz w:val="22"/>
          <w:lang w:val="bg-BG"/>
        </w:rPr>
        <w:t>се очаква да възникнат допълнителни разходи, свързани с финансиране на евентуално разширяване на обхвата на защитаваната територия.</w:t>
      </w:r>
    </w:p>
    <w:p w:rsidR="00283C92" w:rsidRPr="00EA7BE6" w:rsidRDefault="00FA5C54" w:rsidP="00283C92">
      <w:pPr>
        <w:rPr>
          <w:sz w:val="22"/>
          <w:lang w:val="bg-BG"/>
        </w:rPr>
      </w:pPr>
      <w:r w:rsidRPr="00EA7BE6">
        <w:rPr>
          <w:sz w:val="22"/>
          <w:lang w:val="bg-BG"/>
        </w:rPr>
        <w:t>По отношение на земеделските стопани и застрахователните компании не се очакват допълнително негативно въздействие от икономическа гледна точка, като единствените разходи, които могат да възникнат ще бъдат за покриване на причинени щети от неблагоприятни климатични събития в земеделието</w:t>
      </w:r>
      <w:r w:rsidR="00283C92" w:rsidRPr="00EA7BE6">
        <w:rPr>
          <w:sz w:val="22"/>
          <w:lang w:val="bg-BG"/>
        </w:rPr>
        <w:t>.</w:t>
      </w:r>
    </w:p>
    <w:p w:rsidR="009C25BF" w:rsidRPr="00EA7BE6" w:rsidRDefault="009C25BF" w:rsidP="00283C92">
      <w:pPr>
        <w:pStyle w:val="Heading1"/>
        <w:spacing w:after="120"/>
        <w:rPr>
          <w:rFonts w:eastAsia="Times New Roman" w:cs="Times New Roman"/>
          <w:sz w:val="22"/>
          <w:szCs w:val="22"/>
          <w:lang w:val="bg-BG"/>
        </w:rPr>
      </w:pPr>
      <w:r w:rsidRPr="00EA7BE6">
        <w:rPr>
          <w:rFonts w:eastAsia="Times New Roman" w:cs="Times New Roman"/>
          <w:sz w:val="22"/>
          <w:szCs w:val="22"/>
          <w:lang w:val="bg-BG"/>
        </w:rPr>
        <w:t>VII</w:t>
      </w:r>
      <w:r w:rsidR="00136FE2" w:rsidRPr="00EA7BE6">
        <w:rPr>
          <w:rFonts w:eastAsia="Times New Roman" w:cs="Times New Roman"/>
          <w:sz w:val="22"/>
          <w:szCs w:val="22"/>
        </w:rPr>
        <w:t>I</w:t>
      </w:r>
      <w:r w:rsidRPr="00EA7BE6">
        <w:rPr>
          <w:rFonts w:eastAsia="Times New Roman" w:cs="Times New Roman"/>
          <w:sz w:val="22"/>
          <w:szCs w:val="22"/>
          <w:lang w:val="bg-BG"/>
        </w:rPr>
        <w:t>.</w:t>
      </w:r>
      <w:r w:rsidR="00DD001A" w:rsidRPr="00EA7BE6">
        <w:rPr>
          <w:rFonts w:eastAsia="Times New Roman" w:cs="Times New Roman"/>
          <w:sz w:val="22"/>
          <w:szCs w:val="22"/>
          <w:lang w:val="bg-BG"/>
        </w:rPr>
        <w:t xml:space="preserve"> </w:t>
      </w:r>
      <w:bookmarkEnd w:id="25"/>
      <w:r w:rsidR="00136FE2" w:rsidRPr="00EA7BE6">
        <w:rPr>
          <w:rFonts w:eastAsia="Times New Roman" w:cs="Times New Roman"/>
          <w:sz w:val="22"/>
          <w:szCs w:val="22"/>
          <w:lang w:val="bg-BG"/>
        </w:rPr>
        <w:t>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p>
    <w:p w:rsidR="00136FE2" w:rsidRPr="00EA7BE6" w:rsidRDefault="00136FE2" w:rsidP="00136FE2">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VIII.1. Вариант 1: Без действие</w:t>
      </w:r>
    </w:p>
    <w:p w:rsidR="00DD001A" w:rsidRPr="00EA7BE6" w:rsidRDefault="00DD001A" w:rsidP="006B3BB7">
      <w:pPr>
        <w:spacing w:before="120" w:after="240"/>
        <w:rPr>
          <w:rFonts w:eastAsia="Times New Roman"/>
          <w:iCs/>
          <w:sz w:val="22"/>
          <w:lang w:val="bg-BG"/>
        </w:rPr>
      </w:pPr>
      <w:r w:rsidRPr="00EA7BE6">
        <w:rPr>
          <w:sz w:val="22"/>
          <w:lang w:val="bg-BG"/>
        </w:rPr>
        <w:t xml:space="preserve">Не се предвижда реализирането на вариант „Без действие“ да предизвика изменение на административната тежест спрямо </w:t>
      </w:r>
      <w:r w:rsidR="00136FE2" w:rsidRPr="00EA7BE6">
        <w:rPr>
          <w:sz w:val="22"/>
          <w:lang w:val="bg-BG"/>
        </w:rPr>
        <w:t>заинтересованите лица</w:t>
      </w:r>
      <w:r w:rsidRPr="00EA7BE6">
        <w:rPr>
          <w:sz w:val="22"/>
          <w:lang w:val="bg-BG"/>
        </w:rPr>
        <w:t xml:space="preserve">. </w:t>
      </w:r>
    </w:p>
    <w:p w:rsidR="00136FE2" w:rsidRPr="00EA7BE6" w:rsidRDefault="00136FE2" w:rsidP="00136FE2">
      <w:pPr>
        <w:spacing w:before="120" w:after="240"/>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VII.2. Вариант 2: Приемане на проект на Закон за превенция от неблагоприятни климатични събития в земеделието</w:t>
      </w:r>
    </w:p>
    <w:p w:rsidR="00DD001A" w:rsidRPr="00EA7BE6" w:rsidRDefault="00136FE2" w:rsidP="006B3BB7">
      <w:pPr>
        <w:spacing w:after="240"/>
        <w:rPr>
          <w:rFonts w:eastAsia="Times New Roman"/>
          <w:iCs/>
          <w:sz w:val="22"/>
          <w:lang w:val="bg-BG"/>
        </w:rPr>
      </w:pPr>
      <w:r w:rsidRPr="00EA7BE6">
        <w:rPr>
          <w:rFonts w:eastAsia="Times New Roman"/>
          <w:iCs/>
          <w:sz w:val="22"/>
          <w:lang w:val="bg-BG"/>
        </w:rPr>
        <w:t>При този вариант на действие възниква задължение за заинтересованите лица – в частност земеделските стопани и застрахователните компании, предлагащи посочените класове застраховки, за заплащане на предвидените в законопроекта задължителни вноски за превенция от неблагоприятни климатични събития в земеделието. С помощта на интерактивния калкулатор, достъпен на електронната страница на Портала за обществени консултации</w:t>
      </w:r>
      <w:r w:rsidR="00A226E2">
        <w:rPr>
          <w:rFonts w:eastAsia="Times New Roman"/>
          <w:iCs/>
          <w:sz w:val="22"/>
          <w:lang w:val="bg-BG"/>
        </w:rPr>
        <w:t>,</w:t>
      </w:r>
      <w:r w:rsidRPr="00EA7BE6">
        <w:rPr>
          <w:rFonts w:eastAsia="Times New Roman"/>
          <w:iCs/>
          <w:sz w:val="22"/>
          <w:lang w:val="bg-BG"/>
        </w:rPr>
        <w:t xml:space="preserve"> може да бъде изчислена очакваната административна тежест за посочените две групи заинтересовани лица.</w:t>
      </w:r>
    </w:p>
    <w:p w:rsidR="00531958" w:rsidRPr="00EA7BE6" w:rsidRDefault="00531958" w:rsidP="006B3BB7">
      <w:pPr>
        <w:spacing w:after="240"/>
        <w:rPr>
          <w:rFonts w:eastAsia="Times New Roman"/>
          <w:b/>
          <w:iCs/>
          <w:sz w:val="22"/>
          <w:lang w:val="bg-BG"/>
        </w:rPr>
      </w:pPr>
      <w:r w:rsidRPr="00EA7BE6">
        <w:rPr>
          <w:rFonts w:eastAsia="Times New Roman"/>
          <w:b/>
          <w:iCs/>
          <w:sz w:val="22"/>
          <w:lang w:val="bg-BG"/>
        </w:rPr>
        <w:t>За земеделските стопани</w:t>
      </w:r>
    </w:p>
    <w:p w:rsidR="00531958" w:rsidRPr="00EA7BE6" w:rsidRDefault="00531958" w:rsidP="006B3BB7">
      <w:pPr>
        <w:spacing w:after="240"/>
        <w:rPr>
          <w:rFonts w:eastAsia="Times New Roman"/>
          <w:iCs/>
          <w:sz w:val="22"/>
          <w:lang w:val="bg-BG"/>
        </w:rPr>
      </w:pPr>
      <w:r w:rsidRPr="00EA7BE6">
        <w:rPr>
          <w:rFonts w:eastAsia="Times New Roman"/>
          <w:iCs/>
          <w:sz w:val="22"/>
          <w:lang w:val="bg-BG"/>
        </w:rPr>
        <w:t>Определен е общ административен товар за една година за „задължителна вноска за превенция от неблагоприятни климатични събития в земеделието“ в размер на 23</w:t>
      </w:r>
      <w:r w:rsidR="00A226E2">
        <w:rPr>
          <w:rFonts w:eastAsia="Times New Roman"/>
          <w:iCs/>
          <w:sz w:val="22"/>
          <w:lang w:val="bg-BG"/>
        </w:rPr>
        <w:t xml:space="preserve"> </w:t>
      </w:r>
      <w:r w:rsidRPr="00EA7BE6">
        <w:rPr>
          <w:rFonts w:eastAsia="Times New Roman"/>
          <w:iCs/>
          <w:sz w:val="22"/>
          <w:lang w:val="bg-BG"/>
        </w:rPr>
        <w:t>685.19 лева. За определянето му са използвани следните критерии:</w:t>
      </w:r>
    </w:p>
    <w:p w:rsidR="00866A6F" w:rsidRPr="00EA7BE6" w:rsidRDefault="00866A6F" w:rsidP="003B77D3">
      <w:pPr>
        <w:pStyle w:val="ListParagraph"/>
        <w:numPr>
          <w:ilvl w:val="0"/>
          <w:numId w:val="14"/>
        </w:numPr>
        <w:spacing w:after="240"/>
        <w:rPr>
          <w:rFonts w:eastAsia="Times New Roman"/>
          <w:iCs/>
          <w:sz w:val="22"/>
          <w:lang w:val="bg-BG"/>
        </w:rPr>
      </w:pPr>
      <w:r w:rsidRPr="00EA7BE6">
        <w:rPr>
          <w:rFonts w:eastAsia="Times New Roman"/>
          <w:iCs/>
          <w:sz w:val="22"/>
          <w:lang w:val="bg-BG"/>
        </w:rPr>
        <w:t>б</w:t>
      </w:r>
      <w:r w:rsidRPr="00C53587">
        <w:rPr>
          <w:rFonts w:eastAsia="Times New Roman"/>
          <w:iCs/>
          <w:sz w:val="22"/>
          <w:lang w:val="ru-RU"/>
        </w:rPr>
        <w:t>рой часове, необходими за извършването на дейността</w:t>
      </w:r>
      <w:r w:rsidRPr="00EA7BE6">
        <w:rPr>
          <w:rFonts w:eastAsia="Times New Roman"/>
          <w:iCs/>
          <w:sz w:val="22"/>
          <w:lang w:val="bg-BG"/>
        </w:rPr>
        <w:t xml:space="preserve"> – 10 минути (попълване на платежно нареждане);</w:t>
      </w:r>
    </w:p>
    <w:p w:rsidR="00866A6F" w:rsidRPr="00EA7BE6" w:rsidRDefault="00866A6F" w:rsidP="003B77D3">
      <w:pPr>
        <w:pStyle w:val="ListParagraph"/>
        <w:numPr>
          <w:ilvl w:val="0"/>
          <w:numId w:val="14"/>
        </w:numPr>
        <w:spacing w:after="240"/>
        <w:rPr>
          <w:rFonts w:eastAsia="Times New Roman"/>
          <w:iCs/>
          <w:sz w:val="22"/>
          <w:lang w:val="bg-BG"/>
        </w:rPr>
      </w:pPr>
      <w:r w:rsidRPr="00EA7BE6">
        <w:rPr>
          <w:rFonts w:eastAsia="Times New Roman"/>
          <w:iCs/>
          <w:sz w:val="22"/>
          <w:lang w:val="bg-BG"/>
        </w:rPr>
        <w:t>с</w:t>
      </w:r>
      <w:r w:rsidRPr="00C53587">
        <w:rPr>
          <w:rFonts w:eastAsia="Times New Roman"/>
          <w:iCs/>
          <w:sz w:val="22"/>
          <w:lang w:val="ru-RU"/>
        </w:rPr>
        <w:t>редна месечна работна заплата на човека, който трябва да извърши дейността</w:t>
      </w:r>
      <w:r w:rsidRPr="00EA7BE6">
        <w:rPr>
          <w:rFonts w:eastAsia="Times New Roman"/>
          <w:iCs/>
          <w:sz w:val="22"/>
          <w:lang w:val="bg-BG"/>
        </w:rPr>
        <w:t xml:space="preserve"> – 655 лв. (</w:t>
      </w:r>
      <w:r w:rsidR="005C44FB" w:rsidRPr="00EA7BE6">
        <w:rPr>
          <w:rFonts w:eastAsia="Times New Roman"/>
          <w:iCs/>
          <w:sz w:val="22"/>
          <w:lang w:val="bg-BG"/>
        </w:rPr>
        <w:t>това</w:t>
      </w:r>
      <w:r w:rsidR="00357013" w:rsidRPr="00EA7BE6">
        <w:rPr>
          <w:rFonts w:eastAsia="Times New Roman"/>
          <w:iCs/>
          <w:sz w:val="22"/>
          <w:lang w:val="bg-BG"/>
        </w:rPr>
        <w:t xml:space="preserve"> е</w:t>
      </w:r>
      <w:r w:rsidR="005C44FB" w:rsidRPr="00EA7BE6">
        <w:rPr>
          <w:rFonts w:eastAsia="Times New Roman"/>
          <w:iCs/>
          <w:sz w:val="22"/>
          <w:lang w:val="bg-BG"/>
        </w:rPr>
        <w:t xml:space="preserve"> минималният осигурителен доход за длъжността „помощен административен персонал“ по икономическа дейност „Растениевъдство, животновъдство и лов, спомагателни дейности; Рибно стопанство“ </w:t>
      </w:r>
      <w:r w:rsidRPr="00EA7BE6">
        <w:rPr>
          <w:rFonts w:eastAsia="Times New Roman"/>
          <w:iCs/>
          <w:sz w:val="22"/>
          <w:lang w:val="bg-BG"/>
        </w:rPr>
        <w:t>съгласно Приложение № 1 към чл. 9, ал. 1, т. 1 от З</w:t>
      </w:r>
      <w:r w:rsidRPr="00C53587">
        <w:rPr>
          <w:rFonts w:eastAsia="Times New Roman"/>
          <w:iCs/>
          <w:sz w:val="22"/>
          <w:lang w:val="ru-RU"/>
        </w:rPr>
        <w:t>акон</w:t>
      </w:r>
      <w:r w:rsidRPr="00EA7BE6">
        <w:rPr>
          <w:rFonts w:eastAsia="Times New Roman"/>
          <w:iCs/>
          <w:sz w:val="22"/>
          <w:lang w:val="bg-BG"/>
        </w:rPr>
        <w:t>а</w:t>
      </w:r>
      <w:r w:rsidRPr="00C53587">
        <w:rPr>
          <w:rFonts w:eastAsia="Times New Roman"/>
          <w:iCs/>
          <w:sz w:val="22"/>
          <w:lang w:val="ru-RU"/>
        </w:rPr>
        <w:t xml:space="preserve"> за бюджета на държавното обществено осигуряване за 2018 г.</w:t>
      </w:r>
      <w:r w:rsidRPr="00EA7BE6">
        <w:rPr>
          <w:rFonts w:eastAsia="Times New Roman"/>
          <w:iCs/>
          <w:sz w:val="22"/>
          <w:lang w:val="bg-BG"/>
        </w:rPr>
        <w:t xml:space="preserve"> за м</w:t>
      </w:r>
      <w:proofErr w:type="spellStart"/>
      <w:r w:rsidRPr="00C53587">
        <w:rPr>
          <w:rFonts w:eastAsia="Times New Roman"/>
          <w:iCs/>
          <w:sz w:val="22"/>
          <w:lang w:val="ru-RU"/>
        </w:rPr>
        <w:t>инималн</w:t>
      </w:r>
      <w:r w:rsidRPr="00EA7BE6">
        <w:rPr>
          <w:rFonts w:eastAsia="Times New Roman"/>
          <w:iCs/>
          <w:sz w:val="22"/>
          <w:lang w:val="bg-BG"/>
        </w:rPr>
        <w:t>ия</w:t>
      </w:r>
      <w:proofErr w:type="spellEnd"/>
      <w:r w:rsidRPr="00C53587">
        <w:rPr>
          <w:rFonts w:eastAsia="Times New Roman"/>
          <w:iCs/>
          <w:sz w:val="22"/>
          <w:lang w:val="ru-RU"/>
        </w:rPr>
        <w:t xml:space="preserve"> </w:t>
      </w:r>
      <w:proofErr w:type="spellStart"/>
      <w:r w:rsidRPr="00C53587">
        <w:rPr>
          <w:rFonts w:eastAsia="Times New Roman"/>
          <w:iCs/>
          <w:sz w:val="22"/>
          <w:lang w:val="ru-RU"/>
        </w:rPr>
        <w:t>осигурителен</w:t>
      </w:r>
      <w:proofErr w:type="spellEnd"/>
      <w:r w:rsidRPr="00C53587">
        <w:rPr>
          <w:rFonts w:eastAsia="Times New Roman"/>
          <w:iCs/>
          <w:sz w:val="22"/>
          <w:lang w:val="ru-RU"/>
        </w:rPr>
        <w:t xml:space="preserve"> доход по </w:t>
      </w:r>
      <w:proofErr w:type="spellStart"/>
      <w:r w:rsidRPr="00C53587">
        <w:rPr>
          <w:rFonts w:eastAsia="Times New Roman"/>
          <w:iCs/>
          <w:sz w:val="22"/>
          <w:lang w:val="ru-RU"/>
        </w:rPr>
        <w:t>основни</w:t>
      </w:r>
      <w:proofErr w:type="spellEnd"/>
      <w:r w:rsidRPr="00C53587">
        <w:rPr>
          <w:rFonts w:eastAsia="Times New Roman"/>
          <w:iCs/>
          <w:sz w:val="22"/>
          <w:lang w:val="ru-RU"/>
        </w:rPr>
        <w:t xml:space="preserve"> </w:t>
      </w:r>
      <w:proofErr w:type="spellStart"/>
      <w:r w:rsidRPr="00C53587">
        <w:rPr>
          <w:rFonts w:eastAsia="Times New Roman"/>
          <w:iCs/>
          <w:sz w:val="22"/>
          <w:lang w:val="ru-RU"/>
        </w:rPr>
        <w:t>икономически</w:t>
      </w:r>
      <w:proofErr w:type="spellEnd"/>
      <w:r w:rsidRPr="00C53587">
        <w:rPr>
          <w:rFonts w:eastAsia="Times New Roman"/>
          <w:iCs/>
          <w:sz w:val="22"/>
          <w:lang w:val="ru-RU"/>
        </w:rPr>
        <w:t xml:space="preserve"> </w:t>
      </w:r>
      <w:proofErr w:type="spellStart"/>
      <w:r w:rsidRPr="00C53587">
        <w:rPr>
          <w:rFonts w:eastAsia="Times New Roman"/>
          <w:iCs/>
          <w:sz w:val="22"/>
          <w:lang w:val="ru-RU"/>
        </w:rPr>
        <w:t>дейности</w:t>
      </w:r>
      <w:proofErr w:type="spellEnd"/>
      <w:r w:rsidRPr="00C53587">
        <w:rPr>
          <w:rFonts w:eastAsia="Times New Roman"/>
          <w:iCs/>
          <w:sz w:val="22"/>
          <w:lang w:val="ru-RU"/>
        </w:rPr>
        <w:t xml:space="preserve"> и </w:t>
      </w:r>
      <w:proofErr w:type="spellStart"/>
      <w:r w:rsidRPr="00C53587">
        <w:rPr>
          <w:rFonts w:eastAsia="Times New Roman"/>
          <w:iCs/>
          <w:sz w:val="22"/>
          <w:lang w:val="ru-RU"/>
        </w:rPr>
        <w:t>квалификационни</w:t>
      </w:r>
      <w:proofErr w:type="spellEnd"/>
      <w:r w:rsidRPr="00C53587">
        <w:rPr>
          <w:rFonts w:eastAsia="Times New Roman"/>
          <w:iCs/>
          <w:sz w:val="22"/>
          <w:lang w:val="ru-RU"/>
        </w:rPr>
        <w:t xml:space="preserve"> </w:t>
      </w:r>
      <w:proofErr w:type="spellStart"/>
      <w:r w:rsidRPr="00C53587">
        <w:rPr>
          <w:rFonts w:eastAsia="Times New Roman"/>
          <w:iCs/>
          <w:sz w:val="22"/>
          <w:lang w:val="ru-RU"/>
        </w:rPr>
        <w:t>групи</w:t>
      </w:r>
      <w:proofErr w:type="spellEnd"/>
      <w:r w:rsidRPr="00C53587">
        <w:rPr>
          <w:rFonts w:eastAsia="Times New Roman"/>
          <w:iCs/>
          <w:sz w:val="22"/>
          <w:lang w:val="ru-RU"/>
        </w:rPr>
        <w:t xml:space="preserve"> </w:t>
      </w:r>
      <w:proofErr w:type="spellStart"/>
      <w:r w:rsidRPr="00C53587">
        <w:rPr>
          <w:rFonts w:eastAsia="Times New Roman"/>
          <w:iCs/>
          <w:sz w:val="22"/>
          <w:lang w:val="ru-RU"/>
        </w:rPr>
        <w:t>професии</w:t>
      </w:r>
      <w:proofErr w:type="spellEnd"/>
      <w:r w:rsidRPr="00C53587">
        <w:rPr>
          <w:rFonts w:eastAsia="Times New Roman"/>
          <w:iCs/>
          <w:sz w:val="22"/>
          <w:lang w:val="ru-RU"/>
        </w:rPr>
        <w:t xml:space="preserve"> - 2018 г.</w:t>
      </w:r>
      <w:r w:rsidRPr="00EA7BE6">
        <w:rPr>
          <w:rFonts w:eastAsia="Times New Roman"/>
          <w:iCs/>
          <w:sz w:val="22"/>
          <w:lang w:val="bg-BG"/>
        </w:rPr>
        <w:t>);</w:t>
      </w:r>
    </w:p>
    <w:p w:rsidR="00866A6F" w:rsidRPr="00EA7BE6" w:rsidRDefault="00580E47" w:rsidP="003B77D3">
      <w:pPr>
        <w:pStyle w:val="ListParagraph"/>
        <w:numPr>
          <w:ilvl w:val="0"/>
          <w:numId w:val="14"/>
        </w:numPr>
        <w:spacing w:after="240"/>
        <w:rPr>
          <w:rFonts w:eastAsia="Times New Roman"/>
          <w:iCs/>
          <w:sz w:val="22"/>
          <w:lang w:val="bg-BG"/>
        </w:rPr>
      </w:pPr>
      <w:r w:rsidRPr="00EA7BE6">
        <w:rPr>
          <w:rFonts w:eastAsia="Times New Roman"/>
          <w:iCs/>
          <w:sz w:val="22"/>
          <w:lang w:val="bg-BG"/>
        </w:rPr>
        <w:lastRenderedPageBreak/>
        <w:t>б</w:t>
      </w:r>
      <w:r w:rsidRPr="00C53587">
        <w:rPr>
          <w:rFonts w:eastAsia="Times New Roman"/>
          <w:iCs/>
          <w:sz w:val="22"/>
          <w:lang w:val="ru-RU"/>
        </w:rPr>
        <w:t>рой на фирмите, които трябва да извършат дейността</w:t>
      </w:r>
      <w:r w:rsidRPr="00EA7BE6">
        <w:rPr>
          <w:rFonts w:eastAsia="Times New Roman"/>
          <w:iCs/>
          <w:sz w:val="22"/>
          <w:lang w:val="bg-BG"/>
        </w:rPr>
        <w:t xml:space="preserve"> – 61 473 стопанства (по данни на Министерство на земеделието, храните и горите);</w:t>
      </w:r>
    </w:p>
    <w:p w:rsidR="00580E47" w:rsidRPr="00EA7BE6" w:rsidRDefault="005C44FB" w:rsidP="003B77D3">
      <w:pPr>
        <w:pStyle w:val="ListParagraph"/>
        <w:numPr>
          <w:ilvl w:val="0"/>
          <w:numId w:val="14"/>
        </w:numPr>
        <w:spacing w:after="240"/>
        <w:rPr>
          <w:rFonts w:eastAsia="Times New Roman"/>
          <w:iCs/>
          <w:sz w:val="22"/>
          <w:lang w:val="bg-BG"/>
        </w:rPr>
      </w:pPr>
      <w:r w:rsidRPr="00EA7BE6">
        <w:rPr>
          <w:rFonts w:eastAsia="Times New Roman"/>
          <w:iCs/>
          <w:sz w:val="22"/>
          <w:lang w:val="bg-BG"/>
        </w:rPr>
        <w:t>брой пъти на година, които бизнесът трябва да извърши дейността – 1 път годишно.</w:t>
      </w:r>
    </w:p>
    <w:p w:rsidR="00E411F2" w:rsidRPr="00EA7BE6" w:rsidRDefault="00E411F2" w:rsidP="00E411F2">
      <w:pPr>
        <w:pStyle w:val="ListParagraph"/>
        <w:spacing w:after="240"/>
        <w:ind w:left="0"/>
        <w:rPr>
          <w:rFonts w:eastAsia="Times New Roman"/>
          <w:iCs/>
          <w:sz w:val="22"/>
          <w:lang w:val="bg-BG"/>
        </w:rPr>
      </w:pPr>
    </w:p>
    <w:p w:rsidR="00E411F2" w:rsidRPr="00EA7BE6" w:rsidRDefault="00E411F2" w:rsidP="00E411F2">
      <w:pPr>
        <w:pStyle w:val="ListParagraph"/>
        <w:spacing w:after="240"/>
        <w:ind w:left="0"/>
        <w:rPr>
          <w:rFonts w:eastAsia="Times New Roman"/>
          <w:b/>
          <w:iCs/>
          <w:sz w:val="22"/>
          <w:lang w:val="bg-BG"/>
        </w:rPr>
      </w:pPr>
      <w:r w:rsidRPr="00EA7BE6">
        <w:rPr>
          <w:rFonts w:eastAsia="Times New Roman"/>
          <w:b/>
          <w:iCs/>
          <w:sz w:val="22"/>
          <w:lang w:val="bg-BG"/>
        </w:rPr>
        <w:t>Застрахователните компании</w:t>
      </w:r>
    </w:p>
    <w:p w:rsidR="002616AC" w:rsidRPr="00EA7BE6" w:rsidRDefault="002616AC" w:rsidP="002616AC">
      <w:pPr>
        <w:spacing w:after="240"/>
        <w:rPr>
          <w:rFonts w:eastAsia="Times New Roman"/>
          <w:iCs/>
          <w:sz w:val="22"/>
          <w:lang w:val="bg-BG"/>
        </w:rPr>
      </w:pPr>
      <w:r w:rsidRPr="00EA7BE6">
        <w:rPr>
          <w:rFonts w:eastAsia="Times New Roman"/>
          <w:iCs/>
          <w:sz w:val="22"/>
          <w:lang w:val="bg-BG"/>
        </w:rPr>
        <w:t xml:space="preserve">Определен е общ административен товар за една година за „задължителна вноска за превенция от неблагоприятни климатични събития в земеделието“ в размер на </w:t>
      </w:r>
      <w:r w:rsidR="00357013" w:rsidRPr="00EA7BE6">
        <w:rPr>
          <w:rFonts w:eastAsia="Times New Roman"/>
          <w:iCs/>
          <w:sz w:val="22"/>
          <w:lang w:val="bg-BG"/>
        </w:rPr>
        <w:t xml:space="preserve">16.68 </w:t>
      </w:r>
      <w:r w:rsidRPr="00EA7BE6">
        <w:rPr>
          <w:rFonts w:eastAsia="Times New Roman"/>
          <w:iCs/>
          <w:sz w:val="22"/>
          <w:lang w:val="bg-BG"/>
        </w:rPr>
        <w:t>лева. За определянето му са използвани следните критерии:</w:t>
      </w:r>
    </w:p>
    <w:p w:rsidR="00357013" w:rsidRPr="00EA7BE6" w:rsidRDefault="00357013" w:rsidP="002616AC">
      <w:pPr>
        <w:spacing w:after="240"/>
        <w:rPr>
          <w:rFonts w:eastAsia="Times New Roman"/>
          <w:iCs/>
          <w:sz w:val="22"/>
          <w:lang w:val="bg-BG"/>
        </w:rPr>
      </w:pPr>
      <w:r w:rsidRPr="00EA7BE6">
        <w:rPr>
          <w:rFonts w:eastAsia="Times New Roman"/>
          <w:iCs/>
          <w:sz w:val="22"/>
          <w:lang w:val="bg-BG"/>
        </w:rPr>
        <w:t>За дейност 1 – „Попълване на платежно нареждане“:</w:t>
      </w:r>
    </w:p>
    <w:p w:rsidR="002616AC" w:rsidRPr="00EA7BE6" w:rsidRDefault="002616AC" w:rsidP="003B77D3">
      <w:pPr>
        <w:pStyle w:val="ListParagraph"/>
        <w:numPr>
          <w:ilvl w:val="0"/>
          <w:numId w:val="15"/>
        </w:numPr>
        <w:spacing w:after="240"/>
        <w:rPr>
          <w:rFonts w:eastAsia="Times New Roman"/>
          <w:iCs/>
          <w:sz w:val="22"/>
          <w:lang w:val="bg-BG"/>
        </w:rPr>
      </w:pPr>
      <w:r w:rsidRPr="00EA7BE6">
        <w:rPr>
          <w:rFonts w:eastAsia="Times New Roman"/>
          <w:iCs/>
          <w:sz w:val="22"/>
          <w:lang w:val="bg-BG"/>
        </w:rPr>
        <w:t>б</w:t>
      </w:r>
      <w:r w:rsidRPr="00C53587">
        <w:rPr>
          <w:rFonts w:eastAsia="Times New Roman"/>
          <w:iCs/>
          <w:sz w:val="22"/>
          <w:lang w:val="ru-RU"/>
        </w:rPr>
        <w:t>рой часове, необходими за извършването на дейността</w:t>
      </w:r>
      <w:r w:rsidRPr="00EA7BE6">
        <w:rPr>
          <w:rFonts w:eastAsia="Times New Roman"/>
          <w:iCs/>
          <w:sz w:val="22"/>
          <w:lang w:val="bg-BG"/>
        </w:rPr>
        <w:t xml:space="preserve"> – 10 минути (попълване на платежно нареждане);</w:t>
      </w:r>
    </w:p>
    <w:p w:rsidR="002616AC" w:rsidRPr="00EA7BE6" w:rsidRDefault="002616AC" w:rsidP="00357013">
      <w:pPr>
        <w:pStyle w:val="ListParagraph"/>
        <w:numPr>
          <w:ilvl w:val="0"/>
          <w:numId w:val="15"/>
        </w:numPr>
        <w:spacing w:after="240"/>
        <w:rPr>
          <w:rFonts w:eastAsia="Times New Roman"/>
          <w:iCs/>
          <w:sz w:val="22"/>
          <w:lang w:val="bg-BG"/>
        </w:rPr>
      </w:pPr>
      <w:r w:rsidRPr="00EA7BE6">
        <w:rPr>
          <w:rFonts w:eastAsia="Times New Roman"/>
          <w:iCs/>
          <w:sz w:val="22"/>
          <w:lang w:val="bg-BG"/>
        </w:rPr>
        <w:t>с</w:t>
      </w:r>
      <w:r w:rsidRPr="00C53587">
        <w:rPr>
          <w:rFonts w:eastAsia="Times New Roman"/>
          <w:iCs/>
          <w:sz w:val="22"/>
          <w:lang w:val="ru-RU"/>
        </w:rPr>
        <w:t>редна месечна работна заплата на човека, който трябва да извърши дейността</w:t>
      </w:r>
      <w:r w:rsidRPr="00EA7BE6">
        <w:rPr>
          <w:rFonts w:eastAsia="Times New Roman"/>
          <w:iCs/>
          <w:sz w:val="22"/>
          <w:lang w:val="bg-BG"/>
        </w:rPr>
        <w:t xml:space="preserve"> – </w:t>
      </w:r>
      <w:r w:rsidR="00357013" w:rsidRPr="00EA7BE6">
        <w:rPr>
          <w:rFonts w:eastAsia="Times New Roman"/>
          <w:iCs/>
          <w:sz w:val="22"/>
          <w:lang w:val="bg-BG"/>
        </w:rPr>
        <w:t>556</w:t>
      </w:r>
      <w:r w:rsidRPr="00EA7BE6">
        <w:rPr>
          <w:rFonts w:eastAsia="Times New Roman"/>
          <w:iCs/>
          <w:sz w:val="22"/>
          <w:lang w:val="bg-BG"/>
        </w:rPr>
        <w:t xml:space="preserve"> лв. (това</w:t>
      </w:r>
      <w:r w:rsidR="00357013" w:rsidRPr="00EA7BE6">
        <w:rPr>
          <w:rFonts w:eastAsia="Times New Roman"/>
          <w:iCs/>
          <w:sz w:val="22"/>
          <w:lang w:val="bg-BG"/>
        </w:rPr>
        <w:t xml:space="preserve"> е</w:t>
      </w:r>
      <w:r w:rsidRPr="00EA7BE6">
        <w:rPr>
          <w:rFonts w:eastAsia="Times New Roman"/>
          <w:iCs/>
          <w:sz w:val="22"/>
          <w:lang w:val="bg-BG"/>
        </w:rPr>
        <w:t xml:space="preserve"> минималният осигурителен доход за длъжността „помощен административен персонал“ по икономическа дейност „</w:t>
      </w:r>
      <w:r w:rsidR="00357013" w:rsidRPr="00EA7BE6">
        <w:rPr>
          <w:rFonts w:eastAsia="Times New Roman"/>
          <w:iCs/>
          <w:sz w:val="22"/>
          <w:lang w:val="bg-BG"/>
        </w:rPr>
        <w:t>Финансови и застрахователни дейности</w:t>
      </w:r>
      <w:r w:rsidRPr="00EA7BE6">
        <w:rPr>
          <w:rFonts w:eastAsia="Times New Roman"/>
          <w:iCs/>
          <w:sz w:val="22"/>
          <w:lang w:val="bg-BG"/>
        </w:rPr>
        <w:t>“ съгласно Приложение № 1 към чл. 9, ал. 1, т. 1 от З</w:t>
      </w:r>
      <w:r w:rsidRPr="00C53587">
        <w:rPr>
          <w:rFonts w:eastAsia="Times New Roman"/>
          <w:iCs/>
          <w:sz w:val="22"/>
          <w:lang w:val="ru-RU"/>
        </w:rPr>
        <w:t>акон</w:t>
      </w:r>
      <w:r w:rsidRPr="00EA7BE6">
        <w:rPr>
          <w:rFonts w:eastAsia="Times New Roman"/>
          <w:iCs/>
          <w:sz w:val="22"/>
          <w:lang w:val="bg-BG"/>
        </w:rPr>
        <w:t>а</w:t>
      </w:r>
      <w:r w:rsidRPr="00C53587">
        <w:rPr>
          <w:rFonts w:eastAsia="Times New Roman"/>
          <w:iCs/>
          <w:sz w:val="22"/>
          <w:lang w:val="ru-RU"/>
        </w:rPr>
        <w:t xml:space="preserve"> за бюджета на държавното обществено осигуряване за 2018 г.</w:t>
      </w:r>
      <w:r w:rsidRPr="00EA7BE6">
        <w:rPr>
          <w:rFonts w:eastAsia="Times New Roman"/>
          <w:iCs/>
          <w:sz w:val="22"/>
          <w:lang w:val="bg-BG"/>
        </w:rPr>
        <w:t xml:space="preserve"> за м</w:t>
      </w:r>
      <w:proofErr w:type="spellStart"/>
      <w:r w:rsidRPr="00C53587">
        <w:rPr>
          <w:rFonts w:eastAsia="Times New Roman"/>
          <w:iCs/>
          <w:sz w:val="22"/>
          <w:lang w:val="ru-RU"/>
        </w:rPr>
        <w:t>инималн</w:t>
      </w:r>
      <w:r w:rsidRPr="00EA7BE6">
        <w:rPr>
          <w:rFonts w:eastAsia="Times New Roman"/>
          <w:iCs/>
          <w:sz w:val="22"/>
          <w:lang w:val="bg-BG"/>
        </w:rPr>
        <w:t>ия</w:t>
      </w:r>
      <w:proofErr w:type="spellEnd"/>
      <w:r w:rsidRPr="00C53587">
        <w:rPr>
          <w:rFonts w:eastAsia="Times New Roman"/>
          <w:iCs/>
          <w:sz w:val="22"/>
          <w:lang w:val="ru-RU"/>
        </w:rPr>
        <w:t xml:space="preserve"> </w:t>
      </w:r>
      <w:proofErr w:type="spellStart"/>
      <w:r w:rsidRPr="00C53587">
        <w:rPr>
          <w:rFonts w:eastAsia="Times New Roman"/>
          <w:iCs/>
          <w:sz w:val="22"/>
          <w:lang w:val="ru-RU"/>
        </w:rPr>
        <w:t>осигурителен</w:t>
      </w:r>
      <w:proofErr w:type="spellEnd"/>
      <w:r w:rsidRPr="00C53587">
        <w:rPr>
          <w:rFonts w:eastAsia="Times New Roman"/>
          <w:iCs/>
          <w:sz w:val="22"/>
          <w:lang w:val="ru-RU"/>
        </w:rPr>
        <w:t xml:space="preserve"> доход по </w:t>
      </w:r>
      <w:proofErr w:type="spellStart"/>
      <w:r w:rsidRPr="00C53587">
        <w:rPr>
          <w:rFonts w:eastAsia="Times New Roman"/>
          <w:iCs/>
          <w:sz w:val="22"/>
          <w:lang w:val="ru-RU"/>
        </w:rPr>
        <w:t>основни</w:t>
      </w:r>
      <w:proofErr w:type="spellEnd"/>
      <w:r w:rsidRPr="00C53587">
        <w:rPr>
          <w:rFonts w:eastAsia="Times New Roman"/>
          <w:iCs/>
          <w:sz w:val="22"/>
          <w:lang w:val="ru-RU"/>
        </w:rPr>
        <w:t xml:space="preserve"> </w:t>
      </w:r>
      <w:proofErr w:type="spellStart"/>
      <w:r w:rsidRPr="00C53587">
        <w:rPr>
          <w:rFonts w:eastAsia="Times New Roman"/>
          <w:iCs/>
          <w:sz w:val="22"/>
          <w:lang w:val="ru-RU"/>
        </w:rPr>
        <w:t>икономически</w:t>
      </w:r>
      <w:proofErr w:type="spellEnd"/>
      <w:r w:rsidRPr="00C53587">
        <w:rPr>
          <w:rFonts w:eastAsia="Times New Roman"/>
          <w:iCs/>
          <w:sz w:val="22"/>
          <w:lang w:val="ru-RU"/>
        </w:rPr>
        <w:t xml:space="preserve"> </w:t>
      </w:r>
      <w:proofErr w:type="spellStart"/>
      <w:r w:rsidRPr="00C53587">
        <w:rPr>
          <w:rFonts w:eastAsia="Times New Roman"/>
          <w:iCs/>
          <w:sz w:val="22"/>
          <w:lang w:val="ru-RU"/>
        </w:rPr>
        <w:t>дейности</w:t>
      </w:r>
      <w:proofErr w:type="spellEnd"/>
      <w:r w:rsidRPr="00C53587">
        <w:rPr>
          <w:rFonts w:eastAsia="Times New Roman"/>
          <w:iCs/>
          <w:sz w:val="22"/>
          <w:lang w:val="ru-RU"/>
        </w:rPr>
        <w:t xml:space="preserve"> и </w:t>
      </w:r>
      <w:proofErr w:type="spellStart"/>
      <w:r w:rsidRPr="00C53587">
        <w:rPr>
          <w:rFonts w:eastAsia="Times New Roman"/>
          <w:iCs/>
          <w:sz w:val="22"/>
          <w:lang w:val="ru-RU"/>
        </w:rPr>
        <w:t>квалификационни</w:t>
      </w:r>
      <w:proofErr w:type="spellEnd"/>
      <w:r w:rsidRPr="00C53587">
        <w:rPr>
          <w:rFonts w:eastAsia="Times New Roman"/>
          <w:iCs/>
          <w:sz w:val="22"/>
          <w:lang w:val="ru-RU"/>
        </w:rPr>
        <w:t xml:space="preserve"> </w:t>
      </w:r>
      <w:proofErr w:type="spellStart"/>
      <w:r w:rsidRPr="00C53587">
        <w:rPr>
          <w:rFonts w:eastAsia="Times New Roman"/>
          <w:iCs/>
          <w:sz w:val="22"/>
          <w:lang w:val="ru-RU"/>
        </w:rPr>
        <w:t>групи</w:t>
      </w:r>
      <w:proofErr w:type="spellEnd"/>
      <w:r w:rsidRPr="00C53587">
        <w:rPr>
          <w:rFonts w:eastAsia="Times New Roman"/>
          <w:iCs/>
          <w:sz w:val="22"/>
          <w:lang w:val="ru-RU"/>
        </w:rPr>
        <w:t xml:space="preserve"> </w:t>
      </w:r>
      <w:proofErr w:type="spellStart"/>
      <w:r w:rsidRPr="00C53587">
        <w:rPr>
          <w:rFonts w:eastAsia="Times New Roman"/>
          <w:iCs/>
          <w:sz w:val="22"/>
          <w:lang w:val="ru-RU"/>
        </w:rPr>
        <w:t>професии</w:t>
      </w:r>
      <w:proofErr w:type="spellEnd"/>
      <w:r w:rsidRPr="00C53587">
        <w:rPr>
          <w:rFonts w:eastAsia="Times New Roman"/>
          <w:iCs/>
          <w:sz w:val="22"/>
          <w:lang w:val="ru-RU"/>
        </w:rPr>
        <w:t xml:space="preserve"> - 2018 г.</w:t>
      </w:r>
      <w:r w:rsidRPr="00EA7BE6">
        <w:rPr>
          <w:rFonts w:eastAsia="Times New Roman"/>
          <w:iCs/>
          <w:sz w:val="22"/>
          <w:lang w:val="bg-BG"/>
        </w:rPr>
        <w:t>);</w:t>
      </w:r>
    </w:p>
    <w:p w:rsidR="002616AC" w:rsidRPr="00EA7BE6" w:rsidRDefault="002616AC" w:rsidP="003B77D3">
      <w:pPr>
        <w:pStyle w:val="ListParagraph"/>
        <w:numPr>
          <w:ilvl w:val="0"/>
          <w:numId w:val="15"/>
        </w:numPr>
        <w:spacing w:after="240"/>
        <w:rPr>
          <w:rFonts w:eastAsia="Times New Roman"/>
          <w:iCs/>
          <w:sz w:val="22"/>
          <w:lang w:val="bg-BG"/>
        </w:rPr>
      </w:pPr>
      <w:r w:rsidRPr="00EA7BE6">
        <w:rPr>
          <w:rFonts w:eastAsia="Times New Roman"/>
          <w:iCs/>
          <w:sz w:val="22"/>
          <w:lang w:val="bg-BG"/>
        </w:rPr>
        <w:t>б</w:t>
      </w:r>
      <w:r w:rsidRPr="00C53587">
        <w:rPr>
          <w:rFonts w:eastAsia="Times New Roman"/>
          <w:iCs/>
          <w:sz w:val="22"/>
          <w:lang w:val="ru-RU"/>
        </w:rPr>
        <w:t>рой на фирмите, които трябва да извършат дейността</w:t>
      </w:r>
      <w:r w:rsidRPr="00EA7BE6">
        <w:rPr>
          <w:rFonts w:eastAsia="Times New Roman"/>
          <w:iCs/>
          <w:sz w:val="22"/>
          <w:lang w:val="bg-BG"/>
        </w:rPr>
        <w:t xml:space="preserve"> – </w:t>
      </w:r>
      <w:r w:rsidR="00357013" w:rsidRPr="00EA7BE6">
        <w:rPr>
          <w:rFonts w:eastAsia="Times New Roman"/>
          <w:iCs/>
          <w:sz w:val="22"/>
          <w:lang w:val="bg-BG"/>
        </w:rPr>
        <w:t>21</w:t>
      </w:r>
      <w:r w:rsidRPr="00EA7BE6">
        <w:rPr>
          <w:rFonts w:eastAsia="Times New Roman"/>
          <w:iCs/>
          <w:sz w:val="22"/>
          <w:lang w:val="bg-BG"/>
        </w:rPr>
        <w:t xml:space="preserve"> </w:t>
      </w:r>
      <w:r w:rsidR="00357013" w:rsidRPr="00EA7BE6">
        <w:rPr>
          <w:rFonts w:eastAsia="Times New Roman"/>
          <w:iCs/>
          <w:sz w:val="22"/>
          <w:lang w:val="bg-BG"/>
        </w:rPr>
        <w:t>дружества</w:t>
      </w:r>
      <w:r w:rsidRPr="00EA7BE6">
        <w:rPr>
          <w:rFonts w:eastAsia="Times New Roman"/>
          <w:iCs/>
          <w:sz w:val="22"/>
          <w:lang w:val="bg-BG"/>
        </w:rPr>
        <w:t xml:space="preserve"> (по данни на </w:t>
      </w:r>
      <w:r w:rsidR="00357013" w:rsidRPr="00EA7BE6">
        <w:rPr>
          <w:rFonts w:eastAsia="Times New Roman"/>
          <w:iCs/>
          <w:sz w:val="22"/>
          <w:lang w:val="bg-BG"/>
        </w:rPr>
        <w:t>Комисията за финансов надзор</w:t>
      </w:r>
      <w:r w:rsidRPr="00EA7BE6">
        <w:rPr>
          <w:rFonts w:eastAsia="Times New Roman"/>
          <w:iCs/>
          <w:sz w:val="22"/>
          <w:lang w:val="bg-BG"/>
        </w:rPr>
        <w:t>);</w:t>
      </w:r>
    </w:p>
    <w:p w:rsidR="002616AC" w:rsidRPr="00EA7BE6" w:rsidRDefault="002616AC" w:rsidP="003B77D3">
      <w:pPr>
        <w:pStyle w:val="ListParagraph"/>
        <w:numPr>
          <w:ilvl w:val="0"/>
          <w:numId w:val="15"/>
        </w:numPr>
        <w:spacing w:after="240"/>
        <w:rPr>
          <w:rFonts w:eastAsia="Times New Roman"/>
          <w:iCs/>
          <w:sz w:val="22"/>
          <w:lang w:val="bg-BG"/>
        </w:rPr>
      </w:pPr>
      <w:r w:rsidRPr="00EA7BE6">
        <w:rPr>
          <w:rFonts w:eastAsia="Times New Roman"/>
          <w:iCs/>
          <w:sz w:val="22"/>
          <w:lang w:val="bg-BG"/>
        </w:rPr>
        <w:t>брой пъти на година, които бизнесът трябва да извърши дейността – 1 път годишно.</w:t>
      </w:r>
    </w:p>
    <w:p w:rsidR="00357013" w:rsidRPr="00EA7BE6" w:rsidRDefault="00357013" w:rsidP="00357013">
      <w:pPr>
        <w:pStyle w:val="ListParagraph"/>
        <w:spacing w:after="240"/>
        <w:rPr>
          <w:rFonts w:eastAsia="Times New Roman"/>
          <w:iCs/>
          <w:sz w:val="22"/>
          <w:lang w:val="bg-BG"/>
        </w:rPr>
      </w:pPr>
    </w:p>
    <w:p w:rsidR="00357013" w:rsidRPr="00EA7BE6" w:rsidRDefault="00357013" w:rsidP="00357013">
      <w:pPr>
        <w:spacing w:after="240"/>
        <w:rPr>
          <w:rFonts w:eastAsia="Times New Roman"/>
          <w:iCs/>
          <w:sz w:val="22"/>
          <w:lang w:val="bg-BG"/>
        </w:rPr>
      </w:pPr>
      <w:r w:rsidRPr="00EA7BE6">
        <w:rPr>
          <w:rFonts w:eastAsia="Times New Roman"/>
          <w:iCs/>
          <w:sz w:val="22"/>
          <w:lang w:val="bg-BG"/>
        </w:rPr>
        <w:t>За дейност 2 – „Утвърждаване на платежно нареждане и заплащане на задължителна вноска за превенция от неблагоприятни климатични събития в земеделието“:</w:t>
      </w:r>
    </w:p>
    <w:p w:rsidR="00357013" w:rsidRPr="00EA7BE6" w:rsidRDefault="00357013" w:rsidP="00357013">
      <w:pPr>
        <w:pStyle w:val="ListParagraph"/>
        <w:numPr>
          <w:ilvl w:val="0"/>
          <w:numId w:val="17"/>
        </w:numPr>
        <w:spacing w:after="240"/>
        <w:rPr>
          <w:rFonts w:eastAsia="Times New Roman"/>
          <w:iCs/>
          <w:sz w:val="22"/>
          <w:lang w:val="bg-BG"/>
        </w:rPr>
      </w:pPr>
      <w:r w:rsidRPr="00EA7BE6">
        <w:rPr>
          <w:rFonts w:eastAsia="Times New Roman"/>
          <w:iCs/>
          <w:sz w:val="22"/>
          <w:lang w:val="bg-BG"/>
        </w:rPr>
        <w:t>б</w:t>
      </w:r>
      <w:r w:rsidRPr="00C53587">
        <w:rPr>
          <w:rFonts w:eastAsia="Times New Roman"/>
          <w:iCs/>
          <w:sz w:val="22"/>
          <w:lang w:val="ru-RU"/>
        </w:rPr>
        <w:t>рой часове, необходими за извършването на дейността</w:t>
      </w:r>
      <w:r w:rsidRPr="00EA7BE6">
        <w:rPr>
          <w:rFonts w:eastAsia="Times New Roman"/>
          <w:iCs/>
          <w:sz w:val="22"/>
          <w:lang w:val="bg-BG"/>
        </w:rPr>
        <w:t xml:space="preserve"> – 5 минути (утвърждаване на платежно нареждане);</w:t>
      </w:r>
    </w:p>
    <w:p w:rsidR="00357013" w:rsidRPr="00EA7BE6" w:rsidRDefault="00357013" w:rsidP="00357013">
      <w:pPr>
        <w:pStyle w:val="ListParagraph"/>
        <w:numPr>
          <w:ilvl w:val="0"/>
          <w:numId w:val="17"/>
        </w:numPr>
        <w:spacing w:after="240"/>
        <w:rPr>
          <w:rFonts w:eastAsia="Times New Roman"/>
          <w:iCs/>
          <w:sz w:val="22"/>
          <w:lang w:val="bg-BG"/>
        </w:rPr>
      </w:pPr>
      <w:r w:rsidRPr="00EA7BE6">
        <w:rPr>
          <w:rFonts w:eastAsia="Times New Roman"/>
          <w:iCs/>
          <w:sz w:val="22"/>
          <w:lang w:val="bg-BG"/>
        </w:rPr>
        <w:t>с</w:t>
      </w:r>
      <w:r w:rsidRPr="00C53587">
        <w:rPr>
          <w:rFonts w:eastAsia="Times New Roman"/>
          <w:iCs/>
          <w:sz w:val="22"/>
          <w:lang w:val="ru-RU"/>
        </w:rPr>
        <w:t>редна месечна работна заплата на човека, който трябва да извърши дейността</w:t>
      </w:r>
      <w:r w:rsidRPr="00EA7BE6">
        <w:rPr>
          <w:rFonts w:eastAsia="Times New Roman"/>
          <w:iCs/>
          <w:sz w:val="22"/>
          <w:lang w:val="bg-BG"/>
        </w:rPr>
        <w:t xml:space="preserve"> – 1589 лв. (това е минималният осигурителен доход за длъжността „ръководител“ по икономическа дейност „Финансови и застрахователни дейности“ съгласно Приложение № 1 към чл. 9, ал. 1, т. 1 от З</w:t>
      </w:r>
      <w:r w:rsidRPr="00C53587">
        <w:rPr>
          <w:rFonts w:eastAsia="Times New Roman"/>
          <w:iCs/>
          <w:sz w:val="22"/>
          <w:lang w:val="ru-RU"/>
        </w:rPr>
        <w:t>акон</w:t>
      </w:r>
      <w:r w:rsidRPr="00EA7BE6">
        <w:rPr>
          <w:rFonts w:eastAsia="Times New Roman"/>
          <w:iCs/>
          <w:sz w:val="22"/>
          <w:lang w:val="bg-BG"/>
        </w:rPr>
        <w:t>а</w:t>
      </w:r>
      <w:r w:rsidRPr="00C53587">
        <w:rPr>
          <w:rFonts w:eastAsia="Times New Roman"/>
          <w:iCs/>
          <w:sz w:val="22"/>
          <w:lang w:val="ru-RU"/>
        </w:rPr>
        <w:t xml:space="preserve"> за бюджета на държавното обществено осигуряване за 2018 г.</w:t>
      </w:r>
      <w:r w:rsidRPr="00EA7BE6">
        <w:rPr>
          <w:rFonts w:eastAsia="Times New Roman"/>
          <w:iCs/>
          <w:sz w:val="22"/>
          <w:lang w:val="bg-BG"/>
        </w:rPr>
        <w:t xml:space="preserve"> за м</w:t>
      </w:r>
      <w:proofErr w:type="spellStart"/>
      <w:r w:rsidRPr="00C53587">
        <w:rPr>
          <w:rFonts w:eastAsia="Times New Roman"/>
          <w:iCs/>
          <w:sz w:val="22"/>
          <w:lang w:val="ru-RU"/>
        </w:rPr>
        <w:t>инималн</w:t>
      </w:r>
      <w:r w:rsidRPr="00EA7BE6">
        <w:rPr>
          <w:rFonts w:eastAsia="Times New Roman"/>
          <w:iCs/>
          <w:sz w:val="22"/>
          <w:lang w:val="bg-BG"/>
        </w:rPr>
        <w:t>ия</w:t>
      </w:r>
      <w:proofErr w:type="spellEnd"/>
      <w:r w:rsidRPr="00C53587">
        <w:rPr>
          <w:rFonts w:eastAsia="Times New Roman"/>
          <w:iCs/>
          <w:sz w:val="22"/>
          <w:lang w:val="ru-RU"/>
        </w:rPr>
        <w:t xml:space="preserve"> </w:t>
      </w:r>
      <w:proofErr w:type="spellStart"/>
      <w:r w:rsidRPr="00C53587">
        <w:rPr>
          <w:rFonts w:eastAsia="Times New Roman"/>
          <w:iCs/>
          <w:sz w:val="22"/>
          <w:lang w:val="ru-RU"/>
        </w:rPr>
        <w:t>осигурителен</w:t>
      </w:r>
      <w:proofErr w:type="spellEnd"/>
      <w:r w:rsidRPr="00C53587">
        <w:rPr>
          <w:rFonts w:eastAsia="Times New Roman"/>
          <w:iCs/>
          <w:sz w:val="22"/>
          <w:lang w:val="ru-RU"/>
        </w:rPr>
        <w:t xml:space="preserve"> доход по </w:t>
      </w:r>
      <w:proofErr w:type="spellStart"/>
      <w:r w:rsidRPr="00C53587">
        <w:rPr>
          <w:rFonts w:eastAsia="Times New Roman"/>
          <w:iCs/>
          <w:sz w:val="22"/>
          <w:lang w:val="ru-RU"/>
        </w:rPr>
        <w:t>основни</w:t>
      </w:r>
      <w:proofErr w:type="spellEnd"/>
      <w:r w:rsidRPr="00C53587">
        <w:rPr>
          <w:rFonts w:eastAsia="Times New Roman"/>
          <w:iCs/>
          <w:sz w:val="22"/>
          <w:lang w:val="ru-RU"/>
        </w:rPr>
        <w:t xml:space="preserve"> </w:t>
      </w:r>
      <w:proofErr w:type="spellStart"/>
      <w:r w:rsidRPr="00C53587">
        <w:rPr>
          <w:rFonts w:eastAsia="Times New Roman"/>
          <w:iCs/>
          <w:sz w:val="22"/>
          <w:lang w:val="ru-RU"/>
        </w:rPr>
        <w:t>икономически</w:t>
      </w:r>
      <w:proofErr w:type="spellEnd"/>
      <w:r w:rsidRPr="00C53587">
        <w:rPr>
          <w:rFonts w:eastAsia="Times New Roman"/>
          <w:iCs/>
          <w:sz w:val="22"/>
          <w:lang w:val="ru-RU"/>
        </w:rPr>
        <w:t xml:space="preserve"> </w:t>
      </w:r>
      <w:proofErr w:type="spellStart"/>
      <w:r w:rsidRPr="00C53587">
        <w:rPr>
          <w:rFonts w:eastAsia="Times New Roman"/>
          <w:iCs/>
          <w:sz w:val="22"/>
          <w:lang w:val="ru-RU"/>
        </w:rPr>
        <w:t>дейности</w:t>
      </w:r>
      <w:proofErr w:type="spellEnd"/>
      <w:r w:rsidRPr="00C53587">
        <w:rPr>
          <w:rFonts w:eastAsia="Times New Roman"/>
          <w:iCs/>
          <w:sz w:val="22"/>
          <w:lang w:val="ru-RU"/>
        </w:rPr>
        <w:t xml:space="preserve"> и </w:t>
      </w:r>
      <w:proofErr w:type="spellStart"/>
      <w:r w:rsidRPr="00C53587">
        <w:rPr>
          <w:rFonts w:eastAsia="Times New Roman"/>
          <w:iCs/>
          <w:sz w:val="22"/>
          <w:lang w:val="ru-RU"/>
        </w:rPr>
        <w:t>квалификационни</w:t>
      </w:r>
      <w:proofErr w:type="spellEnd"/>
      <w:r w:rsidRPr="00C53587">
        <w:rPr>
          <w:rFonts w:eastAsia="Times New Roman"/>
          <w:iCs/>
          <w:sz w:val="22"/>
          <w:lang w:val="ru-RU"/>
        </w:rPr>
        <w:t xml:space="preserve"> </w:t>
      </w:r>
      <w:proofErr w:type="spellStart"/>
      <w:r w:rsidRPr="00C53587">
        <w:rPr>
          <w:rFonts w:eastAsia="Times New Roman"/>
          <w:iCs/>
          <w:sz w:val="22"/>
          <w:lang w:val="ru-RU"/>
        </w:rPr>
        <w:t>групи</w:t>
      </w:r>
      <w:proofErr w:type="spellEnd"/>
      <w:r w:rsidRPr="00C53587">
        <w:rPr>
          <w:rFonts w:eastAsia="Times New Roman"/>
          <w:iCs/>
          <w:sz w:val="22"/>
          <w:lang w:val="ru-RU"/>
        </w:rPr>
        <w:t xml:space="preserve"> </w:t>
      </w:r>
      <w:proofErr w:type="spellStart"/>
      <w:r w:rsidRPr="00C53587">
        <w:rPr>
          <w:rFonts w:eastAsia="Times New Roman"/>
          <w:iCs/>
          <w:sz w:val="22"/>
          <w:lang w:val="ru-RU"/>
        </w:rPr>
        <w:t>професии</w:t>
      </w:r>
      <w:proofErr w:type="spellEnd"/>
      <w:r w:rsidRPr="00C53587">
        <w:rPr>
          <w:rFonts w:eastAsia="Times New Roman"/>
          <w:iCs/>
          <w:sz w:val="22"/>
          <w:lang w:val="ru-RU"/>
        </w:rPr>
        <w:t xml:space="preserve"> - 2018 г.</w:t>
      </w:r>
      <w:r w:rsidRPr="00EA7BE6">
        <w:rPr>
          <w:rFonts w:eastAsia="Times New Roman"/>
          <w:iCs/>
          <w:sz w:val="22"/>
          <w:lang w:val="bg-BG"/>
        </w:rPr>
        <w:t>);</w:t>
      </w:r>
    </w:p>
    <w:p w:rsidR="00357013" w:rsidRPr="00EA7BE6" w:rsidRDefault="00357013" w:rsidP="00357013">
      <w:pPr>
        <w:pStyle w:val="ListParagraph"/>
        <w:numPr>
          <w:ilvl w:val="0"/>
          <w:numId w:val="17"/>
        </w:numPr>
        <w:spacing w:after="240"/>
        <w:rPr>
          <w:rFonts w:eastAsia="Times New Roman"/>
          <w:iCs/>
          <w:sz w:val="22"/>
          <w:lang w:val="bg-BG"/>
        </w:rPr>
      </w:pPr>
      <w:r w:rsidRPr="00EA7BE6">
        <w:rPr>
          <w:rFonts w:eastAsia="Times New Roman"/>
          <w:iCs/>
          <w:sz w:val="22"/>
          <w:lang w:val="bg-BG"/>
        </w:rPr>
        <w:t>б</w:t>
      </w:r>
      <w:r w:rsidRPr="00C53587">
        <w:rPr>
          <w:rFonts w:eastAsia="Times New Roman"/>
          <w:iCs/>
          <w:sz w:val="22"/>
          <w:lang w:val="ru-RU"/>
        </w:rPr>
        <w:t>рой на фирмите, които трябва да извършат дейността</w:t>
      </w:r>
      <w:r w:rsidRPr="00EA7BE6">
        <w:rPr>
          <w:rFonts w:eastAsia="Times New Roman"/>
          <w:iCs/>
          <w:sz w:val="22"/>
          <w:lang w:val="bg-BG"/>
        </w:rPr>
        <w:t xml:space="preserve"> – 21 дружества (по данни на Комисията за финансов надзор);</w:t>
      </w:r>
    </w:p>
    <w:p w:rsidR="00357013" w:rsidRPr="00EA7BE6" w:rsidRDefault="00357013" w:rsidP="00357013">
      <w:pPr>
        <w:pStyle w:val="ListParagraph"/>
        <w:numPr>
          <w:ilvl w:val="0"/>
          <w:numId w:val="17"/>
        </w:numPr>
        <w:spacing w:after="240"/>
        <w:rPr>
          <w:rFonts w:eastAsia="Times New Roman"/>
          <w:iCs/>
          <w:sz w:val="22"/>
          <w:lang w:val="bg-BG"/>
        </w:rPr>
      </w:pPr>
      <w:r w:rsidRPr="00EA7BE6">
        <w:rPr>
          <w:rFonts w:eastAsia="Times New Roman"/>
          <w:iCs/>
          <w:sz w:val="22"/>
          <w:lang w:val="bg-BG"/>
        </w:rPr>
        <w:t>брой пъти на година, които бизнесът трябва да извърши дейността – 1 път годишно.</w:t>
      </w:r>
    </w:p>
    <w:p w:rsidR="00357013" w:rsidRPr="00EA7BE6" w:rsidRDefault="00357013" w:rsidP="00357013">
      <w:pPr>
        <w:pStyle w:val="ListParagraph"/>
        <w:spacing w:after="240"/>
        <w:ind w:left="0"/>
        <w:rPr>
          <w:rFonts w:eastAsia="Times New Roman"/>
          <w:iCs/>
          <w:sz w:val="22"/>
          <w:lang w:val="bg-BG"/>
        </w:rPr>
      </w:pPr>
    </w:p>
    <w:p w:rsidR="009C25BF" w:rsidRPr="00EA7BE6" w:rsidRDefault="009C25BF" w:rsidP="006B3BB7">
      <w:pPr>
        <w:pStyle w:val="Heading2"/>
        <w:spacing w:after="120"/>
        <w:rPr>
          <w:rFonts w:eastAsia="Times New Roman" w:cs="Times New Roman"/>
          <w:sz w:val="22"/>
          <w:szCs w:val="22"/>
          <w:lang w:val="bg-BG"/>
        </w:rPr>
      </w:pPr>
      <w:bookmarkStart w:id="26" w:name="_Toc496709962"/>
      <w:r w:rsidRPr="00EA7BE6">
        <w:rPr>
          <w:rFonts w:eastAsia="Times New Roman" w:cs="Times New Roman"/>
          <w:sz w:val="22"/>
          <w:szCs w:val="22"/>
          <w:lang w:val="bg-BG"/>
        </w:rPr>
        <w:t>VII</w:t>
      </w:r>
      <w:r w:rsidR="00D47869" w:rsidRPr="00EA7BE6">
        <w:rPr>
          <w:rFonts w:eastAsia="Times New Roman" w:cs="Times New Roman"/>
          <w:sz w:val="22"/>
          <w:szCs w:val="22"/>
        </w:rPr>
        <w:t>I</w:t>
      </w:r>
      <w:r w:rsidRPr="00EA7BE6">
        <w:rPr>
          <w:rFonts w:eastAsia="Times New Roman" w:cs="Times New Roman"/>
          <w:sz w:val="22"/>
          <w:szCs w:val="22"/>
          <w:lang w:val="bg-BG"/>
        </w:rPr>
        <w:t>.3.</w:t>
      </w:r>
      <w:r w:rsidR="00DD001A" w:rsidRPr="00EA7BE6">
        <w:rPr>
          <w:rFonts w:eastAsia="Times New Roman" w:cs="Times New Roman"/>
          <w:sz w:val="22"/>
          <w:szCs w:val="22"/>
          <w:lang w:val="bg-BG"/>
        </w:rPr>
        <w:t xml:space="preserve"> Вариант 3: </w:t>
      </w:r>
      <w:bookmarkEnd w:id="26"/>
      <w:r w:rsidR="00D47869" w:rsidRPr="00EA7BE6">
        <w:rPr>
          <w:rFonts w:eastAsia="Times New Roman" w:cs="Times New Roman"/>
          <w:sz w:val="22"/>
          <w:szCs w:val="22"/>
          <w:lang w:val="bg-BG"/>
        </w:rPr>
        <w:t>Промяна на съществуващата подзаконова нормативна уредба при запазване на сегашния статут</w:t>
      </w:r>
    </w:p>
    <w:p w:rsidR="001B4F0F" w:rsidRPr="00EA7BE6" w:rsidRDefault="00105A09" w:rsidP="001B4F0F">
      <w:pPr>
        <w:rPr>
          <w:sz w:val="22"/>
          <w:lang w:val="bg-BG"/>
        </w:rPr>
      </w:pPr>
      <w:r w:rsidRPr="00EA7BE6">
        <w:rPr>
          <w:sz w:val="22"/>
          <w:lang w:val="bg-BG"/>
        </w:rPr>
        <w:t>Не се предвижда реализирането на вариант „</w:t>
      </w:r>
      <w:r w:rsidR="00207CC0" w:rsidRPr="00EA7BE6">
        <w:rPr>
          <w:sz w:val="22"/>
          <w:lang w:val="bg-BG"/>
        </w:rPr>
        <w:t>Промяна на съществуващата подзаконова нормативна уредба при запазване на сегашния статут</w:t>
      </w:r>
      <w:r w:rsidRPr="00EA7BE6">
        <w:rPr>
          <w:sz w:val="22"/>
          <w:lang w:val="bg-BG"/>
        </w:rPr>
        <w:t>“ да предизвика изменение на административната тежест спрямо заинтересованите лица.</w:t>
      </w:r>
      <w:bookmarkStart w:id="27" w:name="_Toc496709963"/>
    </w:p>
    <w:p w:rsidR="001B4F0F" w:rsidRPr="00EA7BE6" w:rsidRDefault="00E56D0F" w:rsidP="001B4F0F">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lastRenderedPageBreak/>
        <w:t>IX</w:t>
      </w:r>
      <w:r w:rsidR="009C25BF" w:rsidRPr="00EA7BE6">
        <w:rPr>
          <w:rFonts w:eastAsia="Times New Roman"/>
          <w:b/>
          <w:bCs/>
          <w:color w:val="365F91" w:themeColor="accent1" w:themeShade="BF"/>
          <w:sz w:val="22"/>
          <w:lang w:val="bg-BG"/>
        </w:rPr>
        <w:t xml:space="preserve">. </w:t>
      </w:r>
      <w:r w:rsidR="00DD1FA8" w:rsidRPr="00EA7BE6">
        <w:rPr>
          <w:rFonts w:eastAsia="Times New Roman"/>
          <w:b/>
          <w:bCs/>
          <w:color w:val="365F91" w:themeColor="accent1" w:themeShade="BF"/>
          <w:sz w:val="22"/>
          <w:lang w:val="bg-BG"/>
        </w:rPr>
        <w:t>Описание</w:t>
      </w:r>
      <w:r w:rsidR="009C25BF" w:rsidRPr="00EA7BE6">
        <w:rPr>
          <w:rFonts w:eastAsia="Times New Roman"/>
          <w:b/>
          <w:bCs/>
          <w:color w:val="365F91" w:themeColor="accent1" w:themeShade="BF"/>
          <w:sz w:val="22"/>
          <w:lang w:val="bg-BG"/>
        </w:rPr>
        <w:t xml:space="preserve"> на негативните (разходите) и положителните (ползите) въздействия за всяка от заинтересованите страни, за всеки от вариантите</w:t>
      </w:r>
      <w:bookmarkStart w:id="28" w:name="_Toc496709964"/>
      <w:bookmarkEnd w:id="27"/>
    </w:p>
    <w:p w:rsidR="001B4F0F" w:rsidRPr="00EA7BE6" w:rsidRDefault="00E56D0F" w:rsidP="001B4F0F">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IX</w:t>
      </w:r>
      <w:r w:rsidR="009C25BF" w:rsidRPr="00EA7BE6">
        <w:rPr>
          <w:rFonts w:eastAsia="Times New Roman"/>
          <w:b/>
          <w:bCs/>
          <w:color w:val="365F91" w:themeColor="accent1" w:themeShade="BF"/>
          <w:sz w:val="22"/>
          <w:lang w:val="bg-BG"/>
        </w:rPr>
        <w:t>.1.</w:t>
      </w:r>
      <w:r w:rsidR="00DD001A" w:rsidRPr="00EA7BE6">
        <w:rPr>
          <w:rFonts w:eastAsia="Times New Roman"/>
          <w:b/>
          <w:bCs/>
          <w:color w:val="365F91" w:themeColor="accent1" w:themeShade="BF"/>
          <w:sz w:val="22"/>
          <w:lang w:val="bg-BG"/>
        </w:rPr>
        <w:t xml:space="preserve"> Вариант 1: Без действие</w:t>
      </w:r>
      <w:bookmarkStart w:id="29" w:name="_Toc496709965"/>
      <w:bookmarkEnd w:id="28"/>
    </w:p>
    <w:p w:rsidR="001B4F0F" w:rsidRPr="00EA7BE6" w:rsidRDefault="00E56D0F" w:rsidP="001B4F0F">
      <w:pPr>
        <w:rPr>
          <w:rFonts w:eastAsia="Times New Roman"/>
          <w:b/>
          <w:bCs/>
          <w:iCs/>
          <w:sz w:val="22"/>
          <w:lang w:val="bg-BG"/>
        </w:rPr>
      </w:pPr>
      <w:r w:rsidRPr="00EA7BE6">
        <w:rPr>
          <w:rFonts w:eastAsia="Times New Roman"/>
          <w:bCs/>
          <w:iCs/>
          <w:sz w:val="22"/>
          <w:lang w:val="bg-BG"/>
        </w:rPr>
        <w:t>Осъществява се превенция само срещу градушки на част от територията на страната, което в условията на все по-екстремни прояви на неблагоприятни събития повишава опасността от щети върху земеделската продукция, водещи до нестабилност на производството и доходите в отрасъла</w:t>
      </w:r>
      <w:r w:rsidR="001B4F0F" w:rsidRPr="00EA7BE6">
        <w:rPr>
          <w:rFonts w:eastAsia="Times New Roman"/>
          <w:b/>
          <w:bCs/>
          <w:iCs/>
          <w:sz w:val="22"/>
          <w:lang w:val="bg-BG"/>
        </w:rPr>
        <w:t>.</w:t>
      </w:r>
    </w:p>
    <w:p w:rsidR="001B4F0F" w:rsidRPr="00EA7BE6" w:rsidRDefault="00E56D0F" w:rsidP="001B4F0F">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Негативни въздействия:</w:t>
      </w:r>
    </w:p>
    <w:p w:rsidR="001B4F0F" w:rsidRPr="00EA7BE6" w:rsidRDefault="00E56D0F" w:rsidP="001B4F0F">
      <w:pPr>
        <w:rPr>
          <w:rFonts w:eastAsia="Times New Roman"/>
          <w:b/>
          <w:bCs/>
          <w:iCs/>
          <w:sz w:val="22"/>
          <w:lang w:val="bg-BG"/>
        </w:rPr>
      </w:pPr>
      <w:r w:rsidRPr="00EA7BE6">
        <w:rPr>
          <w:rFonts w:eastAsia="Times New Roman"/>
          <w:b/>
          <w:bCs/>
          <w:iCs/>
          <w:sz w:val="22"/>
          <w:lang w:val="bg-BG"/>
        </w:rPr>
        <w:t>За държавата</w:t>
      </w:r>
      <w:r w:rsidR="001B4F0F" w:rsidRPr="00EA7BE6">
        <w:rPr>
          <w:rFonts w:eastAsia="Times New Roman"/>
          <w:b/>
          <w:bCs/>
          <w:iCs/>
          <w:sz w:val="22"/>
          <w:lang w:val="bg-BG"/>
        </w:rPr>
        <w:t xml:space="preserve"> (държавните институции)</w:t>
      </w:r>
    </w:p>
    <w:p w:rsidR="00F764E2" w:rsidRDefault="00E56D0F" w:rsidP="00F764E2">
      <w:pPr>
        <w:rPr>
          <w:rFonts w:eastAsia="Times New Roman"/>
          <w:bCs/>
          <w:iCs/>
          <w:sz w:val="22"/>
          <w:lang w:val="bg-BG"/>
        </w:rPr>
      </w:pPr>
      <w:r w:rsidRPr="00EA7BE6">
        <w:rPr>
          <w:rFonts w:eastAsia="Times New Roman"/>
          <w:bCs/>
          <w:iCs/>
          <w:sz w:val="22"/>
          <w:lang w:val="bg-BG"/>
        </w:rPr>
        <w:t>Финансирането на противоградовата защита е изцяло с публични средства – чрез бюджета на Министерство на земеделието, храните и горите и Междуведомствената комисия за възстановяване и подпомагане към Министерския съвет. Дейността на Изпълнителна агенция „Борба с градушките“ продължава да бъде недофинансирана, което не позволява осъществяването на необходимите инвестиции за модернизация на системите и съоръженията, наемането на достатъчно квалифициран персонал, осигуряването на достатъчен брой ракети в години с висока градова активност и други.</w:t>
      </w:r>
    </w:p>
    <w:p w:rsidR="00F764E2" w:rsidRDefault="00E56D0F" w:rsidP="00F764E2">
      <w:pPr>
        <w:rPr>
          <w:rFonts w:eastAsia="Times New Roman"/>
          <w:bCs/>
          <w:iCs/>
          <w:sz w:val="22"/>
          <w:lang w:val="bg-BG"/>
        </w:rPr>
      </w:pPr>
      <w:r w:rsidRPr="00F764E2">
        <w:rPr>
          <w:rFonts w:eastAsia="Times New Roman"/>
          <w:bCs/>
          <w:iCs/>
          <w:sz w:val="22"/>
          <w:lang w:val="bg-BG"/>
        </w:rPr>
        <w:t>Държавата ще продължи да предоставя значителен по размер финансов ресурс за преодоляване на последици от неблагоприятни климатични събития, вместо за превантивни дейности.</w:t>
      </w:r>
    </w:p>
    <w:p w:rsidR="00F764E2" w:rsidRDefault="00E56D0F" w:rsidP="00F764E2">
      <w:pPr>
        <w:spacing w:after="0" w:line="288" w:lineRule="auto"/>
        <w:rPr>
          <w:rFonts w:eastAsia="Times New Roman"/>
          <w:bCs/>
          <w:iCs/>
          <w:sz w:val="22"/>
          <w:lang w:val="bg-BG"/>
        </w:rPr>
      </w:pPr>
      <w:r w:rsidRPr="00F764E2">
        <w:rPr>
          <w:rFonts w:eastAsia="Times New Roman"/>
          <w:bCs/>
          <w:iCs/>
          <w:sz w:val="22"/>
          <w:lang w:val="bg-BG"/>
        </w:rPr>
        <w:t xml:space="preserve">При ситуация на трайно влошаване на икономическите резултати на субектите в сектор Земеделие вследствие на неблагоприятни фактори, включително климатични,  може да се очаква, че немалък брой по-малки по размер земеделски стопанства биха прекратили дейността си, което би довело до загуба на работни места. </w:t>
      </w:r>
    </w:p>
    <w:p w:rsidR="00F764E2" w:rsidRDefault="00F764E2" w:rsidP="00F764E2">
      <w:pPr>
        <w:spacing w:after="0" w:line="288" w:lineRule="auto"/>
        <w:rPr>
          <w:rFonts w:eastAsia="Times New Roman"/>
          <w:bCs/>
          <w:iCs/>
          <w:sz w:val="22"/>
          <w:lang w:val="bg-BG"/>
        </w:rPr>
      </w:pPr>
    </w:p>
    <w:p w:rsidR="00F764E2" w:rsidRDefault="00E56D0F" w:rsidP="00F764E2">
      <w:pPr>
        <w:spacing w:after="0" w:line="288" w:lineRule="auto"/>
        <w:rPr>
          <w:rFonts w:eastAsia="Times New Roman"/>
          <w:b/>
          <w:bCs/>
          <w:iCs/>
          <w:sz w:val="22"/>
          <w:lang w:val="bg-BG"/>
        </w:rPr>
      </w:pPr>
      <w:r w:rsidRPr="00F764E2">
        <w:rPr>
          <w:rFonts w:eastAsia="Times New Roman"/>
          <w:b/>
          <w:bCs/>
          <w:iCs/>
          <w:sz w:val="22"/>
          <w:lang w:val="bg-BG"/>
        </w:rPr>
        <w:t>За земеделските стопани</w:t>
      </w:r>
    </w:p>
    <w:p w:rsidR="00F764E2" w:rsidRDefault="00F764E2" w:rsidP="00F764E2">
      <w:pPr>
        <w:spacing w:after="0" w:line="288" w:lineRule="auto"/>
        <w:rPr>
          <w:rFonts w:eastAsia="Times New Roman"/>
          <w:bCs/>
          <w:iCs/>
          <w:sz w:val="22"/>
          <w:lang w:val="bg-BG"/>
        </w:rPr>
      </w:pPr>
    </w:p>
    <w:p w:rsidR="00F764E2" w:rsidRPr="00F764E2" w:rsidRDefault="00E56D0F" w:rsidP="00F764E2">
      <w:pPr>
        <w:spacing w:after="0" w:line="288" w:lineRule="auto"/>
        <w:rPr>
          <w:rFonts w:eastAsia="Times New Roman"/>
          <w:bCs/>
          <w:iCs/>
          <w:sz w:val="22"/>
          <w:lang w:val="bg-BG"/>
        </w:rPr>
      </w:pPr>
      <w:r w:rsidRPr="00F764E2">
        <w:rPr>
          <w:rFonts w:eastAsia="Times New Roman"/>
          <w:bCs/>
          <w:iCs/>
          <w:sz w:val="22"/>
          <w:lang w:val="bg-BG"/>
        </w:rPr>
        <w:t xml:space="preserve">Земеделските стопани, чиито обработваеми площи и трайни насаждения попадат извън територията на настоящата противоградова защита (около 2/3 от площта на страната) ежегодно понасят значителни щети от градушки на отглежданите от тях култури. Заплахите за тях нарастват, предвид все по-честите прояви на градушки в райони, които до скоро не са считани за градобитни. </w:t>
      </w:r>
    </w:p>
    <w:p w:rsidR="00F764E2" w:rsidRPr="00F764E2" w:rsidRDefault="00F764E2" w:rsidP="00F764E2">
      <w:pPr>
        <w:spacing w:after="0" w:line="288" w:lineRule="auto"/>
        <w:rPr>
          <w:rFonts w:eastAsia="Times New Roman"/>
          <w:bCs/>
          <w:iCs/>
          <w:sz w:val="22"/>
          <w:lang w:val="bg-BG"/>
        </w:rPr>
      </w:pPr>
    </w:p>
    <w:p w:rsidR="00F764E2" w:rsidRPr="00F764E2" w:rsidRDefault="00E56D0F" w:rsidP="00F764E2">
      <w:pPr>
        <w:spacing w:after="0" w:line="288" w:lineRule="auto"/>
        <w:rPr>
          <w:rFonts w:eastAsia="Times New Roman"/>
          <w:b/>
          <w:bCs/>
          <w:iCs/>
          <w:sz w:val="22"/>
          <w:lang w:val="bg-BG"/>
        </w:rPr>
      </w:pPr>
      <w:r w:rsidRPr="00F764E2">
        <w:rPr>
          <w:rFonts w:eastAsia="Times New Roman"/>
          <w:b/>
          <w:bCs/>
          <w:iCs/>
          <w:sz w:val="22"/>
          <w:lang w:val="bg-BG"/>
        </w:rPr>
        <w:t>За застрахователните компании</w:t>
      </w:r>
    </w:p>
    <w:p w:rsidR="00F764E2" w:rsidRDefault="00F764E2" w:rsidP="00F764E2">
      <w:pPr>
        <w:spacing w:after="0" w:line="288" w:lineRule="auto"/>
        <w:rPr>
          <w:rFonts w:eastAsia="Times New Roman"/>
          <w:bCs/>
          <w:iCs/>
          <w:sz w:val="22"/>
          <w:lang w:val="bg-BG"/>
        </w:rPr>
      </w:pPr>
    </w:p>
    <w:p w:rsidR="00F764E2" w:rsidRDefault="00E56D0F" w:rsidP="00F764E2">
      <w:pPr>
        <w:spacing w:after="0" w:line="288" w:lineRule="auto"/>
        <w:rPr>
          <w:rFonts w:eastAsia="Times New Roman"/>
          <w:bCs/>
          <w:iCs/>
          <w:sz w:val="22"/>
          <w:lang w:val="bg-BG"/>
        </w:rPr>
      </w:pPr>
      <w:r w:rsidRPr="00F764E2">
        <w:rPr>
          <w:rFonts w:eastAsia="Times New Roman"/>
          <w:bCs/>
          <w:iCs/>
          <w:sz w:val="22"/>
          <w:lang w:val="bg-BG"/>
        </w:rPr>
        <w:t xml:space="preserve">Обхватът на настоящата противоградова защита (само на 1/3 от земеделските площи в страната, без населените места) е предпоставка за изплащане на застрахователни обезщетения от различен характер в значително по-големи размери, отколкото биха били изплащани при осигурена превенция върху цялата земеделски площ и урбанизираните територии. </w:t>
      </w:r>
    </w:p>
    <w:p w:rsidR="00F764E2" w:rsidRPr="00F764E2" w:rsidRDefault="00F764E2" w:rsidP="00F764E2">
      <w:pPr>
        <w:spacing w:after="0" w:line="288" w:lineRule="auto"/>
        <w:rPr>
          <w:rFonts w:eastAsia="Times New Roman"/>
          <w:bCs/>
          <w:iCs/>
          <w:sz w:val="22"/>
          <w:lang w:val="bg-BG"/>
        </w:rPr>
      </w:pPr>
    </w:p>
    <w:p w:rsidR="00E56D0F" w:rsidRDefault="00E56D0F" w:rsidP="00F764E2">
      <w:pPr>
        <w:spacing w:after="0" w:line="288" w:lineRule="auto"/>
        <w:rPr>
          <w:rFonts w:eastAsia="Times New Roman"/>
          <w:bCs/>
          <w:iCs/>
          <w:sz w:val="22"/>
          <w:lang w:val="bg-BG"/>
        </w:rPr>
      </w:pPr>
      <w:r w:rsidRPr="00F764E2">
        <w:rPr>
          <w:rFonts w:eastAsia="Times New Roman"/>
          <w:bCs/>
          <w:iCs/>
          <w:sz w:val="22"/>
          <w:lang w:val="bg-BG"/>
        </w:rPr>
        <w:t>От друга страна, липсата на достатъчно информация за нанесените щети върху земеделската продукция на територията на цялата страна вследствие неблагоприятни климатични събития не позволява да бъде направена адекватна оценка на риска, което се отразява негативно върху пазара на земеделски застраховки.</w:t>
      </w:r>
    </w:p>
    <w:p w:rsidR="00BE4031" w:rsidRPr="00EA7BE6" w:rsidRDefault="00BE4031" w:rsidP="00BE4031">
      <w:pPr>
        <w:pStyle w:val="Heading2"/>
        <w:spacing w:before="240" w:after="120"/>
        <w:rPr>
          <w:rFonts w:eastAsia="Times New Roman" w:cs="Times New Roman"/>
          <w:sz w:val="22"/>
          <w:szCs w:val="22"/>
          <w:lang w:val="bg-BG"/>
        </w:rPr>
      </w:pPr>
      <w:r w:rsidRPr="00EA7BE6">
        <w:rPr>
          <w:rFonts w:eastAsia="Times New Roman" w:cs="Times New Roman"/>
          <w:sz w:val="22"/>
          <w:szCs w:val="22"/>
          <w:lang w:val="bg-BG"/>
        </w:rPr>
        <w:lastRenderedPageBreak/>
        <w:t>Положителни въздействия:</w:t>
      </w:r>
    </w:p>
    <w:p w:rsidR="00BE4031" w:rsidRPr="00EA7BE6" w:rsidRDefault="00BE4031" w:rsidP="00BE4031">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държавата (държавните институции)</w:t>
      </w:r>
    </w:p>
    <w:p w:rsidR="00BE4031" w:rsidRPr="00EA7BE6" w:rsidRDefault="00BE4031" w:rsidP="00BE4031">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Като резултат от съществуващата противоградова защита ще продължи да се опазва земеделската продукция в защитаваните територии, която за периода 2013-2017 г. средногодишно възлиза на около 88 млн. лева.  </w:t>
      </w:r>
    </w:p>
    <w:p w:rsidR="00BE4031" w:rsidRPr="00EA7BE6" w:rsidRDefault="00BE4031" w:rsidP="00BE4031">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земеделските стопани</w:t>
      </w:r>
    </w:p>
    <w:p w:rsidR="00BE4031" w:rsidRPr="00EA7BE6" w:rsidRDefault="00BE4031" w:rsidP="00BE4031">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При настоящия обхват на превенция срещу градушки икономически ползи имат само тези земеделски стопани, чиито обработваеми земи и трайни насаждения попадат в районите, които се защитават от действащите ракетни площадки. Останалите производители търпят значителни загуби. </w:t>
      </w:r>
    </w:p>
    <w:p w:rsidR="00BE4031" w:rsidRPr="00EA7BE6" w:rsidRDefault="00BE4031" w:rsidP="00BE4031">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Земеделските стопани не извършват преки разходи за градозащита.</w:t>
      </w:r>
    </w:p>
    <w:p w:rsidR="00BE4031" w:rsidRPr="00EA7BE6" w:rsidRDefault="00BE4031" w:rsidP="00BE4031">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застрахователните компании</w:t>
      </w:r>
    </w:p>
    <w:p w:rsidR="00BE4031" w:rsidRPr="00EA7BE6" w:rsidRDefault="00BE4031" w:rsidP="00BE4031">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При запазване на обхвата на защитата, за около 1/3 от територията на страната рискът от настъпване на щети върху земеделската продукция вследствие на градушка е значително по-малък, отколкото в незащитените райони. Респективно, налице са предпоставки за изплащане на по-малко обезщетения за щети в защитаваните територии.  </w:t>
      </w:r>
    </w:p>
    <w:p w:rsidR="00BE4031" w:rsidRPr="00EA7BE6" w:rsidRDefault="00BE4031" w:rsidP="00BE4031">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Застрахователните компании не извършват разходи за градозащита.</w:t>
      </w:r>
    </w:p>
    <w:p w:rsidR="00BE4031" w:rsidRPr="00EA7BE6" w:rsidRDefault="00BE4031" w:rsidP="00BE4031">
      <w:pPr>
        <w:pStyle w:val="Heading2"/>
        <w:spacing w:before="240" w:after="120"/>
        <w:rPr>
          <w:rFonts w:eastAsia="Times New Roman" w:cs="Times New Roman"/>
          <w:sz w:val="22"/>
          <w:szCs w:val="22"/>
          <w:lang w:val="bg-BG"/>
        </w:rPr>
      </w:pPr>
      <w:r w:rsidRPr="00EA7BE6">
        <w:rPr>
          <w:rFonts w:eastAsia="Times New Roman" w:cs="Times New Roman"/>
          <w:sz w:val="22"/>
          <w:szCs w:val="22"/>
        </w:rPr>
        <w:t>IX</w:t>
      </w:r>
      <w:r w:rsidRPr="00EA7BE6">
        <w:rPr>
          <w:rFonts w:eastAsia="Times New Roman" w:cs="Times New Roman"/>
          <w:sz w:val="22"/>
          <w:szCs w:val="22"/>
          <w:lang w:val="bg-BG"/>
        </w:rPr>
        <w:t>.2. Вариант 2:  Приемане на проект на Закон за превенция от неблагоприятни климатични събития в земеделието</w:t>
      </w:r>
    </w:p>
    <w:p w:rsidR="00BE4031" w:rsidRPr="00EA7BE6" w:rsidRDefault="00BE4031" w:rsidP="00BE4031">
      <w:pPr>
        <w:rPr>
          <w:lang w:val="bg-BG"/>
        </w:rPr>
      </w:pPr>
      <w:r w:rsidRPr="00EA7BE6">
        <w:rPr>
          <w:sz w:val="22"/>
          <w:lang w:val="bg-BG"/>
        </w:rPr>
        <w:t>При реализирането на този вариант на действие ще бъде приет Закон за превенция от неблагоприятни климатични събития в земеделието, с който ще бъде създадена ефективна система за управление на риска от неблагоприятни климатични събития в земеделието, която да покрива територията на цялата страна.</w:t>
      </w:r>
    </w:p>
    <w:p w:rsidR="00BE4031" w:rsidRPr="00EA7BE6" w:rsidRDefault="00BE4031" w:rsidP="00BE4031">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Негативни въздействия:</w:t>
      </w:r>
    </w:p>
    <w:p w:rsidR="00BE4031" w:rsidRPr="00EA7BE6" w:rsidRDefault="00BE4031" w:rsidP="00BE4031">
      <w:pPr>
        <w:rPr>
          <w:b/>
          <w:sz w:val="22"/>
          <w:lang w:val="bg-BG"/>
        </w:rPr>
      </w:pPr>
      <w:r w:rsidRPr="00EA7BE6">
        <w:rPr>
          <w:b/>
          <w:sz w:val="22"/>
          <w:lang w:val="bg-BG"/>
        </w:rPr>
        <w:t xml:space="preserve">За държавата </w:t>
      </w:r>
      <w:r w:rsidRPr="00EA7BE6">
        <w:rPr>
          <w:b/>
          <w:bCs/>
          <w:iCs/>
          <w:sz w:val="22"/>
          <w:lang w:val="bg-BG"/>
        </w:rPr>
        <w:t>(държавните институции)</w:t>
      </w:r>
    </w:p>
    <w:p w:rsidR="00BE4031" w:rsidRPr="00EA7BE6" w:rsidRDefault="00BE4031" w:rsidP="00BE4031">
      <w:pPr>
        <w:rPr>
          <w:sz w:val="22"/>
          <w:lang w:val="bg-BG"/>
        </w:rPr>
      </w:pPr>
      <w:r w:rsidRPr="00EA7BE6">
        <w:rPr>
          <w:sz w:val="22"/>
          <w:lang w:val="bg-BG"/>
        </w:rPr>
        <w:t>Не са идентифицирани негативни въздействия за държавата от приемането на законопроекта.</w:t>
      </w:r>
    </w:p>
    <w:p w:rsidR="00BE4031" w:rsidRPr="00EA7BE6" w:rsidRDefault="00BE4031" w:rsidP="00BE4031">
      <w:pPr>
        <w:rPr>
          <w:b/>
          <w:sz w:val="22"/>
          <w:lang w:val="bg-BG"/>
        </w:rPr>
      </w:pPr>
      <w:r w:rsidRPr="00EA7BE6">
        <w:rPr>
          <w:b/>
          <w:sz w:val="22"/>
          <w:lang w:val="bg-BG"/>
        </w:rPr>
        <w:t>За земеделските стопани</w:t>
      </w:r>
    </w:p>
    <w:p w:rsidR="00BE4031" w:rsidRPr="00EA7BE6" w:rsidRDefault="00BE4031" w:rsidP="00BE4031">
      <w:pPr>
        <w:rPr>
          <w:sz w:val="22"/>
          <w:lang w:val="bg-BG"/>
        </w:rPr>
      </w:pPr>
      <w:r w:rsidRPr="00EA7BE6">
        <w:rPr>
          <w:sz w:val="22"/>
          <w:lang w:val="bg-BG"/>
        </w:rPr>
        <w:t xml:space="preserve">Земеделските стопани извършват ежегодни разходи за вноски за превенция от неблагоприятни климатични събития в земеделието, определени на база използваните от тях обработваеми земи и трайни насаждения.   </w:t>
      </w:r>
    </w:p>
    <w:p w:rsidR="00BE4031" w:rsidRPr="00EA7BE6" w:rsidRDefault="00BE4031" w:rsidP="00BE4031">
      <w:pPr>
        <w:rPr>
          <w:b/>
          <w:sz w:val="22"/>
          <w:lang w:val="bg-BG"/>
        </w:rPr>
      </w:pPr>
      <w:r w:rsidRPr="00EA7BE6">
        <w:rPr>
          <w:b/>
          <w:sz w:val="22"/>
          <w:lang w:val="bg-BG"/>
        </w:rPr>
        <w:t>За застрахователните компании</w:t>
      </w:r>
    </w:p>
    <w:p w:rsidR="00BE4031" w:rsidRPr="00EA7BE6" w:rsidRDefault="00BE4031" w:rsidP="00BE4031">
      <w:pPr>
        <w:rPr>
          <w:sz w:val="22"/>
          <w:lang w:val="bg-BG"/>
        </w:rPr>
      </w:pPr>
      <w:r w:rsidRPr="00EA7BE6">
        <w:rPr>
          <w:sz w:val="22"/>
          <w:lang w:val="bg-BG"/>
        </w:rPr>
        <w:t xml:space="preserve">Застрахователните компании извършват разходи за ежегодни вноски за превенция от неблагоприятни климатични събития в земеделието, в размер на 0,8% от получените премийни приходи по класове „Сухопътни превозни средства (без релсови превозни средства), „Пожар и природни бедствия“ и „Други щети на имущество“. </w:t>
      </w:r>
    </w:p>
    <w:p w:rsidR="00BE4031" w:rsidRPr="00EA7BE6" w:rsidRDefault="00BE4031" w:rsidP="00BE4031">
      <w:pPr>
        <w:rPr>
          <w:sz w:val="22"/>
          <w:lang w:val="bg-BG"/>
        </w:rPr>
      </w:pPr>
    </w:p>
    <w:p w:rsidR="00BE4031" w:rsidRPr="00EA7BE6" w:rsidRDefault="00BE4031" w:rsidP="00BE4031">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Положителни въздействия:</w:t>
      </w:r>
    </w:p>
    <w:p w:rsidR="00BE4031" w:rsidRPr="00EA7BE6" w:rsidRDefault="00BE4031" w:rsidP="00BE4031">
      <w:pPr>
        <w:rPr>
          <w:b/>
          <w:sz w:val="22"/>
          <w:lang w:val="bg-BG"/>
        </w:rPr>
      </w:pPr>
      <w:r w:rsidRPr="00EA7BE6">
        <w:rPr>
          <w:b/>
          <w:sz w:val="22"/>
          <w:lang w:val="bg-BG"/>
        </w:rPr>
        <w:t xml:space="preserve">За държавата </w:t>
      </w:r>
      <w:r w:rsidRPr="00EA7BE6">
        <w:rPr>
          <w:b/>
          <w:bCs/>
          <w:iCs/>
          <w:sz w:val="22"/>
          <w:lang w:val="bg-BG"/>
        </w:rPr>
        <w:t>(държавните институции)</w:t>
      </w:r>
    </w:p>
    <w:p w:rsidR="00BE4031" w:rsidRPr="00EA7BE6" w:rsidRDefault="00BE4031" w:rsidP="00BE4031">
      <w:pPr>
        <w:rPr>
          <w:sz w:val="22"/>
          <w:lang w:val="bg-BG"/>
        </w:rPr>
      </w:pPr>
      <w:r w:rsidRPr="00EA7BE6">
        <w:rPr>
          <w:sz w:val="22"/>
          <w:lang w:val="bg-BG"/>
        </w:rPr>
        <w:t>Някои от предвижданите ползи от приемане на законопроекта са:</w:t>
      </w:r>
    </w:p>
    <w:p w:rsidR="00BE4031" w:rsidRPr="00EA7BE6" w:rsidRDefault="00BE4031" w:rsidP="00BE4031">
      <w:pPr>
        <w:pStyle w:val="ListParagraph"/>
        <w:numPr>
          <w:ilvl w:val="0"/>
          <w:numId w:val="19"/>
        </w:numPr>
        <w:rPr>
          <w:sz w:val="22"/>
          <w:lang w:val="bg-BG"/>
        </w:rPr>
      </w:pPr>
      <w:r w:rsidRPr="00EA7BE6">
        <w:rPr>
          <w:sz w:val="22"/>
          <w:lang w:val="bg-BG"/>
        </w:rPr>
        <w:t>по-успешно противодействие на климатичните предизвикателства в резултат на обединяване на усилията на всички заинтересовани страни;</w:t>
      </w:r>
    </w:p>
    <w:p w:rsidR="00BE4031" w:rsidRPr="00EA7BE6" w:rsidRDefault="00BE4031" w:rsidP="00BE4031">
      <w:pPr>
        <w:pStyle w:val="ListParagraph"/>
        <w:numPr>
          <w:ilvl w:val="0"/>
          <w:numId w:val="19"/>
        </w:numPr>
        <w:rPr>
          <w:sz w:val="22"/>
          <w:lang w:val="bg-BG"/>
        </w:rPr>
      </w:pPr>
      <w:r w:rsidRPr="00EA7BE6">
        <w:rPr>
          <w:sz w:val="22"/>
          <w:lang w:val="bg-BG"/>
        </w:rPr>
        <w:t>опазване на земеделската продукция от градушка на територията на цялата страна, което ще създаде условия за стабилно развитие на аграрния отрасъл и за нарастване на данъчните приходи от земеделски дейности;</w:t>
      </w:r>
    </w:p>
    <w:p w:rsidR="00BE4031" w:rsidRPr="00EA7BE6" w:rsidRDefault="00BE4031" w:rsidP="00BE4031">
      <w:pPr>
        <w:pStyle w:val="ListParagraph"/>
        <w:numPr>
          <w:ilvl w:val="0"/>
          <w:numId w:val="19"/>
        </w:numPr>
        <w:rPr>
          <w:sz w:val="22"/>
          <w:lang w:val="bg-BG"/>
        </w:rPr>
      </w:pPr>
      <w:r w:rsidRPr="00EA7BE6">
        <w:rPr>
          <w:sz w:val="22"/>
          <w:lang w:val="bg-BG"/>
        </w:rPr>
        <w:t>въвеждането на споделено финансиране би довело до намаляване на размера на финансовия ресурс, предоставян от държавния бюджет за финансиране на дейности по превенция и за изплащане на обезщетения за щети от природни бедствия и неблагоприятни климатични събития;</w:t>
      </w:r>
    </w:p>
    <w:p w:rsidR="00BE4031" w:rsidRPr="00EA7BE6" w:rsidRDefault="00BE4031" w:rsidP="00BE4031">
      <w:pPr>
        <w:pStyle w:val="ListParagraph"/>
        <w:numPr>
          <w:ilvl w:val="0"/>
          <w:numId w:val="19"/>
        </w:numPr>
        <w:rPr>
          <w:sz w:val="22"/>
          <w:lang w:val="bg-BG"/>
        </w:rPr>
      </w:pPr>
      <w:r w:rsidRPr="00EA7BE6">
        <w:rPr>
          <w:sz w:val="22"/>
          <w:lang w:val="bg-BG"/>
        </w:rPr>
        <w:t>осъществяването на защита и на урбанизираните територии ще ограничи евентуалните поражения върху тях, както и необходимостта от предоставяне на средства от държавния бюджет за преодоляване на щети;</w:t>
      </w:r>
    </w:p>
    <w:p w:rsidR="00BE4031" w:rsidRPr="00EA7BE6" w:rsidRDefault="00BE4031" w:rsidP="00BE4031">
      <w:pPr>
        <w:pStyle w:val="ListParagraph"/>
        <w:numPr>
          <w:ilvl w:val="0"/>
          <w:numId w:val="19"/>
        </w:numPr>
        <w:rPr>
          <w:sz w:val="22"/>
          <w:lang w:val="bg-BG"/>
        </w:rPr>
      </w:pPr>
      <w:r w:rsidRPr="00EA7BE6">
        <w:rPr>
          <w:sz w:val="22"/>
          <w:lang w:val="bg-BG"/>
        </w:rPr>
        <w:t>осигурена цялостна радарна метеорологична информация, която ще позволи по-реална оценка на риска от настъпване на неблагоприятни климатични събития в земеделието.</w:t>
      </w:r>
    </w:p>
    <w:p w:rsidR="00BE4031" w:rsidRPr="00EA7BE6" w:rsidRDefault="00BE4031" w:rsidP="00BE4031">
      <w:pPr>
        <w:rPr>
          <w:b/>
          <w:sz w:val="22"/>
          <w:lang w:val="bg-BG"/>
        </w:rPr>
      </w:pPr>
      <w:r w:rsidRPr="00EA7BE6">
        <w:rPr>
          <w:b/>
          <w:sz w:val="22"/>
          <w:lang w:val="bg-BG"/>
        </w:rPr>
        <w:t>За земеделските стопани</w:t>
      </w:r>
    </w:p>
    <w:p w:rsidR="00BE4031" w:rsidRPr="00EA7BE6" w:rsidRDefault="00BE4031" w:rsidP="00BE4031">
      <w:pPr>
        <w:rPr>
          <w:sz w:val="22"/>
          <w:lang w:val="bg-BG"/>
        </w:rPr>
      </w:pPr>
      <w:r w:rsidRPr="00EA7BE6">
        <w:rPr>
          <w:sz w:val="22"/>
          <w:lang w:val="bg-BG"/>
        </w:rPr>
        <w:t>Осъществяването на превенция срещу едно от най-опасните за земеделието неблагоприятни климатични събития ще допринесе за опазване на земеделската продукция, което ще създаде условия за устойчиво функциониране на земеделските стопанства и формиране на приемливи доходи за производителите. Това би намалило риска от прекратяване на земеделски дейности и излизане на земеделски производители на пазара на труда.</w:t>
      </w:r>
    </w:p>
    <w:p w:rsidR="00BE4031" w:rsidRPr="00EA7BE6" w:rsidRDefault="00BE4031" w:rsidP="00BE4031">
      <w:pPr>
        <w:rPr>
          <w:b/>
          <w:sz w:val="22"/>
          <w:lang w:val="bg-BG"/>
        </w:rPr>
      </w:pPr>
      <w:r w:rsidRPr="00EA7BE6">
        <w:rPr>
          <w:b/>
          <w:sz w:val="22"/>
          <w:lang w:val="bg-BG"/>
        </w:rPr>
        <w:t>За застрахователните компании</w:t>
      </w:r>
    </w:p>
    <w:p w:rsidR="00BE4031" w:rsidRPr="00EA7BE6" w:rsidRDefault="00BE4031" w:rsidP="00BE4031">
      <w:pPr>
        <w:rPr>
          <w:b/>
          <w:sz w:val="22"/>
          <w:lang w:val="bg-BG"/>
        </w:rPr>
      </w:pPr>
      <w:r w:rsidRPr="00EA7BE6">
        <w:rPr>
          <w:sz w:val="22"/>
          <w:lang w:val="bg-BG"/>
        </w:rPr>
        <w:t>Цялостната защитата на територия на страната, включваща и самолетен способ, гарантира превенция срещу градушки и върху урбанизираните територии, което би понижило съществено риска от поражения и съответно размера на изплащаните от застрахователните компании обезщетения.</w:t>
      </w:r>
    </w:p>
    <w:p w:rsidR="00BE4031" w:rsidRPr="00EA7BE6" w:rsidRDefault="00BE4031" w:rsidP="00BE4031">
      <w:pPr>
        <w:rPr>
          <w:sz w:val="22"/>
          <w:lang w:val="bg-BG"/>
        </w:rPr>
      </w:pPr>
      <w:r w:rsidRPr="00EA7BE6">
        <w:rPr>
          <w:sz w:val="22"/>
          <w:lang w:val="bg-BG"/>
        </w:rPr>
        <w:t>Изградената цялостна система за превенция ще осигури надеждни данни за потенциалната опасност от възникване на неблагоприятни климатични събития, проведените въздействия и ефекта от тях, както и за настъпилите щети, което ще позволи в средносрочен и дългосрочен план да се прави достоверна оценка на риска, включително застрахователния, по отношение на тези събития.</w:t>
      </w:r>
    </w:p>
    <w:p w:rsidR="00A911AA" w:rsidRDefault="00A911AA" w:rsidP="00BE4031">
      <w:pPr>
        <w:rPr>
          <w:rFonts w:eastAsia="Times New Roman"/>
          <w:b/>
          <w:bCs/>
          <w:color w:val="365F91" w:themeColor="accent1" w:themeShade="BF"/>
          <w:sz w:val="22"/>
          <w:lang w:val="bg-BG"/>
        </w:rPr>
      </w:pPr>
      <w:bookmarkStart w:id="30" w:name="_Toc496709966"/>
    </w:p>
    <w:p w:rsidR="00BE4031" w:rsidRPr="00EA7BE6" w:rsidRDefault="00BE4031" w:rsidP="00BE4031">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 xml:space="preserve">IX.3. Вариант 3: </w:t>
      </w:r>
      <w:bookmarkEnd w:id="30"/>
      <w:r w:rsidRPr="00EA7BE6">
        <w:rPr>
          <w:rFonts w:eastAsia="Times New Roman"/>
          <w:b/>
          <w:bCs/>
          <w:color w:val="365F91" w:themeColor="accent1" w:themeShade="BF"/>
          <w:sz w:val="22"/>
          <w:lang w:val="bg-BG"/>
        </w:rPr>
        <w:t>Промяна на съществуващата подзаконова нормативна уредба при запазване на сегашния статут</w:t>
      </w:r>
    </w:p>
    <w:p w:rsidR="00BE4031" w:rsidRPr="00EA7BE6" w:rsidRDefault="00BE4031" w:rsidP="00BE4031">
      <w:pPr>
        <w:rPr>
          <w:bCs/>
          <w:sz w:val="22"/>
          <w:lang w:val="bg-BG"/>
        </w:rPr>
      </w:pPr>
      <w:r w:rsidRPr="00EA7BE6">
        <w:rPr>
          <w:bCs/>
          <w:sz w:val="22"/>
          <w:lang w:val="bg-BG"/>
        </w:rPr>
        <w:t xml:space="preserve">При вариант на действие „Промяна на съществуващата подзаконова нормативна уредба при запазване на сегашния статут“ градозащитата ще продължи да се осъществява на 1/3 от територията на страната. Възможно ще е частично увеличаване на защитаваната от градушки и други неблагоприятни </w:t>
      </w:r>
      <w:r w:rsidRPr="00EA7BE6">
        <w:rPr>
          <w:bCs/>
          <w:sz w:val="22"/>
          <w:lang w:val="bg-BG"/>
        </w:rPr>
        <w:lastRenderedPageBreak/>
        <w:t xml:space="preserve">климатични събития в земеделието територия на страната, но няма да бъде възможно покриването на цялата територия на страната само с ракетен способ. </w:t>
      </w:r>
    </w:p>
    <w:p w:rsidR="00BE4031" w:rsidRPr="00EA7BE6" w:rsidRDefault="00BE4031" w:rsidP="00BE4031">
      <w:pPr>
        <w:rPr>
          <w:rFonts w:eastAsia="Times New Roman"/>
          <w:b/>
          <w:bCs/>
          <w:color w:val="365F91" w:themeColor="accent1" w:themeShade="BF"/>
          <w:sz w:val="22"/>
          <w:lang w:val="bg-BG"/>
        </w:rPr>
      </w:pPr>
      <w:r w:rsidRPr="00EA7BE6">
        <w:rPr>
          <w:rFonts w:eastAsia="Times New Roman"/>
          <w:b/>
          <w:bCs/>
          <w:color w:val="365F91" w:themeColor="accent1" w:themeShade="BF"/>
          <w:sz w:val="22"/>
          <w:lang w:val="bg-BG"/>
        </w:rPr>
        <w:t>Негативни въздействия:</w:t>
      </w:r>
    </w:p>
    <w:p w:rsidR="00BE4031" w:rsidRPr="00EA7BE6" w:rsidRDefault="00BE4031" w:rsidP="00BE4031">
      <w:pPr>
        <w:rPr>
          <w:rFonts w:eastAsia="Times New Roman"/>
          <w:b/>
          <w:iCs/>
          <w:sz w:val="22"/>
          <w:lang w:val="bg-BG"/>
        </w:rPr>
      </w:pPr>
      <w:r w:rsidRPr="00EA7BE6">
        <w:rPr>
          <w:rFonts w:eastAsia="Times New Roman"/>
          <w:b/>
          <w:bCs/>
          <w:iCs/>
          <w:sz w:val="22"/>
          <w:lang w:val="bg-BG"/>
        </w:rPr>
        <w:t xml:space="preserve">За държавата </w:t>
      </w:r>
      <w:r w:rsidRPr="00EA7BE6">
        <w:rPr>
          <w:rFonts w:eastAsia="Times New Roman"/>
          <w:b/>
          <w:iCs/>
          <w:sz w:val="22"/>
          <w:lang w:val="bg-BG"/>
        </w:rPr>
        <w:t>(държавните институции)</w:t>
      </w:r>
    </w:p>
    <w:p w:rsidR="00BE4031" w:rsidRPr="00EA7BE6" w:rsidRDefault="00BE4031" w:rsidP="00BE4031">
      <w:pPr>
        <w:rPr>
          <w:rFonts w:eastAsia="Times New Roman"/>
          <w:bCs/>
          <w:iCs/>
          <w:sz w:val="22"/>
          <w:lang w:val="bg-BG"/>
        </w:rPr>
      </w:pPr>
      <w:r w:rsidRPr="00EA7BE6">
        <w:rPr>
          <w:rFonts w:eastAsia="Times New Roman"/>
          <w:bCs/>
          <w:iCs/>
          <w:sz w:val="22"/>
          <w:lang w:val="bg-BG"/>
        </w:rPr>
        <w:t>Финансирането на противоградовата защита е изцяло с публични средства – чрез бюджета на Министерство на земеделието, храните и горите и Междуведомствената комисия за възстановяване и подпомагане към Министерския съвет. Дейността на Изпълнителна агенция „Борба с градушките“ продължава да бъде недофинансирана, което не позволява осъществяването на необходимите инвестиции за модернизация на системите и съоръженията, наемането на достатъчно квалифициран персонал, осигуряването на достатъчен брой ракети в години с висока градова активност и други.</w:t>
      </w:r>
    </w:p>
    <w:p w:rsidR="00BE4031" w:rsidRPr="00EA7BE6" w:rsidRDefault="00BE4031" w:rsidP="00760603">
      <w:pPr>
        <w:spacing w:after="0" w:line="288" w:lineRule="auto"/>
        <w:rPr>
          <w:rFonts w:eastAsia="Times New Roman"/>
          <w:bCs/>
          <w:iCs/>
          <w:sz w:val="22"/>
          <w:lang w:val="bg-BG"/>
        </w:rPr>
      </w:pPr>
      <w:r w:rsidRPr="00EA7BE6">
        <w:rPr>
          <w:rFonts w:eastAsia="Times New Roman"/>
          <w:bCs/>
          <w:iCs/>
          <w:sz w:val="22"/>
          <w:lang w:val="bg-BG"/>
        </w:rPr>
        <w:t>Държавата ще продължи да предоставя значителен по размер финансов ресурс за  преодоляване на последици от неблагоприятни климатични събития, вместо за превантивни дейности. В случай на частично увеличение на обхвата на противоградовата защита, разходите за държавата биха се увеличили.</w:t>
      </w:r>
    </w:p>
    <w:p w:rsidR="00760603" w:rsidRDefault="00BE4031" w:rsidP="00760603">
      <w:pPr>
        <w:keepLines/>
        <w:spacing w:after="0" w:line="288" w:lineRule="auto"/>
        <w:rPr>
          <w:rFonts w:eastAsia="Times New Roman"/>
          <w:bCs/>
          <w:iCs/>
          <w:sz w:val="22"/>
          <w:lang w:val="bg-BG"/>
        </w:rPr>
      </w:pPr>
      <w:r w:rsidRPr="00EA7BE6">
        <w:rPr>
          <w:rFonts w:eastAsia="Times New Roman"/>
          <w:bCs/>
          <w:iCs/>
          <w:sz w:val="22"/>
          <w:lang w:val="bg-BG"/>
        </w:rPr>
        <w:t xml:space="preserve">При ситуация на трайно влошаване на икономическите резултати на субектите в сектор Земеделие вследствие на неблагоприятни фактори, включително климатични,  може да се очаква, че немалък брой по-малки по размер земеделски стопанства биха прекратили дейността си, което би довело до загуба на работни места. </w:t>
      </w:r>
      <w:r w:rsidR="00760603">
        <w:rPr>
          <w:rFonts w:eastAsia="Times New Roman"/>
          <w:bCs/>
          <w:iCs/>
          <w:sz w:val="22"/>
          <w:lang w:val="bg-BG"/>
        </w:rPr>
        <w:t xml:space="preserve">     </w:t>
      </w:r>
    </w:p>
    <w:p w:rsidR="00760603" w:rsidRDefault="00760603" w:rsidP="00760603">
      <w:pPr>
        <w:spacing w:after="0" w:line="288" w:lineRule="auto"/>
        <w:rPr>
          <w:rFonts w:eastAsia="Times New Roman"/>
          <w:bCs/>
          <w:iCs/>
          <w:sz w:val="22"/>
          <w:lang w:val="bg-BG"/>
        </w:rPr>
      </w:pPr>
    </w:p>
    <w:p w:rsidR="00760603" w:rsidRPr="00EA7BE6" w:rsidRDefault="00760603" w:rsidP="00760603">
      <w:pPr>
        <w:pStyle w:val="Heading2"/>
        <w:spacing w:before="0" w:after="0" w:line="288" w:lineRule="auto"/>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земеделските стопани</w:t>
      </w:r>
    </w:p>
    <w:p w:rsidR="00760603" w:rsidRPr="00EA7BE6" w:rsidRDefault="00760603" w:rsidP="00760603">
      <w:pPr>
        <w:pStyle w:val="Heading2"/>
        <w:spacing w:before="0" w:after="0" w:line="288" w:lineRule="auto"/>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Земеделските стопани, чиито обработваеми площи и трайни насаждения попадат извън територията на настоящата противоградова защита (около 2/3 от площта на страната) и евентуалното й разширение ежегодно понасят значителни щети от градушки на отглежданите от тях култури. Заплахите за тях нарастват, предвид все по-честите прояви на градушки в райони, които до скоро не са считани за градобитни. </w:t>
      </w:r>
    </w:p>
    <w:p w:rsidR="00BE4031" w:rsidRDefault="00760603" w:rsidP="00760603">
      <w:pPr>
        <w:spacing w:after="0" w:line="288" w:lineRule="auto"/>
        <w:rPr>
          <w:rFonts w:eastAsia="Times New Roman"/>
          <w:bCs/>
          <w:iCs/>
          <w:sz w:val="22"/>
          <w:lang w:val="bg-BG"/>
        </w:rPr>
      </w:pPr>
      <w:r>
        <w:rPr>
          <w:rFonts w:eastAsia="Times New Roman"/>
          <w:bCs/>
          <w:iCs/>
          <w:sz w:val="22"/>
          <w:lang w:val="bg-BG"/>
        </w:rPr>
        <w:t xml:space="preserve">       </w:t>
      </w:r>
    </w:p>
    <w:p w:rsidR="00A911AA" w:rsidRPr="00EA7BE6" w:rsidRDefault="00A911AA" w:rsidP="00A911AA">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застрахователните компании</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Обхватът на настоящата противоградова защита (само на 1/3 от земеделските площи в страната, без населените места) и евентуалното й разширение е предпоставка за изплащане на застрахователни обезщетения от различен характер в значително по-големи размери, отколкото биха били изплащани при осигурена превенция върху цялата земеделски площ и урбанизираните територии. </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От друга страна, липсата на достатъчно информация за нанесените щети върху земеделската продукция на територията на цялата страна вследствие неблагоприятни климатични събития не позволява да бъде направена адекватна оценка на риска, което се отразява негативно върху пазара на земеделски застраховки.</w:t>
      </w:r>
    </w:p>
    <w:p w:rsidR="00A911AA" w:rsidRDefault="00A911AA" w:rsidP="00760603">
      <w:pPr>
        <w:spacing w:after="0" w:line="288" w:lineRule="auto"/>
        <w:rPr>
          <w:rFonts w:eastAsia="Times New Roman"/>
          <w:bCs/>
          <w:iCs/>
          <w:sz w:val="22"/>
          <w:lang w:val="bg-BG"/>
        </w:rPr>
      </w:pPr>
    </w:p>
    <w:p w:rsidR="00A911AA" w:rsidRPr="00EA7BE6" w:rsidRDefault="00A911AA" w:rsidP="00A911AA">
      <w:pPr>
        <w:pStyle w:val="Heading2"/>
        <w:spacing w:before="240" w:after="120"/>
        <w:rPr>
          <w:rFonts w:eastAsia="Times New Roman" w:cs="Times New Roman"/>
          <w:sz w:val="22"/>
          <w:szCs w:val="22"/>
          <w:lang w:val="bg-BG"/>
        </w:rPr>
      </w:pPr>
      <w:r w:rsidRPr="00EA7BE6">
        <w:rPr>
          <w:rFonts w:eastAsia="Times New Roman" w:cs="Times New Roman"/>
          <w:sz w:val="22"/>
          <w:szCs w:val="22"/>
          <w:lang w:val="bg-BG"/>
        </w:rPr>
        <w:lastRenderedPageBreak/>
        <w:t>Положителни въздействия:</w:t>
      </w:r>
    </w:p>
    <w:p w:rsidR="00A911AA" w:rsidRPr="00EA7BE6" w:rsidRDefault="00A911AA" w:rsidP="00A911AA">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държавата (държавните институции)</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Като резултат от съществуващата противоградова защита ще продължи да се опазва земеделската продукция в защитаваните територии, която за периода 2013-2017 г. средногодишно възлиза на около 88 млн. лева.  При евентуално разширение на обхвата на противоградова защита с нови ракетни площадки, ще бъде намален рискът от неблагоприятни климатични събития в съответните защитавани територии.</w:t>
      </w:r>
    </w:p>
    <w:p w:rsidR="00A911AA" w:rsidRPr="00EA7BE6" w:rsidRDefault="00A911AA" w:rsidP="00A911AA">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земеделските стопани</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При настоящия обхват на превенция срещу градушки икономически ползи имат само тези земеделски стопани, чиито обработваеми земи и трайни насаждения попадат в районите, които се защитават от действащите ракетни площадки. При евентуално разширение на обхвата на противоградова защита с нови ракетни площадки, ще бъдат защитени и попадащите в съответните защитавани територии земеделски стопани. </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Земеделските стопани не извършват преки разходи за градозащита.</w:t>
      </w:r>
    </w:p>
    <w:p w:rsidR="00A911AA" w:rsidRPr="00EA7BE6" w:rsidRDefault="00A911AA" w:rsidP="00A911AA">
      <w:pPr>
        <w:pStyle w:val="Heading2"/>
        <w:spacing w:before="240" w:after="120"/>
        <w:rPr>
          <w:rFonts w:eastAsia="Times New Roman" w:cs="Times New Roman"/>
          <w:bCs w:val="0"/>
          <w:iCs/>
          <w:color w:val="auto"/>
          <w:sz w:val="22"/>
          <w:szCs w:val="22"/>
          <w:lang w:val="bg-BG"/>
        </w:rPr>
      </w:pPr>
      <w:r w:rsidRPr="00EA7BE6">
        <w:rPr>
          <w:rFonts w:eastAsia="Times New Roman" w:cs="Times New Roman"/>
          <w:bCs w:val="0"/>
          <w:iCs/>
          <w:color w:val="auto"/>
          <w:sz w:val="22"/>
          <w:szCs w:val="22"/>
          <w:lang w:val="bg-BG"/>
        </w:rPr>
        <w:t>За застрахователните компании</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 xml:space="preserve">При запазване на обхвата на защитата, за около 1/3 от територията на страната, както и за евентуалното й разширяване, рискът от настъпване на щети върху земеделската продукция вследствие на градушка е значително по-малък, отколкото в незащитените райони. Респективно, налице са предпоставки за изплащане на по-малко обезщетения за щети в защитаваните територии.  </w:t>
      </w:r>
    </w:p>
    <w:p w:rsidR="00A911AA" w:rsidRPr="00EA7BE6" w:rsidRDefault="00A911AA" w:rsidP="00A911AA">
      <w:pPr>
        <w:pStyle w:val="Heading2"/>
        <w:spacing w:before="240" w:after="120"/>
        <w:rPr>
          <w:rFonts w:eastAsia="Times New Roman" w:cs="Times New Roman"/>
          <w:b w:val="0"/>
          <w:bCs w:val="0"/>
          <w:iCs/>
          <w:color w:val="auto"/>
          <w:sz w:val="22"/>
          <w:szCs w:val="22"/>
          <w:lang w:val="bg-BG"/>
        </w:rPr>
      </w:pPr>
      <w:r w:rsidRPr="00EA7BE6">
        <w:rPr>
          <w:rFonts w:eastAsia="Times New Roman" w:cs="Times New Roman"/>
          <w:b w:val="0"/>
          <w:bCs w:val="0"/>
          <w:iCs/>
          <w:color w:val="auto"/>
          <w:sz w:val="22"/>
          <w:szCs w:val="22"/>
          <w:lang w:val="bg-BG"/>
        </w:rPr>
        <w:t>Застрахователните компании не извършват разходи за градозащита.</w:t>
      </w:r>
    </w:p>
    <w:p w:rsidR="00A911AA" w:rsidRPr="00A911AA" w:rsidRDefault="00A911AA" w:rsidP="00A911AA">
      <w:pPr>
        <w:keepNext/>
        <w:keepLines/>
        <w:spacing w:before="480" w:after="120"/>
        <w:outlineLvl w:val="0"/>
        <w:rPr>
          <w:rFonts w:eastAsiaTheme="majorEastAsia"/>
          <w:b/>
          <w:bCs/>
          <w:color w:val="365F91" w:themeColor="accent1" w:themeShade="BF"/>
          <w:sz w:val="22"/>
          <w:lang w:val="bg-BG"/>
        </w:rPr>
      </w:pPr>
      <w:bookmarkStart w:id="31" w:name="_Toc496709967"/>
      <w:r w:rsidRPr="00A911AA">
        <w:rPr>
          <w:rFonts w:eastAsiaTheme="majorEastAsia"/>
          <w:b/>
          <w:bCs/>
          <w:color w:val="365F91" w:themeColor="accent1" w:themeShade="BF"/>
          <w:sz w:val="22"/>
          <w:lang w:val="bg-BG"/>
        </w:rPr>
        <w:t>X. Сравнение на вариантите въз основа на посочените изчисления и данни</w:t>
      </w:r>
      <w:bookmarkEnd w:id="31"/>
      <w:r w:rsidRPr="00A911AA">
        <w:rPr>
          <w:rFonts w:eastAsiaTheme="majorEastAsia"/>
          <w:b/>
          <w:bCs/>
          <w:color w:val="365F91" w:themeColor="accent1" w:themeShade="BF"/>
          <w:sz w:val="22"/>
          <w:lang w:val="bg-BG"/>
        </w:rPr>
        <w:t xml:space="preserve"> </w:t>
      </w:r>
    </w:p>
    <w:p w:rsidR="00A911AA" w:rsidRPr="00A911AA" w:rsidRDefault="00A911AA" w:rsidP="00A911AA">
      <w:pPr>
        <w:keepNext/>
        <w:keepLines/>
        <w:spacing w:before="240" w:after="120"/>
        <w:outlineLvl w:val="1"/>
        <w:rPr>
          <w:rFonts w:eastAsia="Times New Roman"/>
          <w:iCs/>
          <w:sz w:val="22"/>
          <w:lang w:val="bg-BG"/>
        </w:rPr>
      </w:pPr>
      <w:r w:rsidRPr="00A911AA">
        <w:rPr>
          <w:rFonts w:eastAsia="Times New Roman"/>
          <w:iCs/>
          <w:sz w:val="22"/>
          <w:lang w:val="bg-BG"/>
        </w:rPr>
        <w:t xml:space="preserve">Сравняването на представените варианти показва, че при запазване на настоящото статукво и евентуалното частично разширяване на системата за противоградова защита (Вариант 1 „Без действие“ и Вариант 3 „Промяна на съществуващата подзаконова нормативна уредба при запазване на сегашния статут“) ползи ще са налице основно за една от групите заинтересовани лица – част от земеделските стопани, обработващи земя в защитените от градобитни процеси територии. Останалата част от земеделските стопани, обработваните земи на които попадат извън обхвата на защита, ще продължат да търпят негативни последици за своите земеделски стопанства. Финансирането на прилаганите инструменти за управление на риска остава изцяло за сметка на държавния бюджет. При този вариант се извършва превенция само срещу градушка, на 1/3 от територията на страната и евентуалното й частично разширение, а по отношение на останалите неблагоприятни климатични явления прилаганите мерки са последващи – изплащат се обезщетения за настъпили щети. </w:t>
      </w:r>
    </w:p>
    <w:p w:rsidR="00A911AA" w:rsidRPr="00A911AA" w:rsidRDefault="00A911AA" w:rsidP="00A911AA">
      <w:pPr>
        <w:keepNext/>
        <w:keepLines/>
        <w:spacing w:before="240" w:after="120"/>
        <w:outlineLvl w:val="1"/>
        <w:rPr>
          <w:rFonts w:eastAsia="Times New Roman"/>
          <w:iCs/>
          <w:sz w:val="22"/>
          <w:lang w:val="bg-BG"/>
        </w:rPr>
      </w:pPr>
      <w:r w:rsidRPr="00A911AA">
        <w:rPr>
          <w:rFonts w:eastAsia="Times New Roman"/>
          <w:iCs/>
          <w:sz w:val="22"/>
          <w:lang w:val="bg-BG"/>
        </w:rPr>
        <w:t xml:space="preserve">Дейността на структурата, която осъществява противоградовата защита (Изпълнителна агенция „Борба с градушките“) ще остане системно недофинансирана, което не позволява тя да бъде развивана и модернизирана, а в години с повишена градова активност липсата на средства за закупуване на ракети води до значителни загуби на земеделска продукция. </w:t>
      </w:r>
    </w:p>
    <w:p w:rsidR="00A911AA" w:rsidRPr="00A911AA" w:rsidRDefault="00A911AA" w:rsidP="00A911AA">
      <w:pPr>
        <w:keepNext/>
        <w:keepLines/>
        <w:spacing w:before="240" w:after="120"/>
        <w:outlineLvl w:val="1"/>
        <w:rPr>
          <w:rFonts w:eastAsia="Times New Roman"/>
          <w:iCs/>
          <w:sz w:val="22"/>
          <w:lang w:val="bg-BG"/>
        </w:rPr>
      </w:pPr>
      <w:r w:rsidRPr="00A911AA">
        <w:rPr>
          <w:rFonts w:eastAsia="Times New Roman"/>
          <w:iCs/>
          <w:sz w:val="22"/>
          <w:lang w:val="bg-BG"/>
        </w:rPr>
        <w:lastRenderedPageBreak/>
        <w:t>При Вариант 2 „Приемане на проект на Закон за превенция от неблагоприятни климатични събития в земеделието“</w:t>
      </w:r>
      <w:r w:rsidRPr="00A911AA">
        <w:rPr>
          <w:rFonts w:eastAsia="Times New Roman"/>
          <w:b/>
          <w:bCs/>
          <w:iCs/>
          <w:sz w:val="22"/>
          <w:lang w:val="bg-BG"/>
        </w:rPr>
        <w:t xml:space="preserve"> </w:t>
      </w:r>
      <w:r w:rsidRPr="00A911AA">
        <w:rPr>
          <w:rFonts w:eastAsia="Times New Roman"/>
          <w:bCs/>
          <w:iCs/>
          <w:sz w:val="22"/>
          <w:lang w:val="bg-BG"/>
        </w:rPr>
        <w:t xml:space="preserve">ще </w:t>
      </w:r>
      <w:r w:rsidRPr="00A911AA">
        <w:rPr>
          <w:rFonts w:eastAsia="Times New Roman"/>
          <w:iCs/>
          <w:sz w:val="22"/>
          <w:lang w:val="bg-BG"/>
        </w:rPr>
        <w:t xml:space="preserve">са налице съществени ползи за всички заинтересовани страни – държавата, земеделските стопани и застрахователните компании. Разходите за финансиране на системата за превенция от неблагоприятни климатични събития в земеделието ще се разпределят между същите тези субекти. Ще се извършва превенция срещу неблагоприятни климатични събития в земеделието и в частност – градушка, върху цялата територия на страната. Разширяването на обхвата на превенцията (включително и върху урбанизираните територии) и мобилизирането на финансов ресурс от заинтересованите страни би допринесло за по-успешно противодействие на климатичните предизвикателства. Осъществяването на цялостна превенция срещу едно от най-опасните за земеделието неблагоприятни климатични събития ще допринесе за опазване на земеделската продукция, което ще създаде условия за устойчиво функциониране на земеделските стопанства и формиране на приемливи доходи за производителите. Това би намалило риска от прекратяване на земеделски дейности и излизане на земеделски производители на пазара на труда. Защитата на цялата територия на страната, включваща и самолетен способ, гарантира превенция срещу градушки и върху урбанизираните територии, което би понижило съществено риска от поражения и съответно размера на изплащаните от застрахователните компании обезщетения. Включването в управлението на държавното предприятие на представители на държавата, земеделските стопани и застрахователните компании ще позволи набраните финансови средства да се изразходват целево, ефективно и прозрачно. </w:t>
      </w:r>
    </w:p>
    <w:p w:rsidR="00A911AA" w:rsidRPr="00A911AA" w:rsidRDefault="00A911AA" w:rsidP="00A911AA">
      <w:pPr>
        <w:keepNext/>
        <w:keepLines/>
        <w:spacing w:before="480" w:after="120"/>
        <w:outlineLvl w:val="0"/>
        <w:rPr>
          <w:rFonts w:eastAsiaTheme="majorEastAsia"/>
          <w:b/>
          <w:bCs/>
          <w:color w:val="365F91" w:themeColor="accent1" w:themeShade="BF"/>
          <w:sz w:val="22"/>
          <w:lang w:val="bg-BG"/>
        </w:rPr>
      </w:pPr>
      <w:bookmarkStart w:id="32" w:name="_Toc496709968"/>
      <w:r w:rsidRPr="00A911AA">
        <w:rPr>
          <w:rFonts w:eastAsiaTheme="majorEastAsia"/>
          <w:b/>
          <w:bCs/>
          <w:color w:val="365F91" w:themeColor="accent1" w:themeShade="BF"/>
          <w:sz w:val="22"/>
          <w:lang w:val="bg-BG"/>
        </w:rPr>
        <w:t>X</w:t>
      </w:r>
      <w:r w:rsidRPr="00A911AA">
        <w:rPr>
          <w:rFonts w:eastAsiaTheme="majorEastAsia"/>
          <w:b/>
          <w:bCs/>
          <w:color w:val="365F91" w:themeColor="accent1" w:themeShade="BF"/>
          <w:sz w:val="22"/>
        </w:rPr>
        <w:t>I</w:t>
      </w:r>
      <w:r w:rsidRPr="00A911AA">
        <w:rPr>
          <w:rFonts w:eastAsiaTheme="majorEastAsia"/>
          <w:b/>
          <w:bCs/>
          <w:color w:val="365F91" w:themeColor="accent1" w:themeShade="BF"/>
          <w:sz w:val="22"/>
          <w:lang w:val="bg-BG"/>
        </w:rPr>
        <w:t>. Обобщение на резултатите от проведените предварителни консултации</w:t>
      </w:r>
      <w:bookmarkEnd w:id="32"/>
      <w:r w:rsidRPr="00A911AA">
        <w:rPr>
          <w:rFonts w:eastAsiaTheme="majorEastAsia"/>
          <w:b/>
          <w:bCs/>
          <w:color w:val="365F91" w:themeColor="accent1" w:themeShade="BF"/>
          <w:sz w:val="22"/>
          <w:lang w:val="bg-BG"/>
        </w:rPr>
        <w:t xml:space="preserve"> </w:t>
      </w:r>
    </w:p>
    <w:p w:rsidR="00A911AA" w:rsidRPr="00A911AA" w:rsidRDefault="00A911AA" w:rsidP="00A911AA">
      <w:pPr>
        <w:spacing w:after="120"/>
        <w:rPr>
          <w:sz w:val="22"/>
          <w:lang w:val="bg-BG"/>
        </w:rPr>
      </w:pPr>
      <w:r w:rsidRPr="00A911AA">
        <w:rPr>
          <w:sz w:val="22"/>
          <w:lang w:val="bg-BG"/>
        </w:rPr>
        <w:t xml:space="preserve">През периода 2016 – 2018 г. са проведени редица неформални консултации със заинтересованите страни. Тяхната цел беше да запознаят заинтересуваните страни с проблемите в сектора и предложенията за разрешаването им, да им бъде предоставена възможност да изразят мнението си по предвижданите промени и очакваните въздействия. </w:t>
      </w:r>
    </w:p>
    <w:p w:rsidR="00A911AA" w:rsidRPr="00A911AA" w:rsidRDefault="00A911AA" w:rsidP="00A911AA">
      <w:pPr>
        <w:spacing w:after="120"/>
        <w:rPr>
          <w:bCs/>
          <w:sz w:val="22"/>
          <w:lang w:val="bg-BG"/>
        </w:rPr>
      </w:pPr>
      <w:r w:rsidRPr="00A911AA">
        <w:rPr>
          <w:bCs/>
          <w:sz w:val="22"/>
          <w:lang w:val="bg-BG"/>
        </w:rPr>
        <w:t xml:space="preserve">През май 2016 г. е проведена среща между представители на Министерството на земеделието и храните  и на организациите на земеделските производители и застрахователи на тема: „Възможности за развитие на системата за превенция срещу градушки и други неблагоприятни климатични явления“ в град Велико Търново. По време на събитието са дискутирани развитието, усъвършенстването и разширяването на  системата за противоградова защита в страната. Участниците в срещата са запознати и с опита на Окръжна служба за борба с градушките, окръг </w:t>
      </w:r>
      <w:proofErr w:type="spellStart"/>
      <w:r w:rsidRPr="00A911AA">
        <w:rPr>
          <w:bCs/>
          <w:sz w:val="22"/>
          <w:lang w:val="bg-BG"/>
        </w:rPr>
        <w:t>Розенхайм</w:t>
      </w:r>
      <w:proofErr w:type="spellEnd"/>
      <w:r w:rsidRPr="00A911AA">
        <w:rPr>
          <w:bCs/>
          <w:sz w:val="22"/>
          <w:lang w:val="bg-BG"/>
        </w:rPr>
        <w:t xml:space="preserve">, Германия в използване на авиацията за борба с градушките. </w:t>
      </w:r>
    </w:p>
    <w:p w:rsidR="00A911AA" w:rsidRPr="00A911AA" w:rsidRDefault="00A911AA" w:rsidP="00A911AA">
      <w:pPr>
        <w:spacing w:after="120"/>
        <w:rPr>
          <w:bCs/>
          <w:sz w:val="22"/>
          <w:lang w:val="bg-BG"/>
        </w:rPr>
      </w:pPr>
      <w:r w:rsidRPr="00A911AA">
        <w:rPr>
          <w:bCs/>
          <w:sz w:val="22"/>
          <w:lang w:val="bg-BG"/>
        </w:rPr>
        <w:t>През юли месец 2017 г. е проведена среща между представители на Министерството на земеделието, храните и горите и представители на общини, застрахователи и земеделски производители, на която е обсъдена възможността моделът на борба с градушките да бъде финансиран не само от държавата, но и от земеделските производители, застрахователите и общините. По време на срещата е представена презентация на тема „</w:t>
      </w:r>
      <w:proofErr w:type="spellStart"/>
      <w:r w:rsidRPr="00A911AA">
        <w:rPr>
          <w:bCs/>
          <w:sz w:val="22"/>
          <w:lang w:val="bg-BG"/>
        </w:rPr>
        <w:t>Противоградова</w:t>
      </w:r>
      <w:proofErr w:type="spellEnd"/>
      <w:r w:rsidRPr="00A911AA">
        <w:rPr>
          <w:bCs/>
          <w:sz w:val="22"/>
          <w:lang w:val="bg-BG"/>
        </w:rPr>
        <w:t xml:space="preserve"> защита в България – състояние и перспективи“. В нея се посочва, че целта на мерките е максимално да се защити обработваемата земя, трайни насаждания и смесено ползване и да достигнат 90% покритие на земеделските площи, както и 60% в урбанизираните територии, като това би могло да бъде постигнато с разширяване на системата и защитаваната територия постепенно чрез използване на два способа – ракетен и самолетен. Направено е предложение за доизграждане на системата с 4 допълнителни радарни станции. Ракетният способ до 2020 година да бъде разширен с изграждане на 63 нови ракетни площадки и 2 командни пункта в с. Тъжа и Любимец.</w:t>
      </w:r>
    </w:p>
    <w:p w:rsidR="00A911AA" w:rsidRPr="00A911AA" w:rsidRDefault="00A911AA" w:rsidP="00A911AA">
      <w:pPr>
        <w:spacing w:after="120"/>
        <w:rPr>
          <w:bCs/>
          <w:sz w:val="22"/>
          <w:lang w:val="bg-BG"/>
        </w:rPr>
      </w:pPr>
      <w:r w:rsidRPr="00A911AA">
        <w:rPr>
          <w:bCs/>
          <w:sz w:val="22"/>
          <w:lang w:val="bg-BG"/>
        </w:rPr>
        <w:t xml:space="preserve">На 8 февруари 2018 г. е проведена среща между представители на Министерството на земеделието, храните и горите и представители на застрахователните дружества в страната. На срещата е представена преработената визия на министерството за създаване на модел за превенция от природни бедствия и </w:t>
      </w:r>
      <w:r w:rsidRPr="00A911AA">
        <w:rPr>
          <w:bCs/>
          <w:sz w:val="22"/>
          <w:lang w:val="bg-BG"/>
        </w:rPr>
        <w:lastRenderedPageBreak/>
        <w:t>неблагоприятни климатични събития в земеделието, като е обсъдена възможността дейността по превенция да се съфинансира и със задължителни вноски от застрахователните компании.</w:t>
      </w:r>
    </w:p>
    <w:p w:rsidR="00A911AA" w:rsidRPr="00A911AA" w:rsidRDefault="00A911AA" w:rsidP="00A911AA">
      <w:pPr>
        <w:spacing w:after="120"/>
        <w:rPr>
          <w:bCs/>
          <w:sz w:val="22"/>
          <w:lang w:val="bg-BG"/>
        </w:rPr>
      </w:pPr>
      <w:r w:rsidRPr="00A911AA">
        <w:rPr>
          <w:bCs/>
          <w:sz w:val="22"/>
          <w:lang w:val="bg-BG"/>
        </w:rPr>
        <w:t>По време на „Шеста национална среща на земеделските производители в България“, проведена в периода от 14 до 16 февруари 2018 г., и на земеделските производители е представена преработената визия на министерството за създаване на модел за превенция от природни бедствия и неблагоприятни климатични събития в земеделието, като е обсъдена възможността дейността по превенция да се съфинансира и със задължителни вноски от земеделските стопани.</w:t>
      </w:r>
    </w:p>
    <w:p w:rsidR="00A911AA" w:rsidRPr="00A911AA" w:rsidRDefault="00A911AA" w:rsidP="00A911AA">
      <w:pPr>
        <w:keepNext/>
        <w:keepLines/>
        <w:spacing w:before="240" w:after="120"/>
        <w:outlineLvl w:val="1"/>
        <w:rPr>
          <w:rFonts w:eastAsiaTheme="majorEastAsia"/>
          <w:b/>
          <w:bCs/>
          <w:color w:val="365F91" w:themeColor="accent1" w:themeShade="BF"/>
          <w:sz w:val="22"/>
          <w:lang w:val="bg-BG"/>
        </w:rPr>
      </w:pPr>
      <w:bookmarkStart w:id="33" w:name="_Toc496709969"/>
      <w:r w:rsidRPr="00A911AA">
        <w:rPr>
          <w:rFonts w:eastAsiaTheme="majorEastAsia"/>
          <w:b/>
          <w:bCs/>
          <w:color w:val="365F91" w:themeColor="accent1" w:themeShade="BF"/>
          <w:sz w:val="22"/>
          <w:lang w:val="bg-BG"/>
        </w:rPr>
        <w:t>X</w:t>
      </w:r>
      <w:r w:rsidRPr="00A911AA">
        <w:rPr>
          <w:rFonts w:eastAsiaTheme="majorEastAsia"/>
          <w:b/>
          <w:bCs/>
          <w:color w:val="365F91" w:themeColor="accent1" w:themeShade="BF"/>
          <w:sz w:val="22"/>
        </w:rPr>
        <w:t>I</w:t>
      </w:r>
      <w:r w:rsidRPr="00A911AA">
        <w:rPr>
          <w:rFonts w:eastAsiaTheme="majorEastAsia"/>
          <w:b/>
          <w:bCs/>
          <w:color w:val="365F91" w:themeColor="accent1" w:themeShade="BF"/>
          <w:sz w:val="22"/>
          <w:lang w:val="bg-BG"/>
        </w:rPr>
        <w:t>.1. Основни въпроси</w:t>
      </w:r>
      <w:bookmarkEnd w:id="33"/>
      <w:r w:rsidRPr="00A911AA">
        <w:rPr>
          <w:rFonts w:eastAsiaTheme="majorEastAsia"/>
          <w:b/>
          <w:bCs/>
          <w:color w:val="365F91" w:themeColor="accent1" w:themeShade="BF"/>
          <w:sz w:val="22"/>
          <w:lang w:val="bg-BG"/>
        </w:rPr>
        <w:t xml:space="preserve"> </w:t>
      </w:r>
    </w:p>
    <w:p w:rsidR="00A911AA" w:rsidRPr="00A911AA" w:rsidRDefault="00A911AA" w:rsidP="00A911AA">
      <w:pPr>
        <w:spacing w:after="120"/>
        <w:rPr>
          <w:sz w:val="22"/>
          <w:lang w:val="bg-BG"/>
        </w:rPr>
      </w:pPr>
      <w:r w:rsidRPr="00A911AA">
        <w:rPr>
          <w:sz w:val="22"/>
          <w:lang w:val="bg-BG"/>
        </w:rPr>
        <w:t xml:space="preserve">В началния етап на извършване на настоящата предварителна цялостна оценка на въздействието, след определяне на заинтересованите страни беше изготвен Консултационен документ по образеца на Приложение № 3 към Наредбата за обхвата и методологията за извършване на оценка на въздействието. В консултационния документ беше включена подробна информация относно </w:t>
      </w:r>
      <w:r w:rsidRPr="00C53587">
        <w:rPr>
          <w:sz w:val="22"/>
          <w:lang w:val="ru-RU"/>
        </w:rPr>
        <w:t>концепция на Закон за превенция от природни бедствия и неблагоприятни климатични събития в земеделието</w:t>
      </w:r>
      <w:r w:rsidRPr="00A911AA">
        <w:rPr>
          <w:sz w:val="22"/>
          <w:lang w:val="bg-BG"/>
        </w:rPr>
        <w:t xml:space="preserve">. В документа беше изложена подробна информация относно реда и начина на провеждане на консултационния процес. В консултационния документ беше включено описание на предложенията, които ще бъдат развити в проекта на Закон за превенция от </w:t>
      </w:r>
      <w:r w:rsidRPr="00C53587">
        <w:rPr>
          <w:sz w:val="22"/>
          <w:lang w:val="ru-RU"/>
        </w:rPr>
        <w:t xml:space="preserve">природни бедствия и </w:t>
      </w:r>
      <w:r w:rsidRPr="00A911AA">
        <w:rPr>
          <w:sz w:val="22"/>
          <w:lang w:val="bg-BG"/>
        </w:rPr>
        <w:t xml:space="preserve">неблагоприятни климатични събития в земеделието, включващо детайлно изложение на проблемите, целите поставени пред закона и очакваните резултати от реализирането им. </w:t>
      </w:r>
    </w:p>
    <w:p w:rsidR="00A911AA" w:rsidRPr="00A911AA" w:rsidRDefault="00A911AA" w:rsidP="00A911AA">
      <w:pPr>
        <w:spacing w:after="120"/>
        <w:rPr>
          <w:sz w:val="22"/>
          <w:lang w:val="bg-BG"/>
        </w:rPr>
      </w:pPr>
      <w:r w:rsidRPr="00A911AA">
        <w:rPr>
          <w:sz w:val="22"/>
          <w:lang w:val="bg-BG"/>
        </w:rPr>
        <w:t xml:space="preserve">Консултационният документ беше качен на интернет страницата на Министерство на земеделието, храните и горите и на Портала за обществени консултации. По този начин беше предоставена възможност на максимално широк кръг от лица да изразят своето становище по предлаганите промени. </w:t>
      </w:r>
    </w:p>
    <w:p w:rsidR="00A911AA" w:rsidRPr="00A911AA" w:rsidRDefault="00A911AA" w:rsidP="00A911AA">
      <w:pPr>
        <w:spacing w:after="120"/>
        <w:rPr>
          <w:sz w:val="22"/>
          <w:lang w:val="bg-BG"/>
        </w:rPr>
      </w:pPr>
      <w:r w:rsidRPr="00A911AA">
        <w:rPr>
          <w:sz w:val="22"/>
          <w:lang w:val="bg-BG"/>
        </w:rPr>
        <w:t xml:space="preserve">До малките и средните предприятия беше изпратен и въпросник за извършване на „МСП-тест“. </w:t>
      </w:r>
    </w:p>
    <w:p w:rsidR="00A911AA" w:rsidRPr="00A911AA" w:rsidRDefault="00A911AA" w:rsidP="00A911AA">
      <w:pPr>
        <w:spacing w:after="120"/>
        <w:rPr>
          <w:sz w:val="22"/>
          <w:lang w:val="bg-BG"/>
        </w:rPr>
      </w:pPr>
      <w:r w:rsidRPr="00A911AA">
        <w:rPr>
          <w:sz w:val="22"/>
          <w:lang w:val="bg-BG"/>
        </w:rPr>
        <w:t xml:space="preserve">На заинтересованите лица беше предоставен едномесечен срок за отговор по поставените за обсъждане въпроси. </w:t>
      </w:r>
    </w:p>
    <w:p w:rsidR="00A911AA" w:rsidRPr="00A911AA" w:rsidRDefault="00A911AA" w:rsidP="00A911AA">
      <w:pPr>
        <w:keepNext/>
        <w:keepLines/>
        <w:spacing w:before="240" w:after="120"/>
        <w:outlineLvl w:val="1"/>
        <w:rPr>
          <w:rFonts w:eastAsiaTheme="majorEastAsia"/>
          <w:b/>
          <w:bCs/>
          <w:color w:val="365F91" w:themeColor="accent1" w:themeShade="BF"/>
          <w:sz w:val="22"/>
          <w:lang w:val="bg-BG"/>
        </w:rPr>
      </w:pPr>
      <w:bookmarkStart w:id="34" w:name="_Toc496709970"/>
      <w:r w:rsidRPr="00A911AA">
        <w:rPr>
          <w:rFonts w:eastAsiaTheme="majorEastAsia"/>
          <w:b/>
          <w:bCs/>
          <w:color w:val="365F91" w:themeColor="accent1" w:themeShade="BF"/>
          <w:sz w:val="22"/>
          <w:lang w:val="bg-BG"/>
        </w:rPr>
        <w:t>X</w:t>
      </w:r>
      <w:r w:rsidRPr="00A911AA">
        <w:rPr>
          <w:rFonts w:eastAsiaTheme="majorEastAsia"/>
          <w:b/>
          <w:bCs/>
          <w:color w:val="365F91" w:themeColor="accent1" w:themeShade="BF"/>
          <w:sz w:val="22"/>
        </w:rPr>
        <w:t>I</w:t>
      </w:r>
      <w:r w:rsidRPr="00A911AA">
        <w:rPr>
          <w:rFonts w:eastAsiaTheme="majorEastAsia"/>
          <w:b/>
          <w:bCs/>
          <w:color w:val="365F91" w:themeColor="accent1" w:themeShade="BF"/>
          <w:sz w:val="22"/>
          <w:lang w:val="bg-BG"/>
        </w:rPr>
        <w:t>.2. Приети предложения и обосновка за неприетите становища и предложения на заинтересованите страни</w:t>
      </w:r>
      <w:bookmarkEnd w:id="34"/>
    </w:p>
    <w:p w:rsidR="00A911AA" w:rsidRPr="00A911AA" w:rsidRDefault="00A911AA" w:rsidP="00A911AA">
      <w:pPr>
        <w:spacing w:after="120"/>
        <w:rPr>
          <w:sz w:val="22"/>
          <w:lang w:val="bg-BG"/>
        </w:rPr>
      </w:pPr>
      <w:r w:rsidRPr="00A911AA">
        <w:rPr>
          <w:sz w:val="22"/>
          <w:lang w:val="bg-BG"/>
        </w:rPr>
        <w:t xml:space="preserve">В предоставения срок за отговор постъпиха предложения, коментари и становища от заинтересовани страни – </w:t>
      </w:r>
      <w:r w:rsidRPr="00C53587">
        <w:rPr>
          <w:sz w:val="22"/>
          <w:lang w:val="ru-RU"/>
        </w:rPr>
        <w:t xml:space="preserve">Фондация </w:t>
      </w:r>
      <w:r w:rsidRPr="00A911AA">
        <w:rPr>
          <w:sz w:val="22"/>
          <w:lang w:val="bg-BG"/>
        </w:rPr>
        <w:t>„</w:t>
      </w:r>
      <w:r w:rsidRPr="00C53587">
        <w:rPr>
          <w:sz w:val="22"/>
          <w:lang w:val="ru-RU"/>
        </w:rPr>
        <w:t>ИнтелиАгро</w:t>
      </w:r>
      <w:r w:rsidRPr="00A911AA">
        <w:rPr>
          <w:sz w:val="22"/>
          <w:lang w:val="bg-BG"/>
        </w:rPr>
        <w:t>“, Асоциация на българските застрахователи, кметовете на общини  Бяла, Ценово, Борово, Две Могили, Иваново и Сливо поле в област Русе, както и потребител с име „</w:t>
      </w:r>
      <w:proofErr w:type="spellStart"/>
      <w:r w:rsidRPr="00A911AA">
        <w:rPr>
          <w:sz w:val="22"/>
          <w:lang w:val="bg-BG"/>
        </w:rPr>
        <w:t>nenchosp</w:t>
      </w:r>
      <w:proofErr w:type="spellEnd"/>
      <w:r w:rsidRPr="00A911AA">
        <w:rPr>
          <w:sz w:val="22"/>
          <w:lang w:val="bg-BG"/>
        </w:rPr>
        <w:t xml:space="preserve">“, публикувал коментар на Портала за обществени консултации. </w:t>
      </w:r>
    </w:p>
    <w:p w:rsidR="00A911AA" w:rsidRPr="00A911AA" w:rsidRDefault="00A911AA" w:rsidP="00A911AA">
      <w:pPr>
        <w:spacing w:after="120"/>
        <w:rPr>
          <w:sz w:val="22"/>
          <w:lang w:val="bg-BG"/>
        </w:rPr>
      </w:pPr>
      <w:r w:rsidRPr="00A911AA">
        <w:rPr>
          <w:sz w:val="22"/>
          <w:lang w:val="bg-BG"/>
        </w:rPr>
        <w:t>Във връзка с постъпилите становища, коментари и предложения е изготвена справка, приложена към настоящата цялостна предварителна оценка на въздействието, в която са отразени приетите и неприети предложения, съответно и мотивите за това. Въз основа на приетите предложения проектът на концепция на Закон за</w:t>
      </w:r>
      <w:r w:rsidRPr="00A911AA">
        <w:rPr>
          <w:sz w:val="22"/>
          <w:lang w:val="bg-BG" w:bidi="bg-BG"/>
        </w:rPr>
        <w:t xml:space="preserve"> превенция от природни бедствия и неблагоприятни климатични събития в земеделието е ревизиран и част от концептуалните идеи са променени, а други – отпадат.</w:t>
      </w:r>
    </w:p>
    <w:p w:rsidR="00A911AA" w:rsidRPr="00A911AA" w:rsidRDefault="00A911AA" w:rsidP="00A911AA">
      <w:pPr>
        <w:keepNext/>
        <w:keepLines/>
        <w:spacing w:before="480" w:after="120"/>
        <w:outlineLvl w:val="0"/>
        <w:rPr>
          <w:rFonts w:eastAsiaTheme="majorEastAsia"/>
          <w:b/>
          <w:bCs/>
          <w:color w:val="365F91" w:themeColor="accent1" w:themeShade="BF"/>
          <w:sz w:val="22"/>
          <w:lang w:val="bg-BG"/>
        </w:rPr>
      </w:pPr>
      <w:bookmarkStart w:id="35" w:name="_Toc496709971"/>
      <w:r w:rsidRPr="00A911AA">
        <w:rPr>
          <w:rFonts w:eastAsiaTheme="majorEastAsia"/>
          <w:b/>
          <w:bCs/>
          <w:color w:val="365F91" w:themeColor="accent1" w:themeShade="BF"/>
          <w:sz w:val="22"/>
          <w:lang w:val="bg-BG"/>
        </w:rPr>
        <w:t>X</w:t>
      </w:r>
      <w:r w:rsidRPr="00A911AA">
        <w:rPr>
          <w:rFonts w:eastAsiaTheme="majorEastAsia"/>
          <w:b/>
          <w:bCs/>
          <w:color w:val="365F91" w:themeColor="accent1" w:themeShade="BF"/>
          <w:sz w:val="22"/>
        </w:rPr>
        <w:t>I</w:t>
      </w:r>
      <w:r w:rsidRPr="00A911AA">
        <w:rPr>
          <w:rFonts w:eastAsiaTheme="majorEastAsia"/>
          <w:b/>
          <w:bCs/>
          <w:color w:val="365F91" w:themeColor="accent1" w:themeShade="BF"/>
          <w:sz w:val="22"/>
          <w:lang w:val="bg-BG"/>
        </w:rPr>
        <w:t>I. Препоръчителен вариант и обосновка към него</w:t>
      </w:r>
      <w:bookmarkEnd w:id="35"/>
    </w:p>
    <w:p w:rsidR="00A911AA" w:rsidRPr="00A911AA" w:rsidRDefault="00A911AA" w:rsidP="00A911AA">
      <w:pPr>
        <w:spacing w:after="120"/>
        <w:rPr>
          <w:rFonts w:eastAsia="Times New Roman"/>
          <w:iCs/>
          <w:sz w:val="22"/>
          <w:lang w:val="bg-BG"/>
        </w:rPr>
      </w:pPr>
      <w:r w:rsidRPr="00A911AA">
        <w:rPr>
          <w:rFonts w:eastAsia="Times New Roman"/>
          <w:iCs/>
          <w:sz w:val="22"/>
          <w:lang w:val="bg-BG"/>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2 </w:t>
      </w:r>
      <w:r w:rsidRPr="00A911AA">
        <w:rPr>
          <w:rFonts w:eastAsia="Times New Roman"/>
          <w:b/>
          <w:bCs/>
          <w:iCs/>
          <w:sz w:val="22"/>
          <w:lang w:val="bg-BG"/>
        </w:rPr>
        <w:t>„</w:t>
      </w:r>
      <w:r w:rsidRPr="00A911AA">
        <w:rPr>
          <w:rFonts w:eastAsia="Times New Roman"/>
          <w:iCs/>
          <w:sz w:val="22"/>
          <w:lang w:val="bg-BG"/>
        </w:rPr>
        <w:t>Приемане на проект на Закон за превенция от неблагоприятни климатични събития в земеделието</w:t>
      </w:r>
      <w:r w:rsidRPr="00A911AA">
        <w:rPr>
          <w:rFonts w:eastAsia="Times New Roman"/>
          <w:b/>
          <w:bCs/>
          <w:iCs/>
          <w:sz w:val="22"/>
          <w:lang w:val="bg-BG"/>
        </w:rPr>
        <w:t>“</w:t>
      </w:r>
      <w:r w:rsidRPr="00A911AA">
        <w:rPr>
          <w:rFonts w:eastAsia="Times New Roman"/>
          <w:iCs/>
          <w:sz w:val="22"/>
          <w:lang w:val="bg-BG"/>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w:t>
      </w:r>
      <w:r w:rsidRPr="00A911AA">
        <w:rPr>
          <w:rFonts w:eastAsia="Times New Roman"/>
          <w:iCs/>
          <w:sz w:val="22"/>
          <w:lang w:val="bg-BG"/>
        </w:rPr>
        <w:lastRenderedPageBreak/>
        <w:t xml:space="preserve">поставените цели. С оглед по-добра финансова обезпеченост и на база на отговорите от т. нар. МСП-тест, може да се приеме, че допълнителните разходи, с които се натоварват производителите при осъществяване на Вариант 2, са приемливи за повечето МСП. Осъществяването на </w:t>
      </w:r>
      <w:r w:rsidRPr="00A911AA">
        <w:rPr>
          <w:rFonts w:eastAsia="Times New Roman"/>
          <w:bCs/>
          <w:iCs/>
          <w:sz w:val="22"/>
          <w:lang w:val="bg-BG"/>
        </w:rPr>
        <w:t xml:space="preserve">цялостна </w:t>
      </w:r>
      <w:r w:rsidRPr="00A911AA">
        <w:rPr>
          <w:rFonts w:eastAsia="Times New Roman"/>
          <w:iCs/>
          <w:sz w:val="22"/>
          <w:lang w:val="bg-BG"/>
        </w:rPr>
        <w:t>превенция срещу едно от най-опасните за земеделието неблагоприятни климатични събития ще допринесе за опазване на земеделската продукция, което ще създаде условия за устойчиво функциониране на земеделските стопанства и формиране на приемливи доходи за производителите. Това би намалило риска от прекратяване на земеделски дейности и излизане на земеделски производители на пазара на труда.</w:t>
      </w:r>
      <w:r w:rsidRPr="00A911AA">
        <w:rPr>
          <w:rFonts w:eastAsia="Times New Roman"/>
          <w:bCs/>
          <w:iCs/>
          <w:sz w:val="22"/>
          <w:lang w:val="bg-BG"/>
        </w:rPr>
        <w:t xml:space="preserve"> В същото време з</w:t>
      </w:r>
      <w:r w:rsidRPr="00A911AA">
        <w:rPr>
          <w:rFonts w:eastAsia="Times New Roman"/>
          <w:iCs/>
          <w:sz w:val="22"/>
          <w:lang w:val="bg-BG"/>
        </w:rPr>
        <w:t>ащитата на цялата територия на страната, включваща и самолетен способ, гарантира превенция срещу градушки и върху урбанизираните територии, което би понижило съществено риска от поражения и съответно размера на изплащаните от застрахователните компании обезщетения.</w:t>
      </w:r>
      <w:r w:rsidRPr="00A911AA">
        <w:rPr>
          <w:rFonts w:eastAsia="Times New Roman"/>
          <w:bCs/>
          <w:iCs/>
          <w:sz w:val="22"/>
          <w:lang w:val="bg-BG"/>
        </w:rPr>
        <w:t xml:space="preserve"> </w:t>
      </w:r>
    </w:p>
    <w:p w:rsidR="00A911AA" w:rsidRPr="00C53587" w:rsidRDefault="00A911AA" w:rsidP="00A911AA">
      <w:pPr>
        <w:keepNext/>
        <w:keepLines/>
        <w:spacing w:before="480" w:after="120"/>
        <w:outlineLvl w:val="0"/>
        <w:rPr>
          <w:rFonts w:eastAsiaTheme="majorEastAsia"/>
          <w:b/>
          <w:bCs/>
          <w:color w:val="365F91" w:themeColor="accent1" w:themeShade="BF"/>
          <w:sz w:val="22"/>
          <w:lang w:val="ru-RU"/>
        </w:rPr>
      </w:pPr>
      <w:bookmarkStart w:id="36" w:name="_Toc496709972"/>
      <w:r w:rsidRPr="00A911AA">
        <w:rPr>
          <w:rFonts w:eastAsiaTheme="majorEastAsia"/>
          <w:b/>
          <w:bCs/>
          <w:color w:val="365F91" w:themeColor="accent1" w:themeShade="BF"/>
          <w:sz w:val="22"/>
          <w:lang w:val="bg-BG"/>
        </w:rPr>
        <w:t>X</w:t>
      </w:r>
      <w:r w:rsidRPr="00A911AA">
        <w:rPr>
          <w:rFonts w:eastAsiaTheme="majorEastAsia"/>
          <w:b/>
          <w:bCs/>
          <w:color w:val="365F91" w:themeColor="accent1" w:themeShade="BF"/>
          <w:sz w:val="22"/>
        </w:rPr>
        <w:t>II</w:t>
      </w:r>
      <w:r w:rsidRPr="00A911AA">
        <w:rPr>
          <w:rFonts w:eastAsiaTheme="majorEastAsia"/>
          <w:b/>
          <w:bCs/>
          <w:color w:val="365F91" w:themeColor="accent1" w:themeShade="BF"/>
          <w:sz w:val="22"/>
          <w:lang w:val="bg-BG"/>
        </w:rPr>
        <w:t>I. Варианти за потенциални въздействия върху МСП</w:t>
      </w:r>
      <w:bookmarkEnd w:id="36"/>
    </w:p>
    <w:p w:rsidR="00A911AA" w:rsidRPr="00A911AA" w:rsidRDefault="00A911AA" w:rsidP="00A911AA">
      <w:pPr>
        <w:spacing w:after="120"/>
        <w:rPr>
          <w:rFonts w:eastAsia="Times New Roman"/>
          <w:sz w:val="22"/>
          <w:lang w:val="bg-BG"/>
        </w:rPr>
      </w:pPr>
      <w:r w:rsidRPr="00A911AA">
        <w:rPr>
          <w:rFonts w:eastAsia="Times New Roman"/>
          <w:sz w:val="22"/>
          <w:lang w:val="bg-BG"/>
        </w:rPr>
        <w:t>Промените в таксите за предоставяне на административните услуги биха оказали влияние върху малките и средните предприятия (МСП), каквито са преобладаващият брой стопански субекти в сектора. При оценката на въздействието на предвижданите промени върху тях бе извършен т.нар. „МСП-тест“</w:t>
      </w:r>
      <w:r w:rsidRPr="00A911AA">
        <w:rPr>
          <w:sz w:val="22"/>
          <w:lang w:val="bg-BG"/>
        </w:rPr>
        <w:t xml:space="preserve">. </w:t>
      </w:r>
      <w:r w:rsidRPr="00A911AA">
        <w:rPr>
          <w:rFonts w:eastAsia="Times New Roman"/>
          <w:sz w:val="22"/>
          <w:lang w:val="bg-BG"/>
        </w:rPr>
        <w:t>Целите на този тест са да се оценят нагласите и потенциалното въздействие, които ще има  Закона за превенция от неблагоприятни климатични събития в земеделието върху засегнатите страни – земеделските стопани, представляващи малки и средни предприятия.</w:t>
      </w:r>
    </w:p>
    <w:p w:rsidR="00A911AA" w:rsidRPr="00A911AA" w:rsidRDefault="00A911AA" w:rsidP="00A911AA">
      <w:pPr>
        <w:spacing w:after="120"/>
        <w:rPr>
          <w:sz w:val="22"/>
          <w:lang w:val="bg-BG"/>
        </w:rPr>
      </w:pPr>
      <w:r w:rsidRPr="00A911AA">
        <w:rPr>
          <w:sz w:val="22"/>
          <w:lang w:val="bg-BG"/>
        </w:rPr>
        <w:t xml:space="preserve">За да се прецени размера и финансово-административната тежест и въздействието върху стопанската активност на засегнатите производители бе извършен и по-детайлен анализ,  включително с количествени оценки и прогнози. </w:t>
      </w:r>
    </w:p>
    <w:p w:rsidR="00A911AA" w:rsidRPr="00A911AA" w:rsidRDefault="00A911AA" w:rsidP="00A911AA">
      <w:pPr>
        <w:spacing w:after="120"/>
        <w:rPr>
          <w:sz w:val="22"/>
          <w:lang w:val="bg-BG"/>
        </w:rPr>
      </w:pPr>
      <w:r w:rsidRPr="00A911AA">
        <w:rPr>
          <w:sz w:val="22"/>
          <w:lang w:val="bg-BG"/>
        </w:rPr>
        <w:t xml:space="preserve">Съгласно данните за брутна продукция и брой на заетите в предприятията в земеделието от Системата за земеделски счетоводна информация за 2015 г., посочени в </w:t>
      </w:r>
      <w:r w:rsidRPr="00C53587">
        <w:rPr>
          <w:sz w:val="22"/>
          <w:lang w:val="bg-BG"/>
        </w:rPr>
        <w:t xml:space="preserve">Таблица </w:t>
      </w:r>
      <w:r w:rsidR="00293ED4" w:rsidRPr="00C53587">
        <w:rPr>
          <w:sz w:val="22"/>
          <w:lang w:val="bg-BG"/>
        </w:rPr>
        <w:t>13</w:t>
      </w:r>
      <w:r w:rsidRPr="00C53587">
        <w:rPr>
          <w:sz w:val="22"/>
          <w:lang w:val="bg-BG"/>
        </w:rPr>
        <w:t xml:space="preserve"> и</w:t>
      </w:r>
      <w:r w:rsidRPr="00A911AA">
        <w:rPr>
          <w:sz w:val="22"/>
          <w:lang w:val="bg-BG"/>
        </w:rPr>
        <w:t xml:space="preserve"> предоставени от отдел „Агростатистика“ при Министерство на земеделието, храните и горите, в земеделието оперират само стопанства, които попадат в категорията „малки предприятия“ и „микропредприятия“ по смисъла на чл. 3, ал. 2 и 3 от Закона за малките и средни предприятия. </w:t>
      </w:r>
    </w:p>
    <w:p w:rsidR="00A911AA" w:rsidRPr="00A911AA" w:rsidRDefault="00A911AA" w:rsidP="00A911AA">
      <w:pPr>
        <w:spacing w:after="120"/>
        <w:rPr>
          <w:sz w:val="22"/>
          <w:lang w:val="bg-BG"/>
        </w:rPr>
      </w:pPr>
    </w:p>
    <w:p w:rsidR="00A911AA" w:rsidRPr="00A911AA" w:rsidRDefault="00A911AA" w:rsidP="00A911AA">
      <w:pPr>
        <w:spacing w:after="120"/>
        <w:rPr>
          <w:b/>
          <w:sz w:val="22"/>
          <w:lang w:val="bg-BG"/>
        </w:rPr>
      </w:pPr>
      <w:r w:rsidRPr="00A911AA">
        <w:rPr>
          <w:b/>
          <w:sz w:val="22"/>
          <w:lang w:val="bg-BG"/>
        </w:rPr>
        <w:t>Описание на разходите и ползите от прилагането на нормативния акт за предприятията – по категории малки и средни предприятия, а където е подходящо – и по основно засегната икономическа дейност</w:t>
      </w:r>
    </w:p>
    <w:p w:rsidR="00A911AA" w:rsidRPr="00A911AA" w:rsidRDefault="00A911AA" w:rsidP="00A911AA">
      <w:pPr>
        <w:spacing w:after="120"/>
        <w:rPr>
          <w:sz w:val="22"/>
          <w:lang w:val="bg-BG"/>
        </w:rPr>
      </w:pPr>
      <w:r w:rsidRPr="00A911AA">
        <w:rPr>
          <w:sz w:val="22"/>
          <w:lang w:val="bg-BG"/>
        </w:rPr>
        <w:t>Разходите за плащане на вноски за превенция на единица площ възлизат на 0,50 лв. на 1 дка обработваема земя и трайни насаждения, независимо от размера на площите, които обработва стопанството, и отглежданите земеделски култури. Стойността на спасената от неблагоприятни климатични условия продукция от единица площ също не зависи от размера на стопанството, а от вида и цената на тази продукция. В този смисъл, съпоставянето на разходите и ползите от превенцията между различни по размер стопанства е неприложимо.</w:t>
      </w:r>
    </w:p>
    <w:p w:rsidR="00A911AA" w:rsidRPr="00A911AA" w:rsidRDefault="00A911AA" w:rsidP="00A911AA">
      <w:pPr>
        <w:spacing w:after="120"/>
        <w:rPr>
          <w:sz w:val="22"/>
          <w:lang w:val="bg-BG"/>
        </w:rPr>
      </w:pPr>
      <w:r w:rsidRPr="00A911AA">
        <w:rPr>
          <w:sz w:val="22"/>
          <w:lang w:val="bg-BG"/>
        </w:rPr>
        <w:t xml:space="preserve">Незначителен брой стопанства (общо 20 или около 0,03% от всички стопанства), обработващи над 50 000 дка, ще плащат вноска в размер на около и над 25 000 лв. годишно, както е посочено в </w:t>
      </w:r>
      <w:r w:rsidR="00293ED4" w:rsidRPr="00AA7853">
        <w:rPr>
          <w:sz w:val="22"/>
          <w:lang w:val="bg-BG"/>
        </w:rPr>
        <w:t>Т</w:t>
      </w:r>
      <w:r w:rsidRPr="00C53587">
        <w:rPr>
          <w:sz w:val="22"/>
          <w:lang w:val="bg-BG"/>
        </w:rPr>
        <w:t xml:space="preserve">аблица </w:t>
      </w:r>
      <w:r w:rsidR="00293ED4" w:rsidRPr="00C53587">
        <w:rPr>
          <w:sz w:val="22"/>
          <w:lang w:val="bg-BG"/>
        </w:rPr>
        <w:t>12</w:t>
      </w:r>
      <w:r w:rsidRPr="00C53587">
        <w:rPr>
          <w:sz w:val="22"/>
          <w:lang w:val="bg-BG"/>
        </w:rPr>
        <w:t>.</w:t>
      </w:r>
    </w:p>
    <w:p w:rsidR="00A911AA" w:rsidRPr="00A911AA" w:rsidRDefault="00A911AA" w:rsidP="00C53587">
      <w:pPr>
        <w:spacing w:after="0" w:line="240" w:lineRule="auto"/>
        <w:rPr>
          <w:sz w:val="22"/>
          <w:lang w:val="bg-BG"/>
        </w:rPr>
      </w:pPr>
    </w:p>
    <w:p w:rsidR="00A911AA" w:rsidRPr="00A911AA" w:rsidRDefault="00A911AA" w:rsidP="00A911AA">
      <w:pPr>
        <w:spacing w:after="120"/>
        <w:rPr>
          <w:sz w:val="22"/>
          <w:lang w:val="bg-BG"/>
        </w:rPr>
      </w:pPr>
      <w:r w:rsidRPr="00A911AA">
        <w:rPr>
          <w:sz w:val="22"/>
          <w:lang w:val="bg-BG"/>
        </w:rPr>
        <w:t xml:space="preserve">Съгласно посочените в таблицата данни е видно, че най-голям е делът на стопанствата (58,3% от всички стопанства в страната), които обработват под 100 дка земеделска земя. Именно при тях годишно за </w:t>
      </w:r>
      <w:r w:rsidRPr="00A911AA">
        <w:rPr>
          <w:sz w:val="22"/>
          <w:lang w:val="bg-BG"/>
        </w:rPr>
        <w:lastRenderedPageBreak/>
        <w:t>превенция от неблагоприятни климатични събития в земеделието ще бъдат събирани задължителни вноски в размер до 50 лева.</w:t>
      </w:r>
    </w:p>
    <w:p w:rsidR="00A911AA" w:rsidRPr="00A911AA" w:rsidRDefault="00A911AA" w:rsidP="00A911AA">
      <w:pPr>
        <w:spacing w:after="120"/>
        <w:rPr>
          <w:sz w:val="22"/>
          <w:lang w:val="bg-BG"/>
        </w:rPr>
      </w:pPr>
      <w:r w:rsidRPr="00A911AA">
        <w:rPr>
          <w:sz w:val="22"/>
          <w:lang w:val="bg-BG"/>
        </w:rPr>
        <w:t xml:space="preserve">Отражението на задължителната вноска за превенция върху доходите на земеделските стопани може да бъде оценено въз основа на данните от Системата за земеделска счетоводна информация (последни налични данни за 2015 г.). </w:t>
      </w:r>
    </w:p>
    <w:p w:rsidR="00A911AA" w:rsidRPr="00A911AA" w:rsidRDefault="00A911AA" w:rsidP="00A911AA">
      <w:pPr>
        <w:spacing w:after="120"/>
        <w:rPr>
          <w:sz w:val="22"/>
          <w:lang w:val="bg-BG"/>
        </w:rPr>
      </w:pPr>
      <w:r w:rsidRPr="00A911AA">
        <w:rPr>
          <w:sz w:val="22"/>
          <w:lang w:val="bg-BG"/>
        </w:rPr>
        <w:t>Намалението на нетния доход в резултат от направените вноски варира от 0,3% до 3,8% в зависимост от икономическия размер на стопанствата. За над 95% от всички стопанства вноската за превенция би понижила нетния им доход с по-малко от един процент. За останалите стопанства намалението би било до 3,8% (Таблица 13).</w:t>
      </w:r>
    </w:p>
    <w:bookmarkEnd w:id="29"/>
    <w:p w:rsidR="00BE4031" w:rsidRPr="00EA7BE6" w:rsidRDefault="00BE4031" w:rsidP="00BE4031">
      <w:pPr>
        <w:spacing w:after="120"/>
        <w:rPr>
          <w:sz w:val="22"/>
          <w:lang w:val="bg-BG"/>
        </w:rPr>
      </w:pPr>
      <w:r w:rsidRPr="00EA7BE6">
        <w:rPr>
          <w:sz w:val="22"/>
          <w:lang w:val="bg-BG"/>
        </w:rPr>
        <w:t xml:space="preserve">Във връзка с извършването на „МСП-тест“ е проведено анкетно проучване на 125 земеделски стопанства, отговарящи на изискванията за малко или средно предприятие, разположени на територията на 28-те административни области в страната. </w:t>
      </w:r>
    </w:p>
    <w:p w:rsidR="00BE4031" w:rsidRDefault="00BE4031" w:rsidP="00BE4031">
      <w:pPr>
        <w:spacing w:after="120"/>
        <w:rPr>
          <w:sz w:val="22"/>
          <w:lang w:val="bg-BG"/>
        </w:rPr>
      </w:pPr>
      <w:r w:rsidRPr="00EA7BE6">
        <w:rPr>
          <w:sz w:val="22"/>
          <w:lang w:val="bg-BG"/>
        </w:rPr>
        <w:t>В посочената таблица е представено разпределението на респондентите по групи в сектор „Растениевъдство“:</w:t>
      </w:r>
    </w:p>
    <w:p w:rsidR="00293ED4" w:rsidRPr="00C53587" w:rsidRDefault="00293ED4" w:rsidP="00C53587">
      <w:pPr>
        <w:spacing w:after="0" w:line="288" w:lineRule="auto"/>
        <w:rPr>
          <w:b/>
          <w:sz w:val="22"/>
          <w:lang w:val="bg-BG"/>
        </w:rPr>
      </w:pPr>
      <w:r w:rsidRPr="00C53587">
        <w:rPr>
          <w:b/>
          <w:sz w:val="22"/>
          <w:lang w:val="bg-BG"/>
        </w:rPr>
        <w:t>Таблица 14</w:t>
      </w:r>
    </w:p>
    <w:p w:rsidR="00293ED4" w:rsidRPr="00C53587" w:rsidRDefault="00293ED4" w:rsidP="00C53587">
      <w:pPr>
        <w:spacing w:after="0" w:line="288" w:lineRule="auto"/>
        <w:rPr>
          <w:b/>
          <w:sz w:val="22"/>
          <w:lang w:val="bg-BG"/>
        </w:rPr>
      </w:pPr>
      <w:r w:rsidRPr="00C53587">
        <w:rPr>
          <w:b/>
          <w:sz w:val="22"/>
          <w:lang w:val="bg-BG"/>
        </w:rPr>
        <w:t>Разпределение на анкетираните стопанства по производствено направление</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gridCol w:w="1042"/>
      </w:tblGrid>
      <w:tr w:rsidR="00BE4031" w:rsidRPr="00EA7BE6" w:rsidTr="004929A4">
        <w:trPr>
          <w:trHeight w:val="280"/>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Зеленчукопроизводство</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12%</w:t>
            </w:r>
          </w:p>
        </w:tc>
      </w:tr>
      <w:tr w:rsidR="00BE4031" w:rsidRPr="00EA7BE6" w:rsidTr="004929A4">
        <w:trPr>
          <w:trHeight w:val="280"/>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proofErr w:type="spellStart"/>
            <w:r w:rsidRPr="00C53587">
              <w:rPr>
                <w:rFonts w:eastAsia="Calibri"/>
                <w:sz w:val="22"/>
                <w:szCs w:val="24"/>
                <w:lang w:val="bg-BG"/>
              </w:rPr>
              <w:t>Фуражопроизводство</w:t>
            </w:r>
            <w:proofErr w:type="spellEnd"/>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2%</w:t>
            </w:r>
          </w:p>
        </w:tc>
      </w:tr>
      <w:tr w:rsidR="00BE4031" w:rsidRPr="00EA7BE6" w:rsidTr="004929A4">
        <w:trPr>
          <w:trHeight w:val="280"/>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Производител на зърнено-житни култури</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51%</w:t>
            </w:r>
          </w:p>
        </w:tc>
      </w:tr>
      <w:tr w:rsidR="00BE4031" w:rsidRPr="00EA7BE6" w:rsidTr="004929A4">
        <w:trPr>
          <w:trHeight w:val="291"/>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Производител на зърнено-бобови култури</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7%</w:t>
            </w:r>
          </w:p>
        </w:tc>
      </w:tr>
      <w:tr w:rsidR="00BE4031" w:rsidRPr="00EA7BE6" w:rsidTr="004929A4">
        <w:trPr>
          <w:trHeight w:val="561"/>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Производител на технически култури, в т.ч. кореноплодни, влакнодайни, маслодайни и др.</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6%</w:t>
            </w:r>
          </w:p>
        </w:tc>
      </w:tr>
      <w:tr w:rsidR="00BE4031" w:rsidRPr="00EA7BE6" w:rsidTr="004929A4">
        <w:trPr>
          <w:trHeight w:val="280"/>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Производител на етерично-маслени култури</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4%</w:t>
            </w:r>
          </w:p>
        </w:tc>
      </w:tr>
      <w:tr w:rsidR="00BE4031" w:rsidRPr="00EA7BE6" w:rsidTr="004929A4">
        <w:trPr>
          <w:trHeight w:val="280"/>
        </w:trPr>
        <w:tc>
          <w:tcPr>
            <w:tcW w:w="9037" w:type="dxa"/>
            <w:shd w:val="clear" w:color="auto" w:fill="auto"/>
          </w:tcPr>
          <w:p w:rsidR="00BE4031" w:rsidRPr="00C53587" w:rsidRDefault="00BE4031">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Овощарство</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8%</w:t>
            </w:r>
          </w:p>
        </w:tc>
      </w:tr>
      <w:tr w:rsidR="00BE4031" w:rsidRPr="00EA7BE6" w:rsidTr="004929A4">
        <w:trPr>
          <w:trHeight w:val="291"/>
        </w:trPr>
        <w:tc>
          <w:tcPr>
            <w:tcW w:w="9037" w:type="dxa"/>
            <w:shd w:val="clear" w:color="auto" w:fill="auto"/>
          </w:tcPr>
          <w:p w:rsidR="00BE4031" w:rsidRPr="00C53587" w:rsidRDefault="00BE4031" w:rsidP="00AA7853">
            <w:pPr>
              <w:numPr>
                <w:ilvl w:val="0"/>
                <w:numId w:val="20"/>
              </w:numPr>
              <w:overflowPunct w:val="0"/>
              <w:autoSpaceDE w:val="0"/>
              <w:autoSpaceDN w:val="0"/>
              <w:adjustRightInd w:val="0"/>
              <w:spacing w:after="0" w:line="240" w:lineRule="auto"/>
              <w:ind w:left="426" w:hanging="284"/>
              <w:contextualSpacing/>
              <w:jc w:val="left"/>
              <w:textAlignment w:val="baseline"/>
              <w:rPr>
                <w:rFonts w:eastAsia="Calibri"/>
                <w:sz w:val="22"/>
                <w:szCs w:val="24"/>
                <w:lang w:val="bg-BG"/>
              </w:rPr>
            </w:pPr>
            <w:r w:rsidRPr="00C53587">
              <w:rPr>
                <w:rFonts w:eastAsia="Calibri"/>
                <w:sz w:val="22"/>
                <w:szCs w:val="24"/>
                <w:lang w:val="bg-BG"/>
              </w:rPr>
              <w:t>Лозарство</w:t>
            </w:r>
          </w:p>
        </w:tc>
        <w:tc>
          <w:tcPr>
            <w:tcW w:w="1042" w:type="dxa"/>
            <w:shd w:val="clear" w:color="auto" w:fill="auto"/>
            <w:vAlign w:val="bottom"/>
          </w:tcPr>
          <w:p w:rsidR="00BE4031" w:rsidRPr="00EA7BE6" w:rsidRDefault="00BE4031" w:rsidP="004929A4">
            <w:pPr>
              <w:overflowPunct w:val="0"/>
              <w:autoSpaceDE w:val="0"/>
              <w:autoSpaceDN w:val="0"/>
              <w:adjustRightInd w:val="0"/>
              <w:spacing w:after="0" w:line="240" w:lineRule="auto"/>
              <w:jc w:val="right"/>
              <w:textAlignment w:val="baseline"/>
              <w:rPr>
                <w:rFonts w:eastAsia="Times New Roman"/>
                <w:b/>
                <w:bCs/>
                <w:color w:val="000000"/>
                <w:sz w:val="22"/>
              </w:rPr>
            </w:pPr>
            <w:r w:rsidRPr="00EA7BE6">
              <w:rPr>
                <w:rFonts w:eastAsia="Times New Roman"/>
                <w:b/>
                <w:bCs/>
                <w:color w:val="000000"/>
                <w:sz w:val="22"/>
              </w:rPr>
              <w:t>10%</w:t>
            </w:r>
          </w:p>
        </w:tc>
      </w:tr>
    </w:tbl>
    <w:p w:rsidR="00293ED4" w:rsidRDefault="00293ED4" w:rsidP="00BE4031">
      <w:pPr>
        <w:spacing w:after="120"/>
        <w:rPr>
          <w:sz w:val="22"/>
          <w:lang w:val="bg-BG"/>
        </w:rPr>
      </w:pPr>
    </w:p>
    <w:p w:rsidR="00BE4031" w:rsidRPr="00EA7BE6" w:rsidRDefault="00BE4031" w:rsidP="00BE4031">
      <w:pPr>
        <w:spacing w:after="120"/>
        <w:rPr>
          <w:sz w:val="22"/>
          <w:lang w:val="bg-BG"/>
        </w:rPr>
      </w:pPr>
      <w:r w:rsidRPr="00EA7BE6">
        <w:rPr>
          <w:sz w:val="22"/>
          <w:lang w:val="bg-BG"/>
        </w:rPr>
        <w:t xml:space="preserve">От проучването е установено, че 93% от анкетираните считат, че е необходимо да бъде увеличен обхвата на защитаваната от неблагоприятни климатични събития, в частност противоградова защита, територия на страната. Същият процент подкрепя идеята за създаването на закон, който да регламентира осигуряването на действия по превенция срещу градушки. Повече от половината от анкетираните смятат за необходимо въвеждането на споделено финансово участие на земеделските стопани при осигуряването на необходимия финансов ресурс за адекватна превенция на територията на цялата страна. Според 84% е необходимо застрахователните компании също да вземат участие във финансирането на противоградовата защита, като считат (66% от анкетираните), че съществуващите в момента застрахователни услуги не са достатъчно полезни за земеделието. </w:t>
      </w:r>
    </w:p>
    <w:p w:rsidR="00BE4031" w:rsidRPr="00EA7BE6" w:rsidRDefault="00BE4031" w:rsidP="00BE4031">
      <w:pPr>
        <w:spacing w:after="120"/>
        <w:rPr>
          <w:sz w:val="22"/>
          <w:lang w:val="bg-BG"/>
        </w:rPr>
      </w:pPr>
      <w:r w:rsidRPr="00EA7BE6">
        <w:rPr>
          <w:sz w:val="22"/>
          <w:lang w:val="bg-BG"/>
        </w:rPr>
        <w:t xml:space="preserve">За по-голяма яснота и пълнота на извършения „МСП-тест“ към настоящата цялостна предварителна оценка на въздействието е приложена обобщена информация за отговорите на анкетираните земеделски стопанства.  </w:t>
      </w:r>
    </w:p>
    <w:p w:rsidR="00BE4031" w:rsidRPr="00EA7BE6" w:rsidRDefault="00BE4031" w:rsidP="00BE4031">
      <w:pPr>
        <w:pStyle w:val="Heading1"/>
        <w:spacing w:after="120"/>
        <w:rPr>
          <w:rFonts w:cs="Times New Roman"/>
          <w:sz w:val="22"/>
          <w:szCs w:val="22"/>
          <w:lang w:val="bg-BG"/>
        </w:rPr>
      </w:pPr>
      <w:bookmarkStart w:id="37" w:name="_Toc496709973"/>
      <w:r w:rsidRPr="00EA7BE6">
        <w:rPr>
          <w:rFonts w:cs="Times New Roman"/>
          <w:sz w:val="22"/>
          <w:szCs w:val="22"/>
          <w:lang w:val="bg-BG"/>
        </w:rPr>
        <w:t>XI</w:t>
      </w:r>
      <w:r w:rsidRPr="00EA7BE6">
        <w:rPr>
          <w:rFonts w:cs="Times New Roman"/>
          <w:sz w:val="22"/>
          <w:szCs w:val="22"/>
        </w:rPr>
        <w:t>V</w:t>
      </w:r>
      <w:r w:rsidRPr="00EA7BE6">
        <w:rPr>
          <w:rFonts w:cs="Times New Roman"/>
          <w:sz w:val="22"/>
          <w:szCs w:val="22"/>
          <w:lang w:val="bg-BG"/>
        </w:rPr>
        <w:t>. Препоръчителен срок за извършване на последващата оценка на въздействието</w:t>
      </w:r>
      <w:bookmarkEnd w:id="37"/>
    </w:p>
    <w:p w:rsidR="00BE4031" w:rsidRPr="00EA7BE6" w:rsidRDefault="00BE4031" w:rsidP="00BE4031">
      <w:pPr>
        <w:spacing w:after="120"/>
        <w:rPr>
          <w:sz w:val="22"/>
          <w:lang w:val="bg-BG"/>
        </w:rPr>
      </w:pPr>
      <w:r w:rsidRPr="00EA7BE6">
        <w:rPr>
          <w:sz w:val="22"/>
          <w:lang w:val="bg-BG"/>
        </w:rPr>
        <w:t xml:space="preserve">Препоръчва се последващата оценка на въздействието на новия Закон за превенция от неблагоприятни климатични събития в земеделието, която да провери съотношението между поставените цели и </w:t>
      </w:r>
      <w:r w:rsidRPr="00EA7BE6">
        <w:rPr>
          <w:sz w:val="22"/>
          <w:lang w:val="bg-BG"/>
        </w:rPr>
        <w:lastRenderedPageBreak/>
        <w:t xml:space="preserve">постигнатите резултати от прилагането на нормативния акт да бъде извършена в срок до 5 години от влизането му в сила. </w:t>
      </w:r>
    </w:p>
    <w:p w:rsidR="00BE4031" w:rsidRPr="00EA7BE6" w:rsidRDefault="00BE4031" w:rsidP="00BE4031">
      <w:pPr>
        <w:spacing w:after="120"/>
        <w:rPr>
          <w:sz w:val="22"/>
          <w:lang w:val="bg-BG"/>
        </w:rPr>
      </w:pPr>
      <w:proofErr w:type="spellStart"/>
      <w:r w:rsidRPr="00EA7BE6">
        <w:rPr>
          <w:sz w:val="22"/>
          <w:lang w:val="bg-BG"/>
        </w:rPr>
        <w:t>Последващата</w:t>
      </w:r>
      <w:proofErr w:type="spellEnd"/>
      <w:r w:rsidRPr="00EA7BE6">
        <w:rPr>
          <w:sz w:val="22"/>
          <w:lang w:val="bg-BG"/>
        </w:rPr>
        <w:t xml:space="preserve"> оценка на въздействието следва да бъде извършена съвместно от органите, натоварени с компетентностите по изпълнение на закона или от органът, който традиционно предлага промени в него.</w:t>
      </w:r>
    </w:p>
    <w:p w:rsidR="00BE4031" w:rsidRPr="00EA7BE6" w:rsidRDefault="00BE4031" w:rsidP="00BE4031">
      <w:pPr>
        <w:spacing w:after="480"/>
        <w:rPr>
          <w:sz w:val="22"/>
          <w:lang w:val="bg-BG"/>
        </w:rPr>
      </w:pPr>
      <w:r w:rsidRPr="00EA7BE6">
        <w:rPr>
          <w:sz w:val="22"/>
          <w:lang w:val="bg-BG"/>
        </w:rPr>
        <w:t>Органът, отговорен за извършването на последваща оценка на въздействието, следва да осигури нейната публичност по подходящ начин, като задължително я публикува на интернет страницата на администрацията, която го подпомага, и на Портала за обществени консултации в срок до 30 дни от извършването й. Извършената последваща оценка на въздействието следва да бъде изпратена в администрацията на Министерски</w:t>
      </w:r>
      <w:r>
        <w:rPr>
          <w:sz w:val="22"/>
          <w:lang w:val="bg-BG"/>
        </w:rPr>
        <w:t>я</w:t>
      </w:r>
      <w:r w:rsidRPr="00EA7BE6">
        <w:rPr>
          <w:sz w:val="22"/>
          <w:lang w:val="bg-BG"/>
        </w:rPr>
        <w:t xml:space="preserve"> съвет за публикуването ѝ на Портала за обществени консултации.</w:t>
      </w:r>
    </w:p>
    <w:p w:rsidR="00BE4031" w:rsidRPr="00C53587" w:rsidRDefault="00BE4031" w:rsidP="00BE4031">
      <w:pPr>
        <w:widowControl w:val="0"/>
        <w:autoSpaceDE w:val="0"/>
        <w:autoSpaceDN w:val="0"/>
        <w:adjustRightInd w:val="0"/>
        <w:spacing w:after="0" w:line="288" w:lineRule="auto"/>
        <w:rPr>
          <w:i/>
          <w:sz w:val="22"/>
          <w:lang w:val="ru-RU"/>
        </w:rPr>
      </w:pPr>
    </w:p>
    <w:p w:rsidR="00BE4031" w:rsidRPr="00EA7BE6" w:rsidRDefault="00BE4031" w:rsidP="00BE4031">
      <w:pPr>
        <w:widowControl w:val="0"/>
        <w:autoSpaceDE w:val="0"/>
        <w:autoSpaceDN w:val="0"/>
        <w:adjustRightInd w:val="0"/>
        <w:spacing w:after="0" w:line="288" w:lineRule="auto"/>
        <w:rPr>
          <w:i/>
          <w:sz w:val="22"/>
          <w:lang w:val="bg-BG"/>
        </w:rPr>
      </w:pPr>
      <w:r w:rsidRPr="00EA7BE6">
        <w:rPr>
          <w:i/>
          <w:sz w:val="22"/>
          <w:lang w:val="bg-BG"/>
        </w:rPr>
        <w:t>Приложения:</w:t>
      </w:r>
    </w:p>
    <w:p w:rsidR="00BE4031" w:rsidRPr="00EA7BE6" w:rsidRDefault="00BE4031" w:rsidP="00BE4031">
      <w:pPr>
        <w:widowControl w:val="0"/>
        <w:autoSpaceDE w:val="0"/>
        <w:autoSpaceDN w:val="0"/>
        <w:adjustRightInd w:val="0"/>
        <w:spacing w:after="0" w:line="288" w:lineRule="auto"/>
        <w:rPr>
          <w:i/>
          <w:sz w:val="22"/>
          <w:lang w:val="bg-BG"/>
        </w:rPr>
      </w:pPr>
    </w:p>
    <w:p w:rsidR="00BE4031" w:rsidRPr="00EA7BE6" w:rsidRDefault="00BE4031" w:rsidP="00BE4031">
      <w:pPr>
        <w:pStyle w:val="ListParagraph"/>
        <w:widowControl w:val="0"/>
        <w:numPr>
          <w:ilvl w:val="0"/>
          <w:numId w:val="6"/>
        </w:numPr>
        <w:autoSpaceDE w:val="0"/>
        <w:autoSpaceDN w:val="0"/>
        <w:adjustRightInd w:val="0"/>
        <w:spacing w:after="0" w:line="288" w:lineRule="auto"/>
        <w:rPr>
          <w:i/>
          <w:sz w:val="22"/>
          <w:lang w:val="bg-BG"/>
        </w:rPr>
      </w:pPr>
      <w:r w:rsidRPr="00EA7BE6">
        <w:rPr>
          <w:i/>
          <w:sz w:val="22"/>
          <w:lang w:val="bg-BG"/>
        </w:rPr>
        <w:t>Резюме на цялостната предварителна оценка на въздействието;</w:t>
      </w:r>
    </w:p>
    <w:p w:rsidR="00BE4031" w:rsidRDefault="00BE4031" w:rsidP="00BE4031">
      <w:pPr>
        <w:pStyle w:val="ListParagraph"/>
        <w:widowControl w:val="0"/>
        <w:numPr>
          <w:ilvl w:val="0"/>
          <w:numId w:val="6"/>
        </w:numPr>
        <w:autoSpaceDE w:val="0"/>
        <w:autoSpaceDN w:val="0"/>
        <w:adjustRightInd w:val="0"/>
        <w:spacing w:after="0" w:line="288" w:lineRule="auto"/>
        <w:rPr>
          <w:i/>
          <w:sz w:val="22"/>
          <w:lang w:val="bg-BG"/>
        </w:rPr>
      </w:pPr>
      <w:r w:rsidRPr="00EA7BE6">
        <w:rPr>
          <w:i/>
          <w:sz w:val="22"/>
          <w:lang w:val="bg-BG"/>
        </w:rPr>
        <w:t>Консултационен документ за оценка на въздействието на законопроекта;</w:t>
      </w:r>
    </w:p>
    <w:p w:rsidR="00BE4031" w:rsidRPr="00EA7BE6" w:rsidRDefault="00BE4031" w:rsidP="00BE4031">
      <w:pPr>
        <w:pStyle w:val="ListParagraph"/>
        <w:widowControl w:val="0"/>
        <w:numPr>
          <w:ilvl w:val="0"/>
          <w:numId w:val="6"/>
        </w:numPr>
        <w:autoSpaceDE w:val="0"/>
        <w:autoSpaceDN w:val="0"/>
        <w:adjustRightInd w:val="0"/>
        <w:spacing w:after="0" w:line="288" w:lineRule="auto"/>
        <w:rPr>
          <w:i/>
          <w:sz w:val="22"/>
          <w:lang w:val="bg-BG"/>
        </w:rPr>
      </w:pPr>
      <w:r>
        <w:rPr>
          <w:i/>
          <w:sz w:val="22"/>
          <w:lang w:val="bg-BG"/>
        </w:rPr>
        <w:t>Справка за постъпилите становища, мнения и предложения от заинтересованите страни;</w:t>
      </w:r>
    </w:p>
    <w:p w:rsidR="00BE4031" w:rsidRPr="00EA7BE6" w:rsidRDefault="00BE4031" w:rsidP="00BE4031">
      <w:pPr>
        <w:pStyle w:val="ListParagraph"/>
        <w:widowControl w:val="0"/>
        <w:numPr>
          <w:ilvl w:val="0"/>
          <w:numId w:val="6"/>
        </w:numPr>
        <w:autoSpaceDE w:val="0"/>
        <w:autoSpaceDN w:val="0"/>
        <w:adjustRightInd w:val="0"/>
        <w:spacing w:after="0" w:line="288" w:lineRule="auto"/>
        <w:rPr>
          <w:i/>
          <w:sz w:val="22"/>
          <w:lang w:val="bg-BG"/>
        </w:rPr>
      </w:pPr>
      <w:r>
        <w:rPr>
          <w:i/>
          <w:sz w:val="22"/>
          <w:lang w:val="bg-BG"/>
        </w:rPr>
        <w:t>Обобщена информация за отговорите на анкетираните земеделски стопани МСП.</w:t>
      </w:r>
    </w:p>
    <w:p w:rsidR="00BE4031" w:rsidRPr="00A3491F" w:rsidRDefault="00BE4031" w:rsidP="00BE4031">
      <w:pPr>
        <w:pStyle w:val="ListParagraph"/>
        <w:widowControl w:val="0"/>
        <w:autoSpaceDE w:val="0"/>
        <w:autoSpaceDN w:val="0"/>
        <w:adjustRightInd w:val="0"/>
        <w:spacing w:after="0" w:line="288" w:lineRule="auto"/>
        <w:rPr>
          <w:i/>
          <w:sz w:val="22"/>
          <w:lang w:val="bg-BG"/>
        </w:rPr>
      </w:pPr>
    </w:p>
    <w:p w:rsidR="00BE4031" w:rsidRPr="00A3491F" w:rsidRDefault="00BE4031" w:rsidP="00BE4031">
      <w:pPr>
        <w:spacing w:before="120" w:after="120" w:line="240" w:lineRule="auto"/>
        <w:rPr>
          <w:rFonts w:eastAsia="Times New Roman"/>
          <w:b/>
          <w:sz w:val="22"/>
          <w:lang w:val="bg-BG"/>
        </w:rPr>
      </w:pPr>
    </w:p>
    <w:p w:rsidR="00BE4031" w:rsidRPr="00A3491F" w:rsidRDefault="00BE4031" w:rsidP="00BE4031">
      <w:pPr>
        <w:spacing w:before="120" w:after="120" w:line="240" w:lineRule="auto"/>
        <w:rPr>
          <w:rFonts w:eastAsia="Times New Roman"/>
          <w:b/>
          <w:sz w:val="22"/>
          <w:lang w:val="bg-BG"/>
        </w:rPr>
      </w:pPr>
      <w:r w:rsidRPr="00A3491F">
        <w:rPr>
          <w:rFonts w:eastAsia="Times New Roman"/>
          <w:b/>
          <w:sz w:val="22"/>
          <w:lang w:val="bg-BG"/>
        </w:rPr>
        <w:t>Изготвил:</w:t>
      </w:r>
    </w:p>
    <w:p w:rsidR="00BE4031" w:rsidRPr="00A3491F" w:rsidRDefault="00BE4031" w:rsidP="00BE4031">
      <w:pPr>
        <w:spacing w:before="120" w:after="120" w:line="240" w:lineRule="auto"/>
        <w:rPr>
          <w:rFonts w:eastAsia="Times New Roman"/>
          <w:sz w:val="22"/>
          <w:lang w:val="bg-BG"/>
        </w:rPr>
      </w:pPr>
    </w:p>
    <w:p w:rsidR="00BE4031" w:rsidRPr="00A3491F" w:rsidRDefault="00BE4031" w:rsidP="00BE4031">
      <w:pPr>
        <w:pStyle w:val="ListParagraph"/>
        <w:widowControl w:val="0"/>
        <w:autoSpaceDE w:val="0"/>
        <w:autoSpaceDN w:val="0"/>
        <w:adjustRightInd w:val="0"/>
        <w:spacing w:after="0" w:line="288" w:lineRule="auto"/>
        <w:ind w:left="0"/>
        <w:rPr>
          <w:b/>
          <w:bCs/>
          <w:sz w:val="22"/>
          <w:lang w:val="bg-BG"/>
        </w:rPr>
      </w:pPr>
      <w:r>
        <w:rPr>
          <w:b/>
          <w:bCs/>
          <w:sz w:val="22"/>
          <w:lang w:val="bg-BG"/>
        </w:rPr>
        <w:t>Ася Стоянова</w:t>
      </w:r>
    </w:p>
    <w:p w:rsidR="00BE4031" w:rsidRPr="00A3491F" w:rsidRDefault="00BE4031" w:rsidP="00BE4031">
      <w:pPr>
        <w:pStyle w:val="ListParagraph"/>
        <w:widowControl w:val="0"/>
        <w:autoSpaceDE w:val="0"/>
        <w:autoSpaceDN w:val="0"/>
        <w:adjustRightInd w:val="0"/>
        <w:spacing w:after="0" w:line="288" w:lineRule="auto"/>
        <w:ind w:firstLine="720"/>
        <w:rPr>
          <w:bCs/>
          <w:sz w:val="22"/>
          <w:lang w:val="bg-BG"/>
        </w:rPr>
      </w:pPr>
      <w:r w:rsidRPr="00A3491F">
        <w:rPr>
          <w:bCs/>
          <w:sz w:val="22"/>
          <w:lang w:val="bg-BG"/>
        </w:rPr>
        <w:t xml:space="preserve">Директор на Дирекция </w:t>
      </w:r>
      <w:r>
        <w:rPr>
          <w:bCs/>
          <w:sz w:val="22"/>
          <w:lang w:val="bg-BG"/>
        </w:rPr>
        <w:t>„Правна</w:t>
      </w:r>
      <w:r w:rsidRPr="00A3491F">
        <w:rPr>
          <w:bCs/>
          <w:sz w:val="22"/>
          <w:lang w:val="bg-BG"/>
        </w:rPr>
        <w:t xml:space="preserve">“ </w:t>
      </w:r>
    </w:p>
    <w:p w:rsidR="00BE4031" w:rsidRDefault="00BE4031" w:rsidP="00A911AA">
      <w:pPr>
        <w:pStyle w:val="ListParagraph"/>
        <w:widowControl w:val="0"/>
        <w:autoSpaceDE w:val="0"/>
        <w:autoSpaceDN w:val="0"/>
        <w:adjustRightInd w:val="0"/>
        <w:spacing w:after="0" w:line="288" w:lineRule="auto"/>
        <w:ind w:firstLine="720"/>
        <w:rPr>
          <w:rFonts w:eastAsia="Times New Roman"/>
          <w:bCs/>
          <w:iCs/>
          <w:sz w:val="22"/>
          <w:lang w:val="bg-BG"/>
        </w:rPr>
      </w:pPr>
      <w:r w:rsidRPr="00A3491F">
        <w:rPr>
          <w:bCs/>
          <w:sz w:val="22"/>
          <w:lang w:val="bg-BG"/>
        </w:rPr>
        <w:t>към Министерство на земеделието, храните и горите</w:t>
      </w:r>
    </w:p>
    <w:sectPr w:rsidR="00BE4031" w:rsidSect="00756345">
      <w:footerReference w:type="default" r:id="rId15"/>
      <w:pgSz w:w="12240" w:h="15840" w:code="1"/>
      <w:pgMar w:top="851"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3E" w:rsidRDefault="0074083E" w:rsidP="00131C5A">
      <w:pPr>
        <w:spacing w:after="0" w:line="240" w:lineRule="auto"/>
      </w:pPr>
      <w:r>
        <w:separator/>
      </w:r>
    </w:p>
  </w:endnote>
  <w:endnote w:type="continuationSeparator" w:id="0">
    <w:p w:rsidR="0074083E" w:rsidRDefault="0074083E" w:rsidP="001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6600"/>
      <w:docPartObj>
        <w:docPartGallery w:val="Page Numbers (Bottom of Page)"/>
        <w:docPartUnique/>
      </w:docPartObj>
    </w:sdtPr>
    <w:sdtEndPr>
      <w:rPr>
        <w:noProof/>
      </w:rPr>
    </w:sdtEndPr>
    <w:sdtContent>
      <w:p w:rsidR="00D86BFF" w:rsidRPr="00AA681D" w:rsidRDefault="00D86BFF" w:rsidP="00AA681D">
        <w:pPr>
          <w:pStyle w:val="Footer"/>
          <w:jc w:val="right"/>
        </w:pPr>
        <w:r>
          <w:fldChar w:fldCharType="begin"/>
        </w:r>
        <w:r>
          <w:instrText xml:space="preserve"> PAGE   \* MERGEFORMAT </w:instrText>
        </w:r>
        <w:r>
          <w:fldChar w:fldCharType="separate"/>
        </w:r>
        <w:r w:rsidR="00C53587">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3E" w:rsidRDefault="0074083E" w:rsidP="00131C5A">
      <w:pPr>
        <w:spacing w:after="0" w:line="240" w:lineRule="auto"/>
      </w:pPr>
      <w:r>
        <w:separator/>
      </w:r>
    </w:p>
  </w:footnote>
  <w:footnote w:type="continuationSeparator" w:id="0">
    <w:p w:rsidR="0074083E" w:rsidRDefault="0074083E" w:rsidP="0013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5E1"/>
    <w:multiLevelType w:val="hybridMultilevel"/>
    <w:tmpl w:val="0B7861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FC5864"/>
    <w:multiLevelType w:val="hybridMultilevel"/>
    <w:tmpl w:val="919A29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0C7152"/>
    <w:multiLevelType w:val="hybridMultilevel"/>
    <w:tmpl w:val="BE62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55C2E"/>
    <w:multiLevelType w:val="hybridMultilevel"/>
    <w:tmpl w:val="172A0C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246443D4"/>
    <w:multiLevelType w:val="hybridMultilevel"/>
    <w:tmpl w:val="344A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41D8D"/>
    <w:multiLevelType w:val="hybridMultilevel"/>
    <w:tmpl w:val="344A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D1269"/>
    <w:multiLevelType w:val="hybridMultilevel"/>
    <w:tmpl w:val="01AA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E10D2"/>
    <w:multiLevelType w:val="hybridMultilevel"/>
    <w:tmpl w:val="07FE1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907C5C"/>
    <w:multiLevelType w:val="hybridMultilevel"/>
    <w:tmpl w:val="1FCC39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BDF2AD5"/>
    <w:multiLevelType w:val="hybridMultilevel"/>
    <w:tmpl w:val="0456BD88"/>
    <w:lvl w:ilvl="0" w:tplc="BCC8C722">
      <w:numFmt w:val="bullet"/>
      <w:lvlText w:val="•"/>
      <w:lvlJc w:val="left"/>
      <w:pPr>
        <w:ind w:left="1080" w:hanging="360"/>
      </w:pPr>
      <w:rPr>
        <w:rFonts w:ascii="Times New Roman" w:eastAsiaTheme="minorEastAs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3C91347F"/>
    <w:multiLevelType w:val="hybridMultilevel"/>
    <w:tmpl w:val="43D6F558"/>
    <w:lvl w:ilvl="0" w:tplc="B742D7E6">
      <w:start w:val="1"/>
      <w:numFmt w:val="bullet"/>
      <w:lvlText w:val=""/>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0622358"/>
    <w:multiLevelType w:val="hybridMultilevel"/>
    <w:tmpl w:val="344A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D5690"/>
    <w:multiLevelType w:val="hybridMultilevel"/>
    <w:tmpl w:val="0CEC3E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4CBE4BF4"/>
    <w:multiLevelType w:val="hybridMultilevel"/>
    <w:tmpl w:val="13449D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D4C1124"/>
    <w:multiLevelType w:val="multilevel"/>
    <w:tmpl w:val="662AE9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C046E9"/>
    <w:multiLevelType w:val="hybridMultilevel"/>
    <w:tmpl w:val="C2A4C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4F32D18"/>
    <w:multiLevelType w:val="hybridMultilevel"/>
    <w:tmpl w:val="65BA04E0"/>
    <w:lvl w:ilvl="0" w:tplc="12D4BC76">
      <w:numFmt w:val="bullet"/>
      <w:lvlText w:val="-"/>
      <w:lvlJc w:val="left"/>
      <w:pPr>
        <w:ind w:left="720" w:hanging="360"/>
      </w:pPr>
      <w:rPr>
        <w:rFonts w:ascii="Arial Narrow" w:eastAsia="Times New Roman" w:hAnsi="Arial Narrow"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CDB75A7"/>
    <w:multiLevelType w:val="hybridMultilevel"/>
    <w:tmpl w:val="D7602B3E"/>
    <w:lvl w:ilvl="0" w:tplc="12D4BC76">
      <w:numFmt w:val="bullet"/>
      <w:lvlText w:val="-"/>
      <w:lvlJc w:val="left"/>
      <w:pPr>
        <w:ind w:left="1068" w:hanging="360"/>
      </w:pPr>
      <w:rPr>
        <w:rFonts w:ascii="Arial Narrow" w:eastAsia="Times New Roman" w:hAnsi="Arial Narrow" w:cs="Times New Roman" w:hint="default"/>
        <w:sz w:val="22"/>
        <w:szCs w:val="22"/>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E7B6ECC"/>
    <w:multiLevelType w:val="hybridMultilevel"/>
    <w:tmpl w:val="344A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16858"/>
    <w:multiLevelType w:val="hybridMultilevel"/>
    <w:tmpl w:val="E08CF510"/>
    <w:lvl w:ilvl="0" w:tplc="04020011">
      <w:start w:val="1"/>
      <w:numFmt w:val="decimal"/>
      <w:lvlText w:val="%1)"/>
      <w:lvlJc w:val="left"/>
      <w:pPr>
        <w:ind w:left="36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DA23D37"/>
    <w:multiLevelType w:val="hybridMultilevel"/>
    <w:tmpl w:val="68D2DDF4"/>
    <w:lvl w:ilvl="0" w:tplc="12D4BC76">
      <w:numFmt w:val="bullet"/>
      <w:lvlText w:val="-"/>
      <w:lvlJc w:val="left"/>
      <w:pPr>
        <w:ind w:left="1428" w:hanging="360"/>
      </w:pPr>
      <w:rPr>
        <w:rFonts w:ascii="Arial Narrow" w:eastAsia="Times New Roman" w:hAnsi="Arial Narrow" w:cs="Times New Roman" w:hint="default"/>
        <w:sz w:val="22"/>
        <w:szCs w:val="22"/>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7A9E5B63"/>
    <w:multiLevelType w:val="hybridMultilevel"/>
    <w:tmpl w:val="6E7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14"/>
  </w:num>
  <w:num w:numId="5">
    <w:abstractNumId w:val="13"/>
  </w:num>
  <w:num w:numId="6">
    <w:abstractNumId w:val="1"/>
  </w:num>
  <w:num w:numId="7">
    <w:abstractNumId w:val="3"/>
  </w:num>
  <w:num w:numId="8">
    <w:abstractNumId w:val="20"/>
  </w:num>
  <w:num w:numId="9">
    <w:abstractNumId w:val="12"/>
  </w:num>
  <w:num w:numId="10">
    <w:abstractNumId w:val="17"/>
  </w:num>
  <w:num w:numId="11">
    <w:abstractNumId w:val="15"/>
  </w:num>
  <w:num w:numId="12">
    <w:abstractNumId w:val="6"/>
  </w:num>
  <w:num w:numId="13">
    <w:abstractNumId w:val="2"/>
  </w:num>
  <w:num w:numId="14">
    <w:abstractNumId w:val="11"/>
  </w:num>
  <w:num w:numId="15">
    <w:abstractNumId w:val="18"/>
  </w:num>
  <w:num w:numId="16">
    <w:abstractNumId w:val="4"/>
  </w:num>
  <w:num w:numId="17">
    <w:abstractNumId w:val="5"/>
  </w:num>
  <w:num w:numId="18">
    <w:abstractNumId w:val="16"/>
  </w:num>
  <w:num w:numId="19">
    <w:abstractNumId w:val="7"/>
  </w:num>
  <w:num w:numId="20">
    <w:abstractNumId w:val="19"/>
  </w:num>
  <w:num w:numId="21">
    <w:abstractNumId w:val="10"/>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0"/>
    <w:rsid w:val="000028B9"/>
    <w:rsid w:val="00004401"/>
    <w:rsid w:val="00004B4F"/>
    <w:rsid w:val="000059C6"/>
    <w:rsid w:val="0000680D"/>
    <w:rsid w:val="00010AAE"/>
    <w:rsid w:val="00012DDA"/>
    <w:rsid w:val="000179EC"/>
    <w:rsid w:val="00023FD4"/>
    <w:rsid w:val="00027869"/>
    <w:rsid w:val="000349E5"/>
    <w:rsid w:val="0003661E"/>
    <w:rsid w:val="00042D08"/>
    <w:rsid w:val="00043909"/>
    <w:rsid w:val="00045583"/>
    <w:rsid w:val="000515FA"/>
    <w:rsid w:val="000548B7"/>
    <w:rsid w:val="00054931"/>
    <w:rsid w:val="000615AF"/>
    <w:rsid w:val="00061BD0"/>
    <w:rsid w:val="00064C2C"/>
    <w:rsid w:val="00064E22"/>
    <w:rsid w:val="0006745B"/>
    <w:rsid w:val="00075DFF"/>
    <w:rsid w:val="00077C27"/>
    <w:rsid w:val="000859CF"/>
    <w:rsid w:val="00090203"/>
    <w:rsid w:val="00091E4C"/>
    <w:rsid w:val="00096796"/>
    <w:rsid w:val="000A0845"/>
    <w:rsid w:val="000A3FA7"/>
    <w:rsid w:val="000A4423"/>
    <w:rsid w:val="000A7A15"/>
    <w:rsid w:val="000B00C6"/>
    <w:rsid w:val="000B02D6"/>
    <w:rsid w:val="000B051A"/>
    <w:rsid w:val="000B0D30"/>
    <w:rsid w:val="000B131E"/>
    <w:rsid w:val="000B134B"/>
    <w:rsid w:val="000B1398"/>
    <w:rsid w:val="000B367C"/>
    <w:rsid w:val="000B40B0"/>
    <w:rsid w:val="000B5086"/>
    <w:rsid w:val="000B5BBE"/>
    <w:rsid w:val="000C4310"/>
    <w:rsid w:val="000C4368"/>
    <w:rsid w:val="000D1788"/>
    <w:rsid w:val="000D4D63"/>
    <w:rsid w:val="000E0AA0"/>
    <w:rsid w:val="000F01CF"/>
    <w:rsid w:val="000F1168"/>
    <w:rsid w:val="000F2C26"/>
    <w:rsid w:val="000F5B7D"/>
    <w:rsid w:val="000F5EEE"/>
    <w:rsid w:val="00100C09"/>
    <w:rsid w:val="001021BA"/>
    <w:rsid w:val="00105A09"/>
    <w:rsid w:val="00106EE5"/>
    <w:rsid w:val="0011133E"/>
    <w:rsid w:val="00111D67"/>
    <w:rsid w:val="00114183"/>
    <w:rsid w:val="0011704F"/>
    <w:rsid w:val="00122B3C"/>
    <w:rsid w:val="00124B90"/>
    <w:rsid w:val="00125789"/>
    <w:rsid w:val="00125C99"/>
    <w:rsid w:val="00131C5A"/>
    <w:rsid w:val="00132F96"/>
    <w:rsid w:val="00136FE2"/>
    <w:rsid w:val="001431E0"/>
    <w:rsid w:val="0014399F"/>
    <w:rsid w:val="00144A21"/>
    <w:rsid w:val="001459DF"/>
    <w:rsid w:val="001474D6"/>
    <w:rsid w:val="001534F9"/>
    <w:rsid w:val="00155760"/>
    <w:rsid w:val="00155DA9"/>
    <w:rsid w:val="00155E1B"/>
    <w:rsid w:val="001560E7"/>
    <w:rsid w:val="00157BC2"/>
    <w:rsid w:val="00161410"/>
    <w:rsid w:val="001625F5"/>
    <w:rsid w:val="00174692"/>
    <w:rsid w:val="00184574"/>
    <w:rsid w:val="001876F2"/>
    <w:rsid w:val="00195D84"/>
    <w:rsid w:val="001A41C8"/>
    <w:rsid w:val="001A5E24"/>
    <w:rsid w:val="001A6C18"/>
    <w:rsid w:val="001A772F"/>
    <w:rsid w:val="001B05AA"/>
    <w:rsid w:val="001B127C"/>
    <w:rsid w:val="001B2407"/>
    <w:rsid w:val="001B4F0F"/>
    <w:rsid w:val="001B7477"/>
    <w:rsid w:val="001B7CD1"/>
    <w:rsid w:val="001C1DF1"/>
    <w:rsid w:val="001C5358"/>
    <w:rsid w:val="001C7437"/>
    <w:rsid w:val="001D2E97"/>
    <w:rsid w:val="001D36E1"/>
    <w:rsid w:val="001D6AFB"/>
    <w:rsid w:val="001E1602"/>
    <w:rsid w:val="001E2A3D"/>
    <w:rsid w:val="001F4859"/>
    <w:rsid w:val="00202ABE"/>
    <w:rsid w:val="00203B43"/>
    <w:rsid w:val="002040D6"/>
    <w:rsid w:val="0020552B"/>
    <w:rsid w:val="002073BC"/>
    <w:rsid w:val="00207CC0"/>
    <w:rsid w:val="0021179D"/>
    <w:rsid w:val="00211D34"/>
    <w:rsid w:val="00212F61"/>
    <w:rsid w:val="002143AB"/>
    <w:rsid w:val="00216431"/>
    <w:rsid w:val="00223FA0"/>
    <w:rsid w:val="002335CA"/>
    <w:rsid w:val="00241721"/>
    <w:rsid w:val="00245491"/>
    <w:rsid w:val="002463D8"/>
    <w:rsid w:val="00250AB3"/>
    <w:rsid w:val="00252B85"/>
    <w:rsid w:val="0025652E"/>
    <w:rsid w:val="002608FA"/>
    <w:rsid w:val="002616AC"/>
    <w:rsid w:val="0026293C"/>
    <w:rsid w:val="002645A8"/>
    <w:rsid w:val="00265C17"/>
    <w:rsid w:val="0026724A"/>
    <w:rsid w:val="00272816"/>
    <w:rsid w:val="00274D0C"/>
    <w:rsid w:val="00275030"/>
    <w:rsid w:val="0027688A"/>
    <w:rsid w:val="00277614"/>
    <w:rsid w:val="00283C92"/>
    <w:rsid w:val="00284957"/>
    <w:rsid w:val="002850E1"/>
    <w:rsid w:val="002856EE"/>
    <w:rsid w:val="00286107"/>
    <w:rsid w:val="00292D21"/>
    <w:rsid w:val="00293ED4"/>
    <w:rsid w:val="00294109"/>
    <w:rsid w:val="002962C6"/>
    <w:rsid w:val="002A78D2"/>
    <w:rsid w:val="002B206F"/>
    <w:rsid w:val="002C1131"/>
    <w:rsid w:val="002C2635"/>
    <w:rsid w:val="002D0652"/>
    <w:rsid w:val="002D07F8"/>
    <w:rsid w:val="002D2118"/>
    <w:rsid w:val="002D3F4C"/>
    <w:rsid w:val="002D6428"/>
    <w:rsid w:val="002E112E"/>
    <w:rsid w:val="002E199C"/>
    <w:rsid w:val="002E4E52"/>
    <w:rsid w:val="002E6FFB"/>
    <w:rsid w:val="002E739D"/>
    <w:rsid w:val="002F0C19"/>
    <w:rsid w:val="002F0E4B"/>
    <w:rsid w:val="002F6380"/>
    <w:rsid w:val="00301A3D"/>
    <w:rsid w:val="00302EEF"/>
    <w:rsid w:val="0030711F"/>
    <w:rsid w:val="003104DE"/>
    <w:rsid w:val="003110FD"/>
    <w:rsid w:val="0031240B"/>
    <w:rsid w:val="00314D5C"/>
    <w:rsid w:val="00314F8D"/>
    <w:rsid w:val="003202C4"/>
    <w:rsid w:val="00320DC8"/>
    <w:rsid w:val="003259A5"/>
    <w:rsid w:val="003311F8"/>
    <w:rsid w:val="0033391D"/>
    <w:rsid w:val="003360A9"/>
    <w:rsid w:val="0033680C"/>
    <w:rsid w:val="003428E5"/>
    <w:rsid w:val="003514D0"/>
    <w:rsid w:val="003517B9"/>
    <w:rsid w:val="00353E77"/>
    <w:rsid w:val="00354198"/>
    <w:rsid w:val="00357013"/>
    <w:rsid w:val="0036237A"/>
    <w:rsid w:val="00362EAD"/>
    <w:rsid w:val="00365FD5"/>
    <w:rsid w:val="00370C4C"/>
    <w:rsid w:val="00371661"/>
    <w:rsid w:val="0037389F"/>
    <w:rsid w:val="00374813"/>
    <w:rsid w:val="003800F1"/>
    <w:rsid w:val="00382A42"/>
    <w:rsid w:val="0038326A"/>
    <w:rsid w:val="00386E65"/>
    <w:rsid w:val="00387DD2"/>
    <w:rsid w:val="0039370D"/>
    <w:rsid w:val="00395718"/>
    <w:rsid w:val="003959EB"/>
    <w:rsid w:val="003A3F7E"/>
    <w:rsid w:val="003A3FCF"/>
    <w:rsid w:val="003A6573"/>
    <w:rsid w:val="003A674A"/>
    <w:rsid w:val="003A76C6"/>
    <w:rsid w:val="003A77FE"/>
    <w:rsid w:val="003A7C57"/>
    <w:rsid w:val="003B457A"/>
    <w:rsid w:val="003B60C8"/>
    <w:rsid w:val="003B77D3"/>
    <w:rsid w:val="003C0B63"/>
    <w:rsid w:val="003C193F"/>
    <w:rsid w:val="003C5095"/>
    <w:rsid w:val="003E20E7"/>
    <w:rsid w:val="003E45A2"/>
    <w:rsid w:val="003E4D49"/>
    <w:rsid w:val="003E70C9"/>
    <w:rsid w:val="003F7B29"/>
    <w:rsid w:val="004064EF"/>
    <w:rsid w:val="0041059F"/>
    <w:rsid w:val="004116D8"/>
    <w:rsid w:val="00412ADF"/>
    <w:rsid w:val="00413F1B"/>
    <w:rsid w:val="00414FFF"/>
    <w:rsid w:val="00415424"/>
    <w:rsid w:val="004312E3"/>
    <w:rsid w:val="0043197D"/>
    <w:rsid w:val="0044249E"/>
    <w:rsid w:val="004472A2"/>
    <w:rsid w:val="00455820"/>
    <w:rsid w:val="00456D01"/>
    <w:rsid w:val="004572C6"/>
    <w:rsid w:val="00464FBE"/>
    <w:rsid w:val="0046675C"/>
    <w:rsid w:val="00466D49"/>
    <w:rsid w:val="004679C9"/>
    <w:rsid w:val="00471133"/>
    <w:rsid w:val="004714BB"/>
    <w:rsid w:val="00471FD9"/>
    <w:rsid w:val="0047758C"/>
    <w:rsid w:val="00480755"/>
    <w:rsid w:val="0048212B"/>
    <w:rsid w:val="004824FC"/>
    <w:rsid w:val="00483BB9"/>
    <w:rsid w:val="0048417C"/>
    <w:rsid w:val="0048481E"/>
    <w:rsid w:val="004929A4"/>
    <w:rsid w:val="00494AA8"/>
    <w:rsid w:val="00494B51"/>
    <w:rsid w:val="00496FA9"/>
    <w:rsid w:val="004B086C"/>
    <w:rsid w:val="004B6C6C"/>
    <w:rsid w:val="004D057F"/>
    <w:rsid w:val="004D741D"/>
    <w:rsid w:val="004E32C9"/>
    <w:rsid w:val="004E3B20"/>
    <w:rsid w:val="004E410E"/>
    <w:rsid w:val="004E4B35"/>
    <w:rsid w:val="004E649E"/>
    <w:rsid w:val="004E6505"/>
    <w:rsid w:val="004F0023"/>
    <w:rsid w:val="004F1B42"/>
    <w:rsid w:val="004F5286"/>
    <w:rsid w:val="004F7A8C"/>
    <w:rsid w:val="0050452D"/>
    <w:rsid w:val="00511788"/>
    <w:rsid w:val="005133FE"/>
    <w:rsid w:val="00513597"/>
    <w:rsid w:val="005141F7"/>
    <w:rsid w:val="00514FDC"/>
    <w:rsid w:val="0051583B"/>
    <w:rsid w:val="00521DA7"/>
    <w:rsid w:val="005234C9"/>
    <w:rsid w:val="00523EFC"/>
    <w:rsid w:val="005263CB"/>
    <w:rsid w:val="00526667"/>
    <w:rsid w:val="00531737"/>
    <w:rsid w:val="00531958"/>
    <w:rsid w:val="00542A6A"/>
    <w:rsid w:val="00547735"/>
    <w:rsid w:val="0055216F"/>
    <w:rsid w:val="00555D98"/>
    <w:rsid w:val="005578B4"/>
    <w:rsid w:val="00557AA7"/>
    <w:rsid w:val="005633CD"/>
    <w:rsid w:val="00564666"/>
    <w:rsid w:val="00565DB1"/>
    <w:rsid w:val="00565DC0"/>
    <w:rsid w:val="005709F6"/>
    <w:rsid w:val="0057140D"/>
    <w:rsid w:val="00574174"/>
    <w:rsid w:val="00577D55"/>
    <w:rsid w:val="00580E47"/>
    <w:rsid w:val="005815F3"/>
    <w:rsid w:val="00583EDB"/>
    <w:rsid w:val="0058434F"/>
    <w:rsid w:val="005900D8"/>
    <w:rsid w:val="00592F4E"/>
    <w:rsid w:val="00594DD1"/>
    <w:rsid w:val="005A1D00"/>
    <w:rsid w:val="005A2516"/>
    <w:rsid w:val="005A7BE2"/>
    <w:rsid w:val="005B48BD"/>
    <w:rsid w:val="005C44FB"/>
    <w:rsid w:val="005C5F20"/>
    <w:rsid w:val="005C6417"/>
    <w:rsid w:val="005C77DC"/>
    <w:rsid w:val="005D046A"/>
    <w:rsid w:val="005F0311"/>
    <w:rsid w:val="005F5D8B"/>
    <w:rsid w:val="006019E8"/>
    <w:rsid w:val="00605FC9"/>
    <w:rsid w:val="00606633"/>
    <w:rsid w:val="00606C88"/>
    <w:rsid w:val="00610AAE"/>
    <w:rsid w:val="00611575"/>
    <w:rsid w:val="00616280"/>
    <w:rsid w:val="00616A65"/>
    <w:rsid w:val="006173DA"/>
    <w:rsid w:val="00622906"/>
    <w:rsid w:val="006272B5"/>
    <w:rsid w:val="00631F87"/>
    <w:rsid w:val="00633149"/>
    <w:rsid w:val="006422B1"/>
    <w:rsid w:val="006447DD"/>
    <w:rsid w:val="00646BAD"/>
    <w:rsid w:val="00660608"/>
    <w:rsid w:val="0066285D"/>
    <w:rsid w:val="006665E9"/>
    <w:rsid w:val="00671874"/>
    <w:rsid w:val="00672A96"/>
    <w:rsid w:val="00672D65"/>
    <w:rsid w:val="0067536F"/>
    <w:rsid w:val="0068114D"/>
    <w:rsid w:val="0068124F"/>
    <w:rsid w:val="00685890"/>
    <w:rsid w:val="00693A5A"/>
    <w:rsid w:val="006A4C13"/>
    <w:rsid w:val="006A4C34"/>
    <w:rsid w:val="006A7040"/>
    <w:rsid w:val="006B179E"/>
    <w:rsid w:val="006B1843"/>
    <w:rsid w:val="006B1D0D"/>
    <w:rsid w:val="006B3BB7"/>
    <w:rsid w:val="006C3A1F"/>
    <w:rsid w:val="006C3DAA"/>
    <w:rsid w:val="006C6CC8"/>
    <w:rsid w:val="006C76BB"/>
    <w:rsid w:val="006D1493"/>
    <w:rsid w:val="006D2F33"/>
    <w:rsid w:val="006D3E15"/>
    <w:rsid w:val="006D3FCB"/>
    <w:rsid w:val="006D65F0"/>
    <w:rsid w:val="006E448F"/>
    <w:rsid w:val="006E52A8"/>
    <w:rsid w:val="006E578A"/>
    <w:rsid w:val="007004B4"/>
    <w:rsid w:val="00702E23"/>
    <w:rsid w:val="00716801"/>
    <w:rsid w:val="007211A2"/>
    <w:rsid w:val="007215B1"/>
    <w:rsid w:val="007217BE"/>
    <w:rsid w:val="0072714B"/>
    <w:rsid w:val="00731D4C"/>
    <w:rsid w:val="00734653"/>
    <w:rsid w:val="00735374"/>
    <w:rsid w:val="0074083E"/>
    <w:rsid w:val="00740986"/>
    <w:rsid w:val="007460E5"/>
    <w:rsid w:val="00747E09"/>
    <w:rsid w:val="00751728"/>
    <w:rsid w:val="00753414"/>
    <w:rsid w:val="00754686"/>
    <w:rsid w:val="00756345"/>
    <w:rsid w:val="0076031C"/>
    <w:rsid w:val="00760603"/>
    <w:rsid w:val="00760B27"/>
    <w:rsid w:val="00762ECA"/>
    <w:rsid w:val="00762F64"/>
    <w:rsid w:val="00763309"/>
    <w:rsid w:val="00773570"/>
    <w:rsid w:val="00774993"/>
    <w:rsid w:val="00775B30"/>
    <w:rsid w:val="00776EA3"/>
    <w:rsid w:val="007779CA"/>
    <w:rsid w:val="007824F7"/>
    <w:rsid w:val="00785242"/>
    <w:rsid w:val="00787254"/>
    <w:rsid w:val="00796362"/>
    <w:rsid w:val="007A10E8"/>
    <w:rsid w:val="007A32DC"/>
    <w:rsid w:val="007A40F0"/>
    <w:rsid w:val="007C402D"/>
    <w:rsid w:val="007C524E"/>
    <w:rsid w:val="007C7532"/>
    <w:rsid w:val="007D0CE6"/>
    <w:rsid w:val="007D1A14"/>
    <w:rsid w:val="007D5C1C"/>
    <w:rsid w:val="007D5D65"/>
    <w:rsid w:val="007E41B4"/>
    <w:rsid w:val="007E48C3"/>
    <w:rsid w:val="007E512E"/>
    <w:rsid w:val="007E75C3"/>
    <w:rsid w:val="008011C1"/>
    <w:rsid w:val="008027A3"/>
    <w:rsid w:val="00811C04"/>
    <w:rsid w:val="00815F0A"/>
    <w:rsid w:val="008200B6"/>
    <w:rsid w:val="00820B89"/>
    <w:rsid w:val="00820C85"/>
    <w:rsid w:val="0082377B"/>
    <w:rsid w:val="00824291"/>
    <w:rsid w:val="008259E7"/>
    <w:rsid w:val="008277DB"/>
    <w:rsid w:val="0083092E"/>
    <w:rsid w:val="00830952"/>
    <w:rsid w:val="00837CBA"/>
    <w:rsid w:val="00842375"/>
    <w:rsid w:val="00843E7A"/>
    <w:rsid w:val="00850366"/>
    <w:rsid w:val="00850A0D"/>
    <w:rsid w:val="00850FE7"/>
    <w:rsid w:val="00852AD9"/>
    <w:rsid w:val="00855273"/>
    <w:rsid w:val="00860AC8"/>
    <w:rsid w:val="00860B27"/>
    <w:rsid w:val="00863271"/>
    <w:rsid w:val="008633AF"/>
    <w:rsid w:val="00863CB6"/>
    <w:rsid w:val="00866A6F"/>
    <w:rsid w:val="00867F98"/>
    <w:rsid w:val="00870E7F"/>
    <w:rsid w:val="008754D0"/>
    <w:rsid w:val="008819D5"/>
    <w:rsid w:val="008841D5"/>
    <w:rsid w:val="00886CF5"/>
    <w:rsid w:val="00892045"/>
    <w:rsid w:val="00892AAC"/>
    <w:rsid w:val="0089528F"/>
    <w:rsid w:val="0089582B"/>
    <w:rsid w:val="00896E2D"/>
    <w:rsid w:val="008A0A8D"/>
    <w:rsid w:val="008A36C9"/>
    <w:rsid w:val="008A37C8"/>
    <w:rsid w:val="008A3C7A"/>
    <w:rsid w:val="008A7E08"/>
    <w:rsid w:val="008B6880"/>
    <w:rsid w:val="008B7461"/>
    <w:rsid w:val="008C46D8"/>
    <w:rsid w:val="008D0CAE"/>
    <w:rsid w:val="008D193D"/>
    <w:rsid w:val="008D4A82"/>
    <w:rsid w:val="008E6B45"/>
    <w:rsid w:val="00900604"/>
    <w:rsid w:val="00903F04"/>
    <w:rsid w:val="0092109C"/>
    <w:rsid w:val="00922A84"/>
    <w:rsid w:val="00923636"/>
    <w:rsid w:val="0092471F"/>
    <w:rsid w:val="00925EF2"/>
    <w:rsid w:val="00931BE4"/>
    <w:rsid w:val="0093294D"/>
    <w:rsid w:val="00933819"/>
    <w:rsid w:val="0093690E"/>
    <w:rsid w:val="00941D7F"/>
    <w:rsid w:val="00942731"/>
    <w:rsid w:val="00942901"/>
    <w:rsid w:val="00942A3B"/>
    <w:rsid w:val="0094741E"/>
    <w:rsid w:val="00947479"/>
    <w:rsid w:val="00950447"/>
    <w:rsid w:val="00952366"/>
    <w:rsid w:val="00954FC2"/>
    <w:rsid w:val="00955E02"/>
    <w:rsid w:val="009569C1"/>
    <w:rsid w:val="00961388"/>
    <w:rsid w:val="00962425"/>
    <w:rsid w:val="0096265E"/>
    <w:rsid w:val="00962ACE"/>
    <w:rsid w:val="009666FC"/>
    <w:rsid w:val="0096709C"/>
    <w:rsid w:val="00970628"/>
    <w:rsid w:val="00973124"/>
    <w:rsid w:val="009733FA"/>
    <w:rsid w:val="00973CB5"/>
    <w:rsid w:val="00973DB5"/>
    <w:rsid w:val="00974282"/>
    <w:rsid w:val="0097796A"/>
    <w:rsid w:val="00982A96"/>
    <w:rsid w:val="00982D7C"/>
    <w:rsid w:val="00984D53"/>
    <w:rsid w:val="00986AF4"/>
    <w:rsid w:val="00992564"/>
    <w:rsid w:val="0099293E"/>
    <w:rsid w:val="00994931"/>
    <w:rsid w:val="009977FB"/>
    <w:rsid w:val="009A07E6"/>
    <w:rsid w:val="009A106A"/>
    <w:rsid w:val="009A5699"/>
    <w:rsid w:val="009A56D1"/>
    <w:rsid w:val="009A61CC"/>
    <w:rsid w:val="009A7D7D"/>
    <w:rsid w:val="009B16C8"/>
    <w:rsid w:val="009B1F1D"/>
    <w:rsid w:val="009B2BF9"/>
    <w:rsid w:val="009B4424"/>
    <w:rsid w:val="009B5440"/>
    <w:rsid w:val="009B7C6B"/>
    <w:rsid w:val="009C25BF"/>
    <w:rsid w:val="009C2B72"/>
    <w:rsid w:val="009C3461"/>
    <w:rsid w:val="009C5A9E"/>
    <w:rsid w:val="009D0AB4"/>
    <w:rsid w:val="009D1B11"/>
    <w:rsid w:val="009D41FB"/>
    <w:rsid w:val="009D50E7"/>
    <w:rsid w:val="009D5987"/>
    <w:rsid w:val="009E17C5"/>
    <w:rsid w:val="009E3397"/>
    <w:rsid w:val="009E4E0D"/>
    <w:rsid w:val="009E5EAD"/>
    <w:rsid w:val="009E698C"/>
    <w:rsid w:val="009F1DBF"/>
    <w:rsid w:val="009F26A0"/>
    <w:rsid w:val="009F7625"/>
    <w:rsid w:val="009F7B9F"/>
    <w:rsid w:val="00A02DA6"/>
    <w:rsid w:val="00A05D3C"/>
    <w:rsid w:val="00A06AF3"/>
    <w:rsid w:val="00A15173"/>
    <w:rsid w:val="00A17659"/>
    <w:rsid w:val="00A226E2"/>
    <w:rsid w:val="00A227E2"/>
    <w:rsid w:val="00A2293F"/>
    <w:rsid w:val="00A320BA"/>
    <w:rsid w:val="00A3491F"/>
    <w:rsid w:val="00A35924"/>
    <w:rsid w:val="00A36251"/>
    <w:rsid w:val="00A40161"/>
    <w:rsid w:val="00A42DAC"/>
    <w:rsid w:val="00A46E20"/>
    <w:rsid w:val="00A4750F"/>
    <w:rsid w:val="00A4766F"/>
    <w:rsid w:val="00A517A5"/>
    <w:rsid w:val="00A51F47"/>
    <w:rsid w:val="00A52BF0"/>
    <w:rsid w:val="00A54A01"/>
    <w:rsid w:val="00A54C79"/>
    <w:rsid w:val="00A57B7F"/>
    <w:rsid w:val="00A646E4"/>
    <w:rsid w:val="00A64CCE"/>
    <w:rsid w:val="00A729D3"/>
    <w:rsid w:val="00A72A3D"/>
    <w:rsid w:val="00A7683D"/>
    <w:rsid w:val="00A77283"/>
    <w:rsid w:val="00A8063F"/>
    <w:rsid w:val="00A83BDF"/>
    <w:rsid w:val="00A84026"/>
    <w:rsid w:val="00A86C72"/>
    <w:rsid w:val="00A911AA"/>
    <w:rsid w:val="00A9178D"/>
    <w:rsid w:val="00A91B67"/>
    <w:rsid w:val="00AA0196"/>
    <w:rsid w:val="00AA681D"/>
    <w:rsid w:val="00AA7853"/>
    <w:rsid w:val="00AB04A7"/>
    <w:rsid w:val="00AB086F"/>
    <w:rsid w:val="00AB1441"/>
    <w:rsid w:val="00AB1C14"/>
    <w:rsid w:val="00AB3B90"/>
    <w:rsid w:val="00AB55AC"/>
    <w:rsid w:val="00AB5B22"/>
    <w:rsid w:val="00AB6594"/>
    <w:rsid w:val="00AB7A1D"/>
    <w:rsid w:val="00AC02E3"/>
    <w:rsid w:val="00AC0FA3"/>
    <w:rsid w:val="00AC3813"/>
    <w:rsid w:val="00AC3C7B"/>
    <w:rsid w:val="00AC77D1"/>
    <w:rsid w:val="00AD02D6"/>
    <w:rsid w:val="00AD64B6"/>
    <w:rsid w:val="00AD706D"/>
    <w:rsid w:val="00AE63F2"/>
    <w:rsid w:val="00AE6BC2"/>
    <w:rsid w:val="00AF3758"/>
    <w:rsid w:val="00AF6286"/>
    <w:rsid w:val="00AF77DF"/>
    <w:rsid w:val="00B00283"/>
    <w:rsid w:val="00B00949"/>
    <w:rsid w:val="00B022BE"/>
    <w:rsid w:val="00B1284F"/>
    <w:rsid w:val="00B131D3"/>
    <w:rsid w:val="00B1390F"/>
    <w:rsid w:val="00B15404"/>
    <w:rsid w:val="00B15A7E"/>
    <w:rsid w:val="00B162B4"/>
    <w:rsid w:val="00B205BE"/>
    <w:rsid w:val="00B22247"/>
    <w:rsid w:val="00B27013"/>
    <w:rsid w:val="00B325F8"/>
    <w:rsid w:val="00B35116"/>
    <w:rsid w:val="00B41DD1"/>
    <w:rsid w:val="00B4219C"/>
    <w:rsid w:val="00B42604"/>
    <w:rsid w:val="00B438E3"/>
    <w:rsid w:val="00B44A86"/>
    <w:rsid w:val="00B44C62"/>
    <w:rsid w:val="00B45795"/>
    <w:rsid w:val="00B4798C"/>
    <w:rsid w:val="00B52477"/>
    <w:rsid w:val="00B568F2"/>
    <w:rsid w:val="00B66BE6"/>
    <w:rsid w:val="00B7490C"/>
    <w:rsid w:val="00B76338"/>
    <w:rsid w:val="00B764E0"/>
    <w:rsid w:val="00B770B4"/>
    <w:rsid w:val="00B958D1"/>
    <w:rsid w:val="00B96CCE"/>
    <w:rsid w:val="00B96F8E"/>
    <w:rsid w:val="00B978FB"/>
    <w:rsid w:val="00BA0787"/>
    <w:rsid w:val="00BA4080"/>
    <w:rsid w:val="00BA4888"/>
    <w:rsid w:val="00BB1B89"/>
    <w:rsid w:val="00BB54FA"/>
    <w:rsid w:val="00BC001C"/>
    <w:rsid w:val="00BC7DE1"/>
    <w:rsid w:val="00BD02BD"/>
    <w:rsid w:val="00BD1960"/>
    <w:rsid w:val="00BE1AE5"/>
    <w:rsid w:val="00BE4031"/>
    <w:rsid w:val="00BE556E"/>
    <w:rsid w:val="00BE7923"/>
    <w:rsid w:val="00BF0B22"/>
    <w:rsid w:val="00BF2393"/>
    <w:rsid w:val="00BF3825"/>
    <w:rsid w:val="00BF65E5"/>
    <w:rsid w:val="00C04045"/>
    <w:rsid w:val="00C04FB6"/>
    <w:rsid w:val="00C05E45"/>
    <w:rsid w:val="00C100E3"/>
    <w:rsid w:val="00C1034E"/>
    <w:rsid w:val="00C10DE0"/>
    <w:rsid w:val="00C14C40"/>
    <w:rsid w:val="00C21012"/>
    <w:rsid w:val="00C21E57"/>
    <w:rsid w:val="00C223FB"/>
    <w:rsid w:val="00C22546"/>
    <w:rsid w:val="00C24B5F"/>
    <w:rsid w:val="00C27C0B"/>
    <w:rsid w:val="00C409F7"/>
    <w:rsid w:val="00C441B3"/>
    <w:rsid w:val="00C466D3"/>
    <w:rsid w:val="00C53587"/>
    <w:rsid w:val="00C545AD"/>
    <w:rsid w:val="00C56004"/>
    <w:rsid w:val="00C56A90"/>
    <w:rsid w:val="00C56B56"/>
    <w:rsid w:val="00C6485B"/>
    <w:rsid w:val="00C654AC"/>
    <w:rsid w:val="00C70518"/>
    <w:rsid w:val="00C73518"/>
    <w:rsid w:val="00C812B0"/>
    <w:rsid w:val="00C9380E"/>
    <w:rsid w:val="00C95C78"/>
    <w:rsid w:val="00C9776C"/>
    <w:rsid w:val="00CA0560"/>
    <w:rsid w:val="00CA5BA5"/>
    <w:rsid w:val="00CA6AE7"/>
    <w:rsid w:val="00CA75E2"/>
    <w:rsid w:val="00CB2F42"/>
    <w:rsid w:val="00CB5569"/>
    <w:rsid w:val="00CB5ECC"/>
    <w:rsid w:val="00CC6B05"/>
    <w:rsid w:val="00CC6E2F"/>
    <w:rsid w:val="00CC725E"/>
    <w:rsid w:val="00CC7A3F"/>
    <w:rsid w:val="00CD6947"/>
    <w:rsid w:val="00CE123C"/>
    <w:rsid w:val="00CE1B26"/>
    <w:rsid w:val="00CE4D97"/>
    <w:rsid w:val="00CE5993"/>
    <w:rsid w:val="00CE64A6"/>
    <w:rsid w:val="00CF0774"/>
    <w:rsid w:val="00CF0993"/>
    <w:rsid w:val="00CF42EC"/>
    <w:rsid w:val="00CF4DFD"/>
    <w:rsid w:val="00D00FA9"/>
    <w:rsid w:val="00D06942"/>
    <w:rsid w:val="00D12E96"/>
    <w:rsid w:val="00D245F7"/>
    <w:rsid w:val="00D24B97"/>
    <w:rsid w:val="00D24F84"/>
    <w:rsid w:val="00D26B75"/>
    <w:rsid w:val="00D26DF7"/>
    <w:rsid w:val="00D27B98"/>
    <w:rsid w:val="00D30624"/>
    <w:rsid w:val="00D30E8A"/>
    <w:rsid w:val="00D32DA9"/>
    <w:rsid w:val="00D33AE7"/>
    <w:rsid w:val="00D47869"/>
    <w:rsid w:val="00D51A73"/>
    <w:rsid w:val="00D537EE"/>
    <w:rsid w:val="00D54B3A"/>
    <w:rsid w:val="00D5567E"/>
    <w:rsid w:val="00D653D5"/>
    <w:rsid w:val="00D71C3E"/>
    <w:rsid w:val="00D80579"/>
    <w:rsid w:val="00D83F51"/>
    <w:rsid w:val="00D86BFF"/>
    <w:rsid w:val="00D87244"/>
    <w:rsid w:val="00D9164B"/>
    <w:rsid w:val="00D93573"/>
    <w:rsid w:val="00D95A4C"/>
    <w:rsid w:val="00D9697B"/>
    <w:rsid w:val="00DA40A5"/>
    <w:rsid w:val="00DA62F8"/>
    <w:rsid w:val="00DA6FA7"/>
    <w:rsid w:val="00DB1925"/>
    <w:rsid w:val="00DB2602"/>
    <w:rsid w:val="00DB6DC9"/>
    <w:rsid w:val="00DC2F9D"/>
    <w:rsid w:val="00DC3834"/>
    <w:rsid w:val="00DC39A2"/>
    <w:rsid w:val="00DC48AC"/>
    <w:rsid w:val="00DC7559"/>
    <w:rsid w:val="00DD001A"/>
    <w:rsid w:val="00DD1FA8"/>
    <w:rsid w:val="00DE0F31"/>
    <w:rsid w:val="00DE242D"/>
    <w:rsid w:val="00DE7334"/>
    <w:rsid w:val="00DF4B03"/>
    <w:rsid w:val="00DF76D1"/>
    <w:rsid w:val="00E100AB"/>
    <w:rsid w:val="00E10BBD"/>
    <w:rsid w:val="00E125E7"/>
    <w:rsid w:val="00E139F6"/>
    <w:rsid w:val="00E16080"/>
    <w:rsid w:val="00E20C4D"/>
    <w:rsid w:val="00E22FCC"/>
    <w:rsid w:val="00E25FC9"/>
    <w:rsid w:val="00E265DA"/>
    <w:rsid w:val="00E325EA"/>
    <w:rsid w:val="00E33994"/>
    <w:rsid w:val="00E348D6"/>
    <w:rsid w:val="00E353EB"/>
    <w:rsid w:val="00E3748E"/>
    <w:rsid w:val="00E411F2"/>
    <w:rsid w:val="00E4237E"/>
    <w:rsid w:val="00E47E10"/>
    <w:rsid w:val="00E51A97"/>
    <w:rsid w:val="00E557B5"/>
    <w:rsid w:val="00E55D2E"/>
    <w:rsid w:val="00E56D0F"/>
    <w:rsid w:val="00E61753"/>
    <w:rsid w:val="00E62DAF"/>
    <w:rsid w:val="00E65E8A"/>
    <w:rsid w:val="00E66547"/>
    <w:rsid w:val="00E76468"/>
    <w:rsid w:val="00E76E4B"/>
    <w:rsid w:val="00E83DC6"/>
    <w:rsid w:val="00E850DB"/>
    <w:rsid w:val="00E85C77"/>
    <w:rsid w:val="00E927E1"/>
    <w:rsid w:val="00E93413"/>
    <w:rsid w:val="00E95FCD"/>
    <w:rsid w:val="00E978A4"/>
    <w:rsid w:val="00EA3CA9"/>
    <w:rsid w:val="00EA7BE6"/>
    <w:rsid w:val="00EB0799"/>
    <w:rsid w:val="00EB096A"/>
    <w:rsid w:val="00EB13B6"/>
    <w:rsid w:val="00EB1520"/>
    <w:rsid w:val="00EB19F8"/>
    <w:rsid w:val="00EB2B8F"/>
    <w:rsid w:val="00EB5D90"/>
    <w:rsid w:val="00EB735E"/>
    <w:rsid w:val="00EB741D"/>
    <w:rsid w:val="00EC0821"/>
    <w:rsid w:val="00EC2894"/>
    <w:rsid w:val="00EC79FD"/>
    <w:rsid w:val="00ED0DB5"/>
    <w:rsid w:val="00ED1E42"/>
    <w:rsid w:val="00ED5B21"/>
    <w:rsid w:val="00ED71E3"/>
    <w:rsid w:val="00ED79A8"/>
    <w:rsid w:val="00EE095C"/>
    <w:rsid w:val="00EE5DDF"/>
    <w:rsid w:val="00EF0D23"/>
    <w:rsid w:val="00EF2954"/>
    <w:rsid w:val="00F02C60"/>
    <w:rsid w:val="00F12648"/>
    <w:rsid w:val="00F131C7"/>
    <w:rsid w:val="00F13DF3"/>
    <w:rsid w:val="00F15634"/>
    <w:rsid w:val="00F35963"/>
    <w:rsid w:val="00F37FF1"/>
    <w:rsid w:val="00F40574"/>
    <w:rsid w:val="00F41BF2"/>
    <w:rsid w:val="00F5015A"/>
    <w:rsid w:val="00F50486"/>
    <w:rsid w:val="00F53655"/>
    <w:rsid w:val="00F57C97"/>
    <w:rsid w:val="00F60862"/>
    <w:rsid w:val="00F65090"/>
    <w:rsid w:val="00F70254"/>
    <w:rsid w:val="00F75FF1"/>
    <w:rsid w:val="00F764E2"/>
    <w:rsid w:val="00F80119"/>
    <w:rsid w:val="00F85051"/>
    <w:rsid w:val="00F96E24"/>
    <w:rsid w:val="00F979AD"/>
    <w:rsid w:val="00FA0182"/>
    <w:rsid w:val="00FA05B7"/>
    <w:rsid w:val="00FA0DD3"/>
    <w:rsid w:val="00FA5C54"/>
    <w:rsid w:val="00FB4F60"/>
    <w:rsid w:val="00FB6A54"/>
    <w:rsid w:val="00FC1BC7"/>
    <w:rsid w:val="00FC42EE"/>
    <w:rsid w:val="00FC69E9"/>
    <w:rsid w:val="00FD1323"/>
    <w:rsid w:val="00FD313B"/>
    <w:rsid w:val="00FD6187"/>
    <w:rsid w:val="00FD660F"/>
    <w:rsid w:val="00FD6A61"/>
    <w:rsid w:val="00FE1E30"/>
    <w:rsid w:val="00FE7599"/>
    <w:rsid w:val="00FF0AA1"/>
    <w:rsid w:val="00FF50AF"/>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AC"/>
    <w:pPr>
      <w:jc w:val="both"/>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B44A8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A86"/>
    <w:pPr>
      <w:keepNext/>
      <w:keepLines/>
      <w:spacing w:before="200"/>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B44A86"/>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1C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1C5A"/>
    <w:rPr>
      <w:rFonts w:eastAsiaTheme="minorEastAsia"/>
      <w:lang w:eastAsia="ja-JP"/>
    </w:rPr>
  </w:style>
  <w:style w:type="paragraph" w:styleId="BalloonText">
    <w:name w:val="Balloon Text"/>
    <w:basedOn w:val="Normal"/>
    <w:link w:val="BalloonTextChar"/>
    <w:semiHidden/>
    <w:unhideWhenUsed/>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1C5A"/>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44A86"/>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1C5A"/>
    <w:pPr>
      <w:outlineLvl w:val="9"/>
    </w:pPr>
    <w:rPr>
      <w:lang w:eastAsia="ja-JP"/>
    </w:rPr>
  </w:style>
  <w:style w:type="paragraph" w:styleId="Header">
    <w:name w:val="header"/>
    <w:basedOn w:val="Normal"/>
    <w:link w:val="HeaderChar"/>
    <w:uiPriority w:val="99"/>
    <w:unhideWhenUsed/>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C5A"/>
    <w:rPr>
      <w:rFonts w:eastAsiaTheme="minorEastAsia" w:cs="Times New Roman"/>
    </w:rPr>
  </w:style>
  <w:style w:type="paragraph" w:styleId="Footer">
    <w:name w:val="footer"/>
    <w:basedOn w:val="Normal"/>
    <w:link w:val="FooterChar"/>
    <w:uiPriority w:val="99"/>
    <w:unhideWhenUsed/>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C5A"/>
    <w:rPr>
      <w:rFonts w:eastAsiaTheme="minorEastAsia" w:cs="Times New Roman"/>
    </w:rPr>
  </w:style>
  <w:style w:type="paragraph" w:styleId="ListParagraph">
    <w:name w:val="List Paragraph"/>
    <w:basedOn w:val="Normal"/>
    <w:uiPriority w:val="34"/>
    <w:qFormat/>
    <w:rsid w:val="00131C5A"/>
    <w:pPr>
      <w:ind w:left="720"/>
      <w:contextualSpacing/>
    </w:pPr>
  </w:style>
  <w:style w:type="character" w:styleId="Hyperlink">
    <w:name w:val="Hyperlink"/>
    <w:basedOn w:val="DefaultParagraphFont"/>
    <w:uiPriority w:val="99"/>
    <w:unhideWhenUsed/>
    <w:rsid w:val="009977FB"/>
    <w:rPr>
      <w:color w:val="0000FF" w:themeColor="hyperlink"/>
      <w:u w:val="single"/>
    </w:rPr>
  </w:style>
  <w:style w:type="paragraph" w:styleId="TOC1">
    <w:name w:val="toc 1"/>
    <w:basedOn w:val="Normal"/>
    <w:next w:val="Normal"/>
    <w:autoRedefine/>
    <w:uiPriority w:val="39"/>
    <w:unhideWhenUsed/>
    <w:rsid w:val="008633AF"/>
    <w:pPr>
      <w:tabs>
        <w:tab w:val="right" w:leader="dot" w:pos="9781"/>
      </w:tabs>
      <w:spacing w:after="100"/>
    </w:pPr>
  </w:style>
  <w:style w:type="character" w:customStyle="1" w:styleId="Heading2Char">
    <w:name w:val="Heading 2 Char"/>
    <w:basedOn w:val="DefaultParagraphFont"/>
    <w:link w:val="Heading2"/>
    <w:uiPriority w:val="9"/>
    <w:rsid w:val="00B44A86"/>
    <w:rPr>
      <w:rFonts w:ascii="Times New Roman" w:eastAsiaTheme="majorEastAsia" w:hAnsi="Times New Roman" w:cstheme="majorBidi"/>
      <w:b/>
      <w:bCs/>
      <w:color w:val="365F91" w:themeColor="accent1" w:themeShade="BF"/>
      <w:sz w:val="26"/>
      <w:szCs w:val="26"/>
    </w:rPr>
  </w:style>
  <w:style w:type="paragraph" w:styleId="TOC2">
    <w:name w:val="toc 2"/>
    <w:basedOn w:val="Normal"/>
    <w:next w:val="Normal"/>
    <w:autoRedefine/>
    <w:uiPriority w:val="39"/>
    <w:unhideWhenUsed/>
    <w:rsid w:val="00B96CCE"/>
    <w:pPr>
      <w:tabs>
        <w:tab w:val="right" w:leader="dot" w:pos="9849"/>
      </w:tabs>
      <w:spacing w:after="100"/>
      <w:ind w:left="220"/>
    </w:pPr>
  </w:style>
  <w:style w:type="character" w:customStyle="1" w:styleId="Heading3Char">
    <w:name w:val="Heading 3 Char"/>
    <w:basedOn w:val="DefaultParagraphFont"/>
    <w:link w:val="Heading3"/>
    <w:uiPriority w:val="9"/>
    <w:rsid w:val="00B44A86"/>
    <w:rPr>
      <w:rFonts w:asciiTheme="majorHAnsi" w:eastAsiaTheme="majorEastAsia" w:hAnsiTheme="majorHAnsi" w:cstheme="majorBidi"/>
      <w:b/>
      <w:bCs/>
      <w:color w:val="365F91" w:themeColor="accent1" w:themeShade="BF"/>
      <w:sz w:val="24"/>
    </w:rPr>
  </w:style>
  <w:style w:type="paragraph" w:styleId="TOC3">
    <w:name w:val="toc 3"/>
    <w:basedOn w:val="Normal"/>
    <w:next w:val="Normal"/>
    <w:autoRedefine/>
    <w:uiPriority w:val="39"/>
    <w:unhideWhenUsed/>
    <w:rsid w:val="00061BD0"/>
    <w:pPr>
      <w:spacing w:after="100"/>
      <w:ind w:left="440"/>
    </w:pPr>
  </w:style>
  <w:style w:type="character" w:styleId="CommentReference">
    <w:name w:val="annotation reference"/>
    <w:basedOn w:val="DefaultParagraphFont"/>
    <w:uiPriority w:val="99"/>
    <w:semiHidden/>
    <w:unhideWhenUsed/>
    <w:rsid w:val="00294109"/>
    <w:rPr>
      <w:sz w:val="16"/>
      <w:szCs w:val="16"/>
    </w:rPr>
  </w:style>
  <w:style w:type="paragraph" w:styleId="CommentText">
    <w:name w:val="annotation text"/>
    <w:basedOn w:val="Normal"/>
    <w:link w:val="CommentTextChar"/>
    <w:uiPriority w:val="99"/>
    <w:semiHidden/>
    <w:unhideWhenUsed/>
    <w:rsid w:val="00294109"/>
    <w:pPr>
      <w:spacing w:line="240" w:lineRule="auto"/>
    </w:pPr>
    <w:rPr>
      <w:sz w:val="20"/>
      <w:szCs w:val="20"/>
    </w:rPr>
  </w:style>
  <w:style w:type="character" w:customStyle="1" w:styleId="CommentTextChar">
    <w:name w:val="Comment Text Char"/>
    <w:basedOn w:val="DefaultParagraphFont"/>
    <w:link w:val="CommentText"/>
    <w:uiPriority w:val="99"/>
    <w:semiHidden/>
    <w:rsid w:val="0029410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94109"/>
    <w:rPr>
      <w:b/>
      <w:bCs/>
    </w:rPr>
  </w:style>
  <w:style w:type="character" w:customStyle="1" w:styleId="CommentSubjectChar">
    <w:name w:val="Comment Subject Char"/>
    <w:basedOn w:val="CommentTextChar"/>
    <w:link w:val="CommentSubject"/>
    <w:uiPriority w:val="99"/>
    <w:semiHidden/>
    <w:rsid w:val="00294109"/>
    <w:rPr>
      <w:rFonts w:eastAsiaTheme="minorEastAsia" w:cs="Times New Roman"/>
      <w:b/>
      <w:bCs/>
      <w:sz w:val="20"/>
      <w:szCs w:val="20"/>
    </w:rPr>
  </w:style>
  <w:style w:type="paragraph" w:styleId="Revision">
    <w:name w:val="Revision"/>
    <w:hidden/>
    <w:uiPriority w:val="99"/>
    <w:semiHidden/>
    <w:rsid w:val="00EB0799"/>
    <w:pPr>
      <w:spacing w:after="0" w:line="240" w:lineRule="auto"/>
    </w:pPr>
    <w:rPr>
      <w:rFonts w:eastAsiaTheme="minorEastAsia" w:cs="Times New Roman"/>
    </w:rPr>
  </w:style>
  <w:style w:type="paragraph" w:customStyle="1" w:styleId="Default">
    <w:name w:val="Default"/>
    <w:rsid w:val="00BA4888"/>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B0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12E96"/>
    <w:pPr>
      <w:spacing w:after="0" w:line="240" w:lineRule="auto"/>
      <w:jc w:val="left"/>
    </w:pPr>
    <w:rPr>
      <w:rFonts w:ascii="Verdana" w:eastAsia="Times New Roman" w:hAnsi="Verdana"/>
      <w:sz w:val="20"/>
      <w:szCs w:val="20"/>
      <w:lang w:val="bg-BG" w:eastAsia="zh-TW"/>
    </w:rPr>
  </w:style>
  <w:style w:type="character" w:customStyle="1" w:styleId="FootnoteTextChar">
    <w:name w:val="Footnote Text Char"/>
    <w:basedOn w:val="DefaultParagraphFont"/>
    <w:link w:val="FootnoteText"/>
    <w:rsid w:val="00D12E96"/>
    <w:rPr>
      <w:rFonts w:ascii="Verdana" w:eastAsia="Times New Roman" w:hAnsi="Verdana" w:cs="Times New Roman"/>
      <w:sz w:val="20"/>
      <w:szCs w:val="20"/>
      <w:lang w:val="bg-BG" w:eastAsia="zh-TW"/>
    </w:rPr>
  </w:style>
  <w:style w:type="character" w:styleId="FootnoteReference">
    <w:name w:val="footnote reference"/>
    <w:basedOn w:val="DefaultParagraphFont"/>
    <w:rsid w:val="00D12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AC"/>
    <w:pPr>
      <w:jc w:val="both"/>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B44A8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A86"/>
    <w:pPr>
      <w:keepNext/>
      <w:keepLines/>
      <w:spacing w:before="200"/>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B44A86"/>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1C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1C5A"/>
    <w:rPr>
      <w:rFonts w:eastAsiaTheme="minorEastAsia"/>
      <w:lang w:eastAsia="ja-JP"/>
    </w:rPr>
  </w:style>
  <w:style w:type="paragraph" w:styleId="BalloonText">
    <w:name w:val="Balloon Text"/>
    <w:basedOn w:val="Normal"/>
    <w:link w:val="BalloonTextChar"/>
    <w:semiHidden/>
    <w:unhideWhenUsed/>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1C5A"/>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44A86"/>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1C5A"/>
    <w:pPr>
      <w:outlineLvl w:val="9"/>
    </w:pPr>
    <w:rPr>
      <w:lang w:eastAsia="ja-JP"/>
    </w:rPr>
  </w:style>
  <w:style w:type="paragraph" w:styleId="Header">
    <w:name w:val="header"/>
    <w:basedOn w:val="Normal"/>
    <w:link w:val="HeaderChar"/>
    <w:uiPriority w:val="99"/>
    <w:unhideWhenUsed/>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C5A"/>
    <w:rPr>
      <w:rFonts w:eastAsiaTheme="minorEastAsia" w:cs="Times New Roman"/>
    </w:rPr>
  </w:style>
  <w:style w:type="paragraph" w:styleId="Footer">
    <w:name w:val="footer"/>
    <w:basedOn w:val="Normal"/>
    <w:link w:val="FooterChar"/>
    <w:uiPriority w:val="99"/>
    <w:unhideWhenUsed/>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C5A"/>
    <w:rPr>
      <w:rFonts w:eastAsiaTheme="minorEastAsia" w:cs="Times New Roman"/>
    </w:rPr>
  </w:style>
  <w:style w:type="paragraph" w:styleId="ListParagraph">
    <w:name w:val="List Paragraph"/>
    <w:basedOn w:val="Normal"/>
    <w:uiPriority w:val="34"/>
    <w:qFormat/>
    <w:rsid w:val="00131C5A"/>
    <w:pPr>
      <w:ind w:left="720"/>
      <w:contextualSpacing/>
    </w:pPr>
  </w:style>
  <w:style w:type="character" w:styleId="Hyperlink">
    <w:name w:val="Hyperlink"/>
    <w:basedOn w:val="DefaultParagraphFont"/>
    <w:uiPriority w:val="99"/>
    <w:unhideWhenUsed/>
    <w:rsid w:val="009977FB"/>
    <w:rPr>
      <w:color w:val="0000FF" w:themeColor="hyperlink"/>
      <w:u w:val="single"/>
    </w:rPr>
  </w:style>
  <w:style w:type="paragraph" w:styleId="TOC1">
    <w:name w:val="toc 1"/>
    <w:basedOn w:val="Normal"/>
    <w:next w:val="Normal"/>
    <w:autoRedefine/>
    <w:uiPriority w:val="39"/>
    <w:unhideWhenUsed/>
    <w:rsid w:val="008633AF"/>
    <w:pPr>
      <w:tabs>
        <w:tab w:val="right" w:leader="dot" w:pos="9781"/>
      </w:tabs>
      <w:spacing w:after="100"/>
    </w:pPr>
  </w:style>
  <w:style w:type="character" w:customStyle="1" w:styleId="Heading2Char">
    <w:name w:val="Heading 2 Char"/>
    <w:basedOn w:val="DefaultParagraphFont"/>
    <w:link w:val="Heading2"/>
    <w:uiPriority w:val="9"/>
    <w:rsid w:val="00B44A86"/>
    <w:rPr>
      <w:rFonts w:ascii="Times New Roman" w:eastAsiaTheme="majorEastAsia" w:hAnsi="Times New Roman" w:cstheme="majorBidi"/>
      <w:b/>
      <w:bCs/>
      <w:color w:val="365F91" w:themeColor="accent1" w:themeShade="BF"/>
      <w:sz w:val="26"/>
      <w:szCs w:val="26"/>
    </w:rPr>
  </w:style>
  <w:style w:type="paragraph" w:styleId="TOC2">
    <w:name w:val="toc 2"/>
    <w:basedOn w:val="Normal"/>
    <w:next w:val="Normal"/>
    <w:autoRedefine/>
    <w:uiPriority w:val="39"/>
    <w:unhideWhenUsed/>
    <w:rsid w:val="00B96CCE"/>
    <w:pPr>
      <w:tabs>
        <w:tab w:val="right" w:leader="dot" w:pos="9849"/>
      </w:tabs>
      <w:spacing w:after="100"/>
      <w:ind w:left="220"/>
    </w:pPr>
  </w:style>
  <w:style w:type="character" w:customStyle="1" w:styleId="Heading3Char">
    <w:name w:val="Heading 3 Char"/>
    <w:basedOn w:val="DefaultParagraphFont"/>
    <w:link w:val="Heading3"/>
    <w:uiPriority w:val="9"/>
    <w:rsid w:val="00B44A86"/>
    <w:rPr>
      <w:rFonts w:asciiTheme="majorHAnsi" w:eastAsiaTheme="majorEastAsia" w:hAnsiTheme="majorHAnsi" w:cstheme="majorBidi"/>
      <w:b/>
      <w:bCs/>
      <w:color w:val="365F91" w:themeColor="accent1" w:themeShade="BF"/>
      <w:sz w:val="24"/>
    </w:rPr>
  </w:style>
  <w:style w:type="paragraph" w:styleId="TOC3">
    <w:name w:val="toc 3"/>
    <w:basedOn w:val="Normal"/>
    <w:next w:val="Normal"/>
    <w:autoRedefine/>
    <w:uiPriority w:val="39"/>
    <w:unhideWhenUsed/>
    <w:rsid w:val="00061BD0"/>
    <w:pPr>
      <w:spacing w:after="100"/>
      <w:ind w:left="440"/>
    </w:pPr>
  </w:style>
  <w:style w:type="character" w:styleId="CommentReference">
    <w:name w:val="annotation reference"/>
    <w:basedOn w:val="DefaultParagraphFont"/>
    <w:uiPriority w:val="99"/>
    <w:semiHidden/>
    <w:unhideWhenUsed/>
    <w:rsid w:val="00294109"/>
    <w:rPr>
      <w:sz w:val="16"/>
      <w:szCs w:val="16"/>
    </w:rPr>
  </w:style>
  <w:style w:type="paragraph" w:styleId="CommentText">
    <w:name w:val="annotation text"/>
    <w:basedOn w:val="Normal"/>
    <w:link w:val="CommentTextChar"/>
    <w:uiPriority w:val="99"/>
    <w:semiHidden/>
    <w:unhideWhenUsed/>
    <w:rsid w:val="00294109"/>
    <w:pPr>
      <w:spacing w:line="240" w:lineRule="auto"/>
    </w:pPr>
    <w:rPr>
      <w:sz w:val="20"/>
      <w:szCs w:val="20"/>
    </w:rPr>
  </w:style>
  <w:style w:type="character" w:customStyle="1" w:styleId="CommentTextChar">
    <w:name w:val="Comment Text Char"/>
    <w:basedOn w:val="DefaultParagraphFont"/>
    <w:link w:val="CommentText"/>
    <w:uiPriority w:val="99"/>
    <w:semiHidden/>
    <w:rsid w:val="0029410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94109"/>
    <w:rPr>
      <w:b/>
      <w:bCs/>
    </w:rPr>
  </w:style>
  <w:style w:type="character" w:customStyle="1" w:styleId="CommentSubjectChar">
    <w:name w:val="Comment Subject Char"/>
    <w:basedOn w:val="CommentTextChar"/>
    <w:link w:val="CommentSubject"/>
    <w:uiPriority w:val="99"/>
    <w:semiHidden/>
    <w:rsid w:val="00294109"/>
    <w:rPr>
      <w:rFonts w:eastAsiaTheme="minorEastAsia" w:cs="Times New Roman"/>
      <w:b/>
      <w:bCs/>
      <w:sz w:val="20"/>
      <w:szCs w:val="20"/>
    </w:rPr>
  </w:style>
  <w:style w:type="paragraph" w:styleId="Revision">
    <w:name w:val="Revision"/>
    <w:hidden/>
    <w:uiPriority w:val="99"/>
    <w:semiHidden/>
    <w:rsid w:val="00EB0799"/>
    <w:pPr>
      <w:spacing w:after="0" w:line="240" w:lineRule="auto"/>
    </w:pPr>
    <w:rPr>
      <w:rFonts w:eastAsiaTheme="minorEastAsia" w:cs="Times New Roman"/>
    </w:rPr>
  </w:style>
  <w:style w:type="paragraph" w:customStyle="1" w:styleId="Default">
    <w:name w:val="Default"/>
    <w:rsid w:val="00BA4888"/>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B0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12E96"/>
    <w:pPr>
      <w:spacing w:after="0" w:line="240" w:lineRule="auto"/>
      <w:jc w:val="left"/>
    </w:pPr>
    <w:rPr>
      <w:rFonts w:ascii="Verdana" w:eastAsia="Times New Roman" w:hAnsi="Verdana"/>
      <w:sz w:val="20"/>
      <w:szCs w:val="20"/>
      <w:lang w:val="bg-BG" w:eastAsia="zh-TW"/>
    </w:rPr>
  </w:style>
  <w:style w:type="character" w:customStyle="1" w:styleId="FootnoteTextChar">
    <w:name w:val="Footnote Text Char"/>
    <w:basedOn w:val="DefaultParagraphFont"/>
    <w:link w:val="FootnoteText"/>
    <w:rsid w:val="00D12E96"/>
    <w:rPr>
      <w:rFonts w:ascii="Verdana" w:eastAsia="Times New Roman" w:hAnsi="Verdana" w:cs="Times New Roman"/>
      <w:sz w:val="20"/>
      <w:szCs w:val="20"/>
      <w:lang w:val="bg-BG" w:eastAsia="zh-TW"/>
    </w:rPr>
  </w:style>
  <w:style w:type="character" w:styleId="FootnoteReference">
    <w:name w:val="footnote reference"/>
    <w:basedOn w:val="DefaultParagraphFont"/>
    <w:rsid w:val="00D12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343">
      <w:bodyDiv w:val="1"/>
      <w:marLeft w:val="0"/>
      <w:marRight w:val="0"/>
      <w:marTop w:val="0"/>
      <w:marBottom w:val="0"/>
      <w:divBdr>
        <w:top w:val="none" w:sz="0" w:space="0" w:color="auto"/>
        <w:left w:val="none" w:sz="0" w:space="0" w:color="auto"/>
        <w:bottom w:val="none" w:sz="0" w:space="0" w:color="auto"/>
        <w:right w:val="none" w:sz="0" w:space="0" w:color="auto"/>
      </w:divBdr>
    </w:div>
    <w:div w:id="266930668">
      <w:bodyDiv w:val="1"/>
      <w:marLeft w:val="0"/>
      <w:marRight w:val="0"/>
      <w:marTop w:val="0"/>
      <w:marBottom w:val="0"/>
      <w:divBdr>
        <w:top w:val="none" w:sz="0" w:space="0" w:color="auto"/>
        <w:left w:val="none" w:sz="0" w:space="0" w:color="auto"/>
        <w:bottom w:val="none" w:sz="0" w:space="0" w:color="auto"/>
        <w:right w:val="none" w:sz="0" w:space="0" w:color="auto"/>
      </w:divBdr>
    </w:div>
    <w:div w:id="570694511">
      <w:bodyDiv w:val="1"/>
      <w:marLeft w:val="0"/>
      <w:marRight w:val="0"/>
      <w:marTop w:val="0"/>
      <w:marBottom w:val="0"/>
      <w:divBdr>
        <w:top w:val="none" w:sz="0" w:space="0" w:color="auto"/>
        <w:left w:val="none" w:sz="0" w:space="0" w:color="auto"/>
        <w:bottom w:val="none" w:sz="0" w:space="0" w:color="auto"/>
        <w:right w:val="none" w:sz="0" w:space="0" w:color="auto"/>
      </w:divBdr>
    </w:div>
    <w:div w:id="596712948">
      <w:bodyDiv w:val="1"/>
      <w:marLeft w:val="0"/>
      <w:marRight w:val="0"/>
      <w:marTop w:val="0"/>
      <w:marBottom w:val="0"/>
      <w:divBdr>
        <w:top w:val="none" w:sz="0" w:space="0" w:color="auto"/>
        <w:left w:val="none" w:sz="0" w:space="0" w:color="auto"/>
        <w:bottom w:val="none" w:sz="0" w:space="0" w:color="auto"/>
        <w:right w:val="none" w:sz="0" w:space="0" w:color="auto"/>
      </w:divBdr>
    </w:div>
    <w:div w:id="858351284">
      <w:bodyDiv w:val="1"/>
      <w:marLeft w:val="0"/>
      <w:marRight w:val="0"/>
      <w:marTop w:val="0"/>
      <w:marBottom w:val="0"/>
      <w:divBdr>
        <w:top w:val="none" w:sz="0" w:space="0" w:color="auto"/>
        <w:left w:val="none" w:sz="0" w:space="0" w:color="auto"/>
        <w:bottom w:val="none" w:sz="0" w:space="0" w:color="auto"/>
        <w:right w:val="none" w:sz="0" w:space="0" w:color="auto"/>
      </w:divBdr>
    </w:div>
    <w:div w:id="1063214835">
      <w:bodyDiv w:val="1"/>
      <w:marLeft w:val="0"/>
      <w:marRight w:val="0"/>
      <w:marTop w:val="0"/>
      <w:marBottom w:val="0"/>
      <w:divBdr>
        <w:top w:val="none" w:sz="0" w:space="0" w:color="auto"/>
        <w:left w:val="none" w:sz="0" w:space="0" w:color="auto"/>
        <w:bottom w:val="none" w:sz="0" w:space="0" w:color="auto"/>
        <w:right w:val="none" w:sz="0" w:space="0" w:color="auto"/>
      </w:divBdr>
    </w:div>
    <w:div w:id="1236622521">
      <w:bodyDiv w:val="1"/>
      <w:marLeft w:val="0"/>
      <w:marRight w:val="0"/>
      <w:marTop w:val="0"/>
      <w:marBottom w:val="0"/>
      <w:divBdr>
        <w:top w:val="none" w:sz="0" w:space="0" w:color="auto"/>
        <w:left w:val="none" w:sz="0" w:space="0" w:color="auto"/>
        <w:bottom w:val="none" w:sz="0" w:space="0" w:color="auto"/>
        <w:right w:val="none" w:sz="0" w:space="0" w:color="auto"/>
      </w:divBdr>
    </w:div>
    <w:div w:id="1343824779">
      <w:bodyDiv w:val="1"/>
      <w:marLeft w:val="0"/>
      <w:marRight w:val="0"/>
      <w:marTop w:val="0"/>
      <w:marBottom w:val="0"/>
      <w:divBdr>
        <w:top w:val="none" w:sz="0" w:space="0" w:color="auto"/>
        <w:left w:val="none" w:sz="0" w:space="0" w:color="auto"/>
        <w:bottom w:val="none" w:sz="0" w:space="0" w:color="auto"/>
        <w:right w:val="none" w:sz="0" w:space="0" w:color="auto"/>
      </w:divBdr>
    </w:div>
    <w:div w:id="1575359820">
      <w:bodyDiv w:val="1"/>
      <w:marLeft w:val="0"/>
      <w:marRight w:val="0"/>
      <w:marTop w:val="0"/>
      <w:marBottom w:val="0"/>
      <w:divBdr>
        <w:top w:val="none" w:sz="0" w:space="0" w:color="auto"/>
        <w:left w:val="none" w:sz="0" w:space="0" w:color="auto"/>
        <w:bottom w:val="none" w:sz="0" w:space="0" w:color="auto"/>
        <w:right w:val="none" w:sz="0" w:space="0" w:color="auto"/>
      </w:divBdr>
    </w:div>
    <w:div w:id="1614630677">
      <w:bodyDiv w:val="1"/>
      <w:marLeft w:val="0"/>
      <w:marRight w:val="0"/>
      <w:marTop w:val="0"/>
      <w:marBottom w:val="0"/>
      <w:divBdr>
        <w:top w:val="none" w:sz="0" w:space="0" w:color="auto"/>
        <w:left w:val="none" w:sz="0" w:space="0" w:color="auto"/>
        <w:bottom w:val="none" w:sz="0" w:space="0" w:color="auto"/>
        <w:right w:val="none" w:sz="0" w:space="0" w:color="auto"/>
      </w:divBdr>
    </w:div>
    <w:div w:id="1752505819">
      <w:bodyDiv w:val="1"/>
      <w:marLeft w:val="0"/>
      <w:marRight w:val="0"/>
      <w:marTop w:val="0"/>
      <w:marBottom w:val="0"/>
      <w:divBdr>
        <w:top w:val="none" w:sz="0" w:space="0" w:color="auto"/>
        <w:left w:val="none" w:sz="0" w:space="0" w:color="auto"/>
        <w:bottom w:val="none" w:sz="0" w:space="0" w:color="auto"/>
        <w:right w:val="none" w:sz="0" w:space="0" w:color="auto"/>
      </w:divBdr>
    </w:div>
    <w:div w:id="1862433517">
      <w:bodyDiv w:val="1"/>
      <w:marLeft w:val="0"/>
      <w:marRight w:val="0"/>
      <w:marTop w:val="0"/>
      <w:marBottom w:val="0"/>
      <w:divBdr>
        <w:top w:val="none" w:sz="0" w:space="0" w:color="auto"/>
        <w:left w:val="none" w:sz="0" w:space="0" w:color="auto"/>
        <w:bottom w:val="none" w:sz="0" w:space="0" w:color="auto"/>
        <w:right w:val="none" w:sz="0" w:space="0" w:color="auto"/>
      </w:divBdr>
    </w:div>
    <w:div w:id="1977444233">
      <w:bodyDiv w:val="1"/>
      <w:marLeft w:val="0"/>
      <w:marRight w:val="0"/>
      <w:marTop w:val="0"/>
      <w:marBottom w:val="0"/>
      <w:divBdr>
        <w:top w:val="none" w:sz="0" w:space="0" w:color="auto"/>
        <w:left w:val="none" w:sz="0" w:space="0" w:color="auto"/>
        <w:bottom w:val="none" w:sz="0" w:space="0" w:color="auto"/>
        <w:right w:val="none" w:sz="0" w:space="0" w:color="auto"/>
      </w:divBdr>
    </w:div>
    <w:div w:id="2011252319">
      <w:bodyDiv w:val="1"/>
      <w:marLeft w:val="0"/>
      <w:marRight w:val="0"/>
      <w:marTop w:val="0"/>
      <w:marBottom w:val="0"/>
      <w:divBdr>
        <w:top w:val="none" w:sz="0" w:space="0" w:color="auto"/>
        <w:left w:val="none" w:sz="0" w:space="0" w:color="auto"/>
        <w:bottom w:val="none" w:sz="0" w:space="0" w:color="auto"/>
        <w:right w:val="none" w:sz="0" w:space="0" w:color="auto"/>
      </w:divBdr>
    </w:div>
    <w:div w:id="21090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София, март-май 2018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BD9DA-21EB-4D1F-8EE6-E83AC023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41</Pages>
  <Words>15635</Words>
  <Characters>89126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Цялостна предварителна оценка на въздействието на проект на Закон за превенция от неблагоприятни климатични събития в земеделието</vt:lpstr>
    </vt:vector>
  </TitlesOfParts>
  <Company>министерство на земделието, храните и горите на република българия</Company>
  <LinksUpToDate>false</LinksUpToDate>
  <CharactersWithSpaces>104552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Цялостна предварителна оценка на въздействието на проект на Закон за превенция от неблагоприятни климатични събития в земеделието</dc:title>
  <dc:subject>Доклад от извършена цялостна предварителна оценка на въздействието</dc:subject>
  <dc:creator>ANG</dc:creator>
  <cp:lastModifiedBy>Tsvetomir Trifonov</cp:lastModifiedBy>
  <cp:revision>225</cp:revision>
  <cp:lastPrinted>2018-05-14T09:21:00Z</cp:lastPrinted>
  <dcterms:created xsi:type="dcterms:W3CDTF">2018-04-25T07:21:00Z</dcterms:created>
  <dcterms:modified xsi:type="dcterms:W3CDTF">2018-05-23T12:19:00Z</dcterms:modified>
</cp:coreProperties>
</file>