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80908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Утвърдил:</w:t>
      </w:r>
    </w:p>
    <w:p w14:paraId="596F5291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</w:p>
    <w:p w14:paraId="1EBF7CA3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</w:rPr>
        <w:tab/>
        <w:t>……………………………………………………</w:t>
      </w:r>
    </w:p>
    <w:p w14:paraId="331D4BA3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</w:p>
    <w:p w14:paraId="05EB7E91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Ръководител на УО на ПРСР:</w:t>
      </w:r>
    </w:p>
    <w:p w14:paraId="366325B1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</w:p>
    <w:p w14:paraId="14A9C6CD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Д-р Лозана Василева</w:t>
      </w:r>
    </w:p>
    <w:p w14:paraId="503C7599" w14:textId="77777777" w:rsidR="00977350" w:rsidRDefault="00977350" w:rsidP="00977350">
      <w:pPr>
        <w:tabs>
          <w:tab w:val="left" w:pos="6663"/>
        </w:tabs>
        <w:jc w:val="both"/>
        <w:rPr>
          <w:b/>
          <w:sz w:val="24"/>
          <w:szCs w:val="24"/>
        </w:rPr>
      </w:pPr>
    </w:p>
    <w:p w14:paraId="3A78413B" w14:textId="77777777" w:rsidR="00977350" w:rsidRPr="00B27191" w:rsidRDefault="00977350" w:rsidP="00977350">
      <w:pPr>
        <w:tabs>
          <w:tab w:val="left" w:pos="6663"/>
        </w:tabs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ab/>
      </w:r>
      <w:r w:rsidRPr="00B27191">
        <w:rPr>
          <w:b/>
          <w:i/>
          <w:sz w:val="24"/>
          <w:szCs w:val="24"/>
        </w:rPr>
        <w:t>Заместник-министър на земеделието, храните и горите</w:t>
      </w:r>
    </w:p>
    <w:p w14:paraId="326B3553" w14:textId="77777777" w:rsidR="00977350" w:rsidRDefault="00977350" w:rsidP="00C45043">
      <w:pPr>
        <w:jc w:val="center"/>
        <w:rPr>
          <w:b/>
          <w:sz w:val="24"/>
          <w:szCs w:val="24"/>
        </w:rPr>
      </w:pPr>
    </w:p>
    <w:p w14:paraId="55E9702B" w14:textId="77777777" w:rsidR="00977350" w:rsidRDefault="00977350" w:rsidP="00C45043">
      <w:pPr>
        <w:jc w:val="center"/>
        <w:rPr>
          <w:b/>
          <w:sz w:val="24"/>
          <w:szCs w:val="24"/>
        </w:rPr>
      </w:pPr>
    </w:p>
    <w:p w14:paraId="7780F23E" w14:textId="77777777" w:rsidR="00977350" w:rsidRDefault="00977350" w:rsidP="00C45043">
      <w:pPr>
        <w:jc w:val="center"/>
        <w:rPr>
          <w:b/>
          <w:sz w:val="24"/>
          <w:szCs w:val="24"/>
        </w:rPr>
      </w:pPr>
    </w:p>
    <w:p w14:paraId="28DA1F73" w14:textId="77777777" w:rsidR="00C45043" w:rsidRPr="00D34AF6" w:rsidRDefault="00240F07" w:rsidP="00C45043">
      <w:pPr>
        <w:jc w:val="center"/>
        <w:rPr>
          <w:b/>
          <w:sz w:val="24"/>
          <w:szCs w:val="24"/>
        </w:rPr>
      </w:pPr>
      <w:r w:rsidRPr="00D34AF6">
        <w:rPr>
          <w:b/>
          <w:sz w:val="24"/>
          <w:szCs w:val="24"/>
        </w:rPr>
        <w:t>Таблица</w:t>
      </w:r>
    </w:p>
    <w:p w14:paraId="52F53A0B" w14:textId="77777777" w:rsidR="00CF5F9B" w:rsidRPr="00D34AF6" w:rsidRDefault="00240F07" w:rsidP="00C45043">
      <w:pPr>
        <w:jc w:val="center"/>
        <w:rPr>
          <w:b/>
          <w:sz w:val="24"/>
          <w:szCs w:val="24"/>
        </w:rPr>
      </w:pPr>
      <w:r w:rsidRPr="00D34AF6">
        <w:rPr>
          <w:b/>
          <w:sz w:val="24"/>
          <w:szCs w:val="24"/>
        </w:rPr>
        <w:t xml:space="preserve">за </w:t>
      </w:r>
      <w:r w:rsidR="00C45043" w:rsidRPr="00D34AF6">
        <w:rPr>
          <w:b/>
          <w:sz w:val="24"/>
          <w:szCs w:val="24"/>
        </w:rPr>
        <w:t xml:space="preserve">направените предложения и </w:t>
      </w:r>
      <w:r w:rsidR="00977350">
        <w:rPr>
          <w:b/>
          <w:sz w:val="24"/>
          <w:szCs w:val="24"/>
        </w:rPr>
        <w:t>възражения</w:t>
      </w:r>
      <w:r w:rsidR="00C45043" w:rsidRPr="00D34AF6">
        <w:rPr>
          <w:b/>
          <w:sz w:val="24"/>
          <w:szCs w:val="24"/>
        </w:rPr>
        <w:t xml:space="preserve"> в процеса на обществено обсъждане на проект на условия за кандидатстване, условия за изпълнение и пакет документи за кандидатстване по процедура чрез подбор</w:t>
      </w:r>
      <w:r w:rsidR="00C45043" w:rsidRPr="00D34AF6">
        <w:rPr>
          <w:sz w:val="24"/>
          <w:szCs w:val="24"/>
        </w:rPr>
        <w:t xml:space="preserve"> </w:t>
      </w:r>
      <w:r w:rsidR="00C45043" w:rsidRPr="00D34AF6">
        <w:rPr>
          <w:b/>
          <w:sz w:val="24"/>
          <w:szCs w:val="24"/>
        </w:rPr>
        <w:t>по подмярка 8.</w:t>
      </w:r>
      <w:r w:rsidR="006E5986">
        <w:rPr>
          <w:b/>
          <w:sz w:val="24"/>
          <w:szCs w:val="24"/>
        </w:rPr>
        <w:t>3</w:t>
      </w:r>
      <w:r w:rsidR="00C45043" w:rsidRPr="00D34AF6">
        <w:rPr>
          <w:b/>
          <w:sz w:val="24"/>
          <w:szCs w:val="24"/>
        </w:rPr>
        <w:t xml:space="preserve"> „</w:t>
      </w:r>
      <w:r w:rsidR="006E5986" w:rsidRPr="006E5986">
        <w:rPr>
          <w:b/>
          <w:sz w:val="24"/>
          <w:szCs w:val="24"/>
        </w:rPr>
        <w:t>Предотвратяване на щети по горите от горски пожари, природни бедствия и катастрофични събития</w:t>
      </w:r>
      <w:r w:rsidR="00C45043" w:rsidRPr="00D34AF6">
        <w:rPr>
          <w:b/>
          <w:sz w:val="24"/>
          <w:szCs w:val="24"/>
        </w:rPr>
        <w:t>“ от мярка 8 „Инвестиции в развитие на горските райони и подобряване жизнеспособността на горите“ от Програмата за развитие на селските райони за периода 2014 – 2020 г.</w:t>
      </w:r>
    </w:p>
    <w:p w14:paraId="24C0ABD6" w14:textId="77777777" w:rsidR="00240F07" w:rsidRPr="00D34AF6" w:rsidRDefault="00240F07">
      <w:pPr>
        <w:rPr>
          <w:sz w:val="24"/>
          <w:szCs w:val="24"/>
        </w:rPr>
      </w:pPr>
    </w:p>
    <w:p w14:paraId="0E8D038B" w14:textId="77777777" w:rsidR="00240F07" w:rsidRPr="00D34AF6" w:rsidRDefault="00240F07">
      <w:pPr>
        <w:rPr>
          <w:sz w:val="24"/>
          <w:szCs w:val="24"/>
        </w:rPr>
      </w:pPr>
    </w:p>
    <w:tbl>
      <w:tblPr>
        <w:tblStyle w:val="TableGrid"/>
        <w:tblW w:w="13291" w:type="dxa"/>
        <w:tblLook w:val="04A0" w:firstRow="1" w:lastRow="0" w:firstColumn="1" w:lastColumn="0" w:noHBand="0" w:noVBand="1"/>
      </w:tblPr>
      <w:tblGrid>
        <w:gridCol w:w="517"/>
        <w:gridCol w:w="2924"/>
        <w:gridCol w:w="1551"/>
        <w:gridCol w:w="4532"/>
        <w:gridCol w:w="3767"/>
      </w:tblGrid>
      <w:tr w:rsidR="00C45043" w:rsidRPr="00D34AF6" w14:paraId="39FC9247" w14:textId="77777777" w:rsidTr="00C73583">
        <w:tc>
          <w:tcPr>
            <w:tcW w:w="517" w:type="dxa"/>
          </w:tcPr>
          <w:p w14:paraId="52CD93F5" w14:textId="77777777" w:rsidR="00C45043" w:rsidRPr="00D34AF6" w:rsidRDefault="00C45043" w:rsidP="00C4504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4AF6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24" w:type="dxa"/>
          </w:tcPr>
          <w:p w14:paraId="33B1FB24" w14:textId="77777777" w:rsidR="00C45043" w:rsidRPr="00D34AF6" w:rsidRDefault="00C45043" w:rsidP="00C4504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4AF6">
              <w:rPr>
                <w:rFonts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51" w:type="dxa"/>
          </w:tcPr>
          <w:p w14:paraId="4DFC6573" w14:textId="77777777" w:rsidR="00C45043" w:rsidRPr="00D34AF6" w:rsidRDefault="00C45043" w:rsidP="00C4504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4AF6">
              <w:rPr>
                <w:rFonts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4532" w:type="dxa"/>
          </w:tcPr>
          <w:p w14:paraId="66CCD0A8" w14:textId="77777777" w:rsidR="00C45043" w:rsidRPr="00D34AF6" w:rsidRDefault="00C45043" w:rsidP="00C4504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4AF6">
              <w:rPr>
                <w:rFonts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3767" w:type="dxa"/>
          </w:tcPr>
          <w:p w14:paraId="5A6D9BBD" w14:textId="77777777" w:rsidR="00C45043" w:rsidRPr="00D34AF6" w:rsidRDefault="00C45043" w:rsidP="00C45043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4AF6">
              <w:rPr>
                <w:rFonts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C73583" w:rsidRPr="00D34AF6" w14:paraId="7FDE51F1" w14:textId="77777777" w:rsidTr="00C73583">
        <w:tc>
          <w:tcPr>
            <w:tcW w:w="517" w:type="dxa"/>
            <w:vMerge w:val="restart"/>
          </w:tcPr>
          <w:p w14:paraId="298487DC" w14:textId="77777777" w:rsidR="00C73583" w:rsidRPr="006E5986" w:rsidRDefault="00C73583" w:rsidP="00C4504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E5986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924" w:type="dxa"/>
            <w:vMerge w:val="restart"/>
          </w:tcPr>
          <w:p w14:paraId="5C5CC322" w14:textId="77777777" w:rsidR="00C73583" w:rsidRPr="006E5986" w:rsidRDefault="00C73583" w:rsidP="00C4504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E5986">
              <w:rPr>
                <w:rFonts w:cs="Times New Roman"/>
                <w:sz w:val="24"/>
                <w:szCs w:val="24"/>
              </w:rPr>
              <w:t>Община Белоградчик</w:t>
            </w:r>
          </w:p>
        </w:tc>
        <w:tc>
          <w:tcPr>
            <w:tcW w:w="1551" w:type="dxa"/>
          </w:tcPr>
          <w:p w14:paraId="6DB6E2BD" w14:textId="77777777" w:rsidR="00C73583" w:rsidRPr="006E5986" w:rsidRDefault="00C73583" w:rsidP="00C4504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6E5986">
              <w:rPr>
                <w:rFonts w:cs="Times New Roman"/>
                <w:sz w:val="24"/>
                <w:szCs w:val="24"/>
              </w:rPr>
              <w:t>10.04.2018</w:t>
            </w:r>
          </w:p>
        </w:tc>
        <w:tc>
          <w:tcPr>
            <w:tcW w:w="4532" w:type="dxa"/>
          </w:tcPr>
          <w:p w14:paraId="1C256260" w14:textId="77777777" w:rsidR="00C73583" w:rsidRPr="00C313D4" w:rsidRDefault="00C73583" w:rsidP="006E5986">
            <w:pPr>
              <w:widowControl/>
              <w:autoSpaceDE/>
              <w:autoSpaceDN/>
              <w:adjustRightInd/>
              <w:spacing w:before="120" w:line="300" w:lineRule="exact"/>
              <w:jc w:val="both"/>
              <w:rPr>
                <w:rFonts w:cs="Times New Roman"/>
                <w:sz w:val="24"/>
                <w:szCs w:val="24"/>
                <w:lang w:eastAsia="bg-BG"/>
              </w:rPr>
            </w:pPr>
            <w:r w:rsidRPr="00C313D4">
              <w:rPr>
                <w:rFonts w:eastAsia="Times New Roman" w:cs="Times New Roman"/>
                <w:sz w:val="24"/>
                <w:szCs w:val="24"/>
                <w:lang w:eastAsia="bg-BG"/>
              </w:rPr>
              <w:t xml:space="preserve">Според </w:t>
            </w:r>
            <w:r w:rsidRPr="00C313D4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т.1 от Раздел 21.2 „</w:t>
            </w:r>
            <w:r w:rsidRPr="00C313D4">
              <w:rPr>
                <w:rFonts w:eastAsia="Times New Roman" w:cs="Times New Roman"/>
                <w:sz w:val="24"/>
                <w:szCs w:val="24"/>
                <w:lang w:eastAsia="bg-BG"/>
              </w:rPr>
              <w:t>Оценка на административно съответствие и допустимост</w:t>
            </w:r>
            <w:r w:rsidRPr="00C313D4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“, се извършва процедура чрез подбор на проектни предложения до достигане на 110% от бюджета по процедурата, в</w:t>
            </w:r>
            <w:r w:rsidRPr="00C313D4">
              <w:rPr>
                <w:rFonts w:cs="Times New Roman"/>
                <w:sz w:val="24"/>
                <w:szCs w:val="24"/>
                <w:lang w:eastAsia="bg-BG"/>
              </w:rPr>
              <w:t xml:space="preserve">ъз основа на извършената предварителна оценка на проектите, за чието финансирането попада в рамките на 130% от бюджета, включително проектните предложения, получили </w:t>
            </w:r>
            <w:r w:rsidRPr="00C313D4">
              <w:rPr>
                <w:rFonts w:cs="Times New Roman"/>
                <w:sz w:val="24"/>
                <w:szCs w:val="24"/>
                <w:lang w:eastAsia="bg-BG"/>
              </w:rPr>
              <w:lastRenderedPageBreak/>
              <w:t>еднакъв брой точки. (по т.7, буква „а“ от раздел 21.1).</w:t>
            </w:r>
          </w:p>
          <w:p w14:paraId="613BBE23" w14:textId="77777777" w:rsidR="00C73583" w:rsidRPr="00EC2443" w:rsidRDefault="00C73583" w:rsidP="00C114A1">
            <w:pPr>
              <w:widowControl/>
              <w:autoSpaceDE/>
              <w:autoSpaceDN/>
              <w:adjustRightInd/>
              <w:spacing w:before="120" w:line="300" w:lineRule="exact"/>
              <w:jc w:val="both"/>
              <w:rPr>
                <w:rFonts w:cs="Times New Roman"/>
                <w:sz w:val="24"/>
                <w:szCs w:val="24"/>
                <w:highlight w:val="yellow"/>
              </w:rPr>
            </w:pPr>
            <w:r w:rsidRPr="00C313D4">
              <w:rPr>
                <w:rFonts w:eastAsia="Times New Roman" w:cs="Times New Roman"/>
                <w:sz w:val="24"/>
                <w:szCs w:val="24"/>
                <w:lang w:eastAsia="bg-BG"/>
              </w:rPr>
              <w:t>Какво се случва с проектните предложения, които при извършване на оценката на административно съответствие и допустимост, попаднат ориентировъчно в диапазона 99%÷112% и имат равен брой точки?</w:t>
            </w:r>
          </w:p>
        </w:tc>
        <w:tc>
          <w:tcPr>
            <w:tcW w:w="3767" w:type="dxa"/>
          </w:tcPr>
          <w:p w14:paraId="56A6916B" w14:textId="77777777" w:rsidR="0049596C" w:rsidRPr="00EC2443" w:rsidRDefault="0049596C" w:rsidP="00EC2443">
            <w:pPr>
              <w:rPr>
                <w:rFonts w:cs="Times New Roman"/>
                <w:sz w:val="24"/>
                <w:szCs w:val="24"/>
                <w:lang w:val="en-US"/>
              </w:rPr>
            </w:pPr>
          </w:p>
          <w:p w14:paraId="64093737" w14:textId="77777777" w:rsidR="00C313D4" w:rsidRDefault="00C313D4" w:rsidP="00C313D4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 w:cs="Times New Roman"/>
                <w:sz w:val="24"/>
                <w:szCs w:val="24"/>
              </w:rPr>
            </w:pPr>
            <w:r w:rsidRPr="008B2FE1">
              <w:rPr>
                <w:rFonts w:eastAsiaTheme="minorHAnsi" w:cs="Times New Roman"/>
                <w:sz w:val="24"/>
                <w:szCs w:val="24"/>
              </w:rPr>
              <w:t xml:space="preserve">В т. 1 от </w:t>
            </w:r>
            <w:r w:rsidRPr="008B2FE1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Раздел 21.2 „</w:t>
            </w:r>
            <w:r w:rsidRPr="008B2FE1">
              <w:rPr>
                <w:rFonts w:eastAsia="Times New Roman" w:cs="Times New Roman"/>
                <w:sz w:val="24"/>
                <w:szCs w:val="24"/>
                <w:lang w:eastAsia="bg-BG"/>
              </w:rPr>
              <w:t>Оценка на административно съответствие и допустимост</w:t>
            </w:r>
            <w:r w:rsidRPr="008B2FE1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 xml:space="preserve">“ и </w:t>
            </w:r>
            <w:r w:rsidRPr="008B2FE1">
              <w:rPr>
                <w:rFonts w:cs="Times New Roman"/>
                <w:sz w:val="24"/>
                <w:szCs w:val="24"/>
                <w:lang w:eastAsia="bg-BG"/>
              </w:rPr>
              <w:t>по т.7, буква „а“ от раздел 21.1</w:t>
            </w:r>
            <w:r w:rsidRPr="008B2FE1">
              <w:rPr>
                <w:rFonts w:eastAsiaTheme="minorHAnsi" w:cs="Times New Roman"/>
                <w:sz w:val="24"/>
                <w:szCs w:val="24"/>
              </w:rPr>
              <w:t xml:space="preserve"> са транспонирани разпоредбите на чл. 9в, ал. 6, т. 1 и чл. 9г от Закона за подпомагане на земеделските производители.</w:t>
            </w:r>
          </w:p>
          <w:p w14:paraId="50982E78" w14:textId="77777777" w:rsidR="00C313D4" w:rsidRPr="008B2FE1" w:rsidRDefault="00C313D4" w:rsidP="00C313D4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rFonts w:eastAsiaTheme="minorHAnsi" w:cs="Times New Roman"/>
                <w:sz w:val="24"/>
                <w:szCs w:val="24"/>
              </w:rPr>
            </w:pPr>
            <w:r w:rsidRPr="008B2FE1">
              <w:rPr>
                <w:rFonts w:eastAsiaTheme="minorHAnsi" w:cs="Times New Roman"/>
                <w:sz w:val="24"/>
                <w:szCs w:val="24"/>
              </w:rPr>
              <w:t xml:space="preserve">Класирането на проектите ще </w:t>
            </w:r>
            <w:r w:rsidRPr="008B2FE1">
              <w:rPr>
                <w:rFonts w:eastAsiaTheme="minorHAnsi" w:cs="Times New Roman"/>
                <w:sz w:val="24"/>
                <w:szCs w:val="24"/>
              </w:rPr>
              <w:lastRenderedPageBreak/>
              <w:t>става съгласно наличният бюджет, съгласно разпоредбите на чл. 9в, ал. 6, т. 1 и чл. 9г от Закона за подпомагане на земеделските производители при извършване на предварителна оценка и административно съответствие на проектните предложения с еднакъв брой точки.</w:t>
            </w:r>
          </w:p>
          <w:p w14:paraId="51853F68" w14:textId="0BA86465" w:rsidR="00C73583" w:rsidRPr="0049596C" w:rsidRDefault="00C313D4" w:rsidP="00C313D4">
            <w:pPr>
              <w:jc w:val="both"/>
              <w:rPr>
                <w:rFonts w:cs="Times New Roman"/>
                <w:sz w:val="24"/>
                <w:szCs w:val="24"/>
              </w:rPr>
            </w:pPr>
            <w:r w:rsidRPr="008B2FE1">
              <w:rPr>
                <w:rFonts w:cs="Times New Roman"/>
                <w:color w:val="000000"/>
                <w:sz w:val="24"/>
                <w:szCs w:val="24"/>
                <w:lang w:eastAsia="bg-BG"/>
              </w:rPr>
              <w:t>В случаите, когато бюджета е по-малко от броя на проектите с еднакъв брой точки, за които е наличен частичен разполагаем бюджет те няма да бъда одобряван</w:t>
            </w:r>
            <w:r>
              <w:rPr>
                <w:rFonts w:cs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8B2FE1">
              <w:rPr>
                <w:rFonts w:cs="Times New Roman"/>
                <w:color w:val="000000"/>
                <w:sz w:val="24"/>
                <w:szCs w:val="24"/>
                <w:lang w:eastAsia="bg-BG"/>
              </w:rPr>
              <w:t xml:space="preserve">, защото не е предвиден такъв механизъм в </w:t>
            </w:r>
            <w:r w:rsidRPr="008B2FE1">
              <w:rPr>
                <w:rFonts w:eastAsiaTheme="minorHAnsi" w:cs="Times New Roman"/>
                <w:sz w:val="24"/>
                <w:szCs w:val="24"/>
              </w:rPr>
              <w:t>Закона за подпомагане на земеделските производители.</w:t>
            </w:r>
          </w:p>
        </w:tc>
      </w:tr>
      <w:tr w:rsidR="00C73583" w:rsidRPr="00D34AF6" w14:paraId="1F2E3FA0" w14:textId="77777777" w:rsidTr="00C73583">
        <w:tc>
          <w:tcPr>
            <w:tcW w:w="517" w:type="dxa"/>
            <w:vMerge/>
          </w:tcPr>
          <w:p w14:paraId="0EFA909A" w14:textId="77777777" w:rsidR="00C73583" w:rsidRPr="006E5986" w:rsidRDefault="00C73583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14:paraId="3D8A15C6" w14:textId="77777777" w:rsidR="00C73583" w:rsidRPr="006E5986" w:rsidRDefault="00C73583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75721EC0" w14:textId="77777777" w:rsidR="00C73583" w:rsidRPr="006E5986" w:rsidRDefault="00C73583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36129314" w14:textId="77777777" w:rsidR="00C73583" w:rsidRPr="00EC2443" w:rsidRDefault="00C73583" w:rsidP="00C114A1">
            <w:pPr>
              <w:widowControl/>
              <w:autoSpaceDE/>
              <w:autoSpaceDN/>
              <w:adjustRightInd/>
              <w:spacing w:before="120" w:line="300" w:lineRule="exact"/>
              <w:jc w:val="both"/>
              <w:rPr>
                <w:rFonts w:cs="Times New Roman"/>
                <w:sz w:val="24"/>
                <w:szCs w:val="24"/>
                <w:highlight w:val="yellow"/>
              </w:rPr>
            </w:pPr>
            <w:r w:rsidRPr="00C313D4">
              <w:rPr>
                <w:rFonts w:eastAsia="Times New Roman" w:cs="Times New Roman"/>
                <w:sz w:val="24"/>
                <w:szCs w:val="24"/>
                <w:lang w:eastAsia="bg-BG"/>
              </w:rPr>
              <w:t xml:space="preserve">В насоките за кандидатстване по </w:t>
            </w:r>
            <w:proofErr w:type="spellStart"/>
            <w:r w:rsidRPr="00C313D4">
              <w:rPr>
                <w:rFonts w:eastAsia="Times New Roman" w:cs="Times New Roman"/>
                <w:sz w:val="24"/>
                <w:szCs w:val="24"/>
                <w:lang w:eastAsia="bg-BG"/>
              </w:rPr>
              <w:t>процедурaта</w:t>
            </w:r>
            <w:proofErr w:type="spellEnd"/>
            <w:r w:rsidRPr="00C313D4">
              <w:rPr>
                <w:rFonts w:eastAsia="Times New Roman" w:cs="Times New Roman"/>
                <w:sz w:val="24"/>
                <w:szCs w:val="24"/>
                <w:lang w:eastAsia="bg-BG"/>
              </w:rPr>
              <w:t xml:space="preserve"> трябва да се уточнени ще бъдат ли и как подпомогнати проектите, които имат равен брой точки, но тяхното финансиране попада частично в рамките на бюджета по подмярката.</w:t>
            </w:r>
          </w:p>
        </w:tc>
        <w:tc>
          <w:tcPr>
            <w:tcW w:w="3767" w:type="dxa"/>
          </w:tcPr>
          <w:p w14:paraId="4E3D7479" w14:textId="77777777" w:rsidR="00C313D4" w:rsidRPr="00C313D4" w:rsidRDefault="00C313D4" w:rsidP="00C313D4">
            <w:pPr>
              <w:spacing w:before="120"/>
              <w:jc w:val="both"/>
              <w:rPr>
                <w:rFonts w:cs="Times New Roman"/>
                <w:sz w:val="24"/>
                <w:szCs w:val="24"/>
              </w:rPr>
            </w:pPr>
            <w:r w:rsidRPr="00C313D4">
              <w:rPr>
                <w:rFonts w:cs="Times New Roman"/>
                <w:sz w:val="24"/>
                <w:szCs w:val="24"/>
              </w:rPr>
              <w:t xml:space="preserve">Не се приема. В Закона за подпомагане на земеделските производители не е предвидена тази възможност. </w:t>
            </w:r>
          </w:p>
          <w:p w14:paraId="15B1A336" w14:textId="77777777" w:rsidR="00C73583" w:rsidRDefault="00C313D4" w:rsidP="001B53AE">
            <w:pPr>
              <w:spacing w:before="120"/>
              <w:jc w:val="both"/>
              <w:rPr>
                <w:rFonts w:cs="Times New Roman"/>
                <w:sz w:val="24"/>
                <w:szCs w:val="24"/>
              </w:rPr>
            </w:pPr>
            <w:r w:rsidRPr="00C313D4">
              <w:rPr>
                <w:rFonts w:cs="Times New Roman"/>
                <w:sz w:val="24"/>
                <w:szCs w:val="24"/>
              </w:rPr>
              <w:t>В случаите, когато бюджета е по-малко от броя на проектите с еднакъв брой точки, за които е наличен частичен разполагаем бюджет те няма да бъда одобряван</w:t>
            </w:r>
            <w:r w:rsidR="001B53AE">
              <w:rPr>
                <w:rFonts w:cs="Times New Roman"/>
                <w:sz w:val="24"/>
                <w:szCs w:val="24"/>
              </w:rPr>
              <w:t>и</w:t>
            </w:r>
            <w:r w:rsidRPr="00C313D4">
              <w:rPr>
                <w:rFonts w:cs="Times New Roman"/>
                <w:sz w:val="24"/>
                <w:szCs w:val="24"/>
              </w:rPr>
              <w:t>.</w:t>
            </w:r>
          </w:p>
          <w:p w14:paraId="01A12C54" w14:textId="24D8E9C4" w:rsidR="009E2761" w:rsidRPr="006E5986" w:rsidRDefault="009E2761" w:rsidP="001B53AE">
            <w:pPr>
              <w:spacing w:before="120"/>
              <w:jc w:val="both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B1E08" w:rsidRPr="00D34AF6" w14:paraId="3E66E2C2" w14:textId="77777777" w:rsidTr="00C73583">
        <w:tc>
          <w:tcPr>
            <w:tcW w:w="517" w:type="dxa"/>
            <w:vMerge w:val="restart"/>
          </w:tcPr>
          <w:p w14:paraId="4C4B9DF0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24" w:type="dxa"/>
            <w:vMerge w:val="restart"/>
          </w:tcPr>
          <w:p w14:paraId="0BF6EA1A" w14:textId="77777777" w:rsidR="001B1E08" w:rsidRPr="00F1727F" w:rsidRDefault="001B1E08" w:rsidP="00C735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Национално сдружение на общините в</w:t>
            </w:r>
          </w:p>
          <w:p w14:paraId="1A7FA471" w14:textId="77777777" w:rsidR="001B1E08" w:rsidRDefault="001B1E08" w:rsidP="00C735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Република България</w:t>
            </w:r>
          </w:p>
          <w:p w14:paraId="2DD430FC" w14:textId="77777777" w:rsidR="001B1E08" w:rsidRPr="006E5986" w:rsidRDefault="001B1E08" w:rsidP="00C735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namrb@namrb.org</w:t>
            </w:r>
          </w:p>
        </w:tc>
        <w:tc>
          <w:tcPr>
            <w:tcW w:w="1551" w:type="dxa"/>
            <w:vMerge w:val="restart"/>
          </w:tcPr>
          <w:p w14:paraId="4067F449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C73583">
              <w:rPr>
                <w:rFonts w:cs="Times New Roman"/>
                <w:sz w:val="24"/>
                <w:szCs w:val="24"/>
              </w:rPr>
              <w:t>16.04.2018</w:t>
            </w:r>
          </w:p>
        </w:tc>
        <w:tc>
          <w:tcPr>
            <w:tcW w:w="4532" w:type="dxa"/>
          </w:tcPr>
          <w:p w14:paraId="6F136BF5" w14:textId="77777777" w:rsidR="001B1E08" w:rsidRPr="006E5986" w:rsidRDefault="001B1E08" w:rsidP="001B1E08">
            <w:pPr>
              <w:widowControl/>
              <w:shd w:val="clear" w:color="auto" w:fill="D9D9D9"/>
              <w:autoSpaceDE/>
              <w:autoSpaceDN/>
              <w:adjustRightInd/>
              <w:spacing w:after="120" w:line="262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smartTag w:uri="urn:schemas-microsoft-com:office:smarttags" w:element="place">
              <w:r w:rsidRPr="00F1727F">
                <w:rPr>
                  <w:rFonts w:eastAsia="SimSun" w:cs="Times New Roman"/>
                  <w:b/>
                  <w:bCs/>
                  <w:sz w:val="24"/>
                  <w:szCs w:val="24"/>
                  <w:lang w:val="en-GB" w:eastAsia="zh-CN"/>
                </w:rPr>
                <w:t>I</w:t>
              </w:r>
              <w:r w:rsidRPr="00F1727F">
                <w:rPr>
                  <w:rFonts w:eastAsia="SimSun" w:cs="Times New Roman"/>
                  <w:b/>
                  <w:bCs/>
                  <w:sz w:val="24"/>
                  <w:szCs w:val="24"/>
                  <w:lang w:val="ru-RU" w:eastAsia="zh-CN"/>
                </w:rPr>
                <w:t>.</w:t>
              </w:r>
            </w:smartTag>
            <w:r w:rsidRPr="00F1727F">
              <w:rPr>
                <w:rFonts w:eastAsia="SimSun" w:cs="Times New Roman"/>
                <w:bCs/>
                <w:sz w:val="24"/>
                <w:szCs w:val="24"/>
                <w:lang w:val="ru-RU" w:eastAsia="zh-CN"/>
              </w:rPr>
              <w:t xml:space="preserve"> </w:t>
            </w:r>
            <w:r w:rsidRPr="00F1727F">
              <w:rPr>
                <w:rFonts w:eastAsia="SimSun" w:cs="Times New Roman"/>
                <w:b/>
                <w:bCs/>
                <w:sz w:val="24"/>
                <w:szCs w:val="24"/>
                <w:lang w:val="ru-RU" w:eastAsia="zh-CN"/>
              </w:rPr>
              <w:t>Коментари по проект на Условия за кандидатстване:</w:t>
            </w:r>
          </w:p>
        </w:tc>
        <w:tc>
          <w:tcPr>
            <w:tcW w:w="3767" w:type="dxa"/>
          </w:tcPr>
          <w:p w14:paraId="5721953B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B1E08" w:rsidRPr="00D34AF6" w14:paraId="1AE99311" w14:textId="77777777" w:rsidTr="00C73583">
        <w:tc>
          <w:tcPr>
            <w:tcW w:w="517" w:type="dxa"/>
            <w:vMerge/>
          </w:tcPr>
          <w:p w14:paraId="0C15FCA7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14:paraId="428A53C8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</w:tcPr>
          <w:p w14:paraId="4FBCF393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1ED93907" w14:textId="77777777" w:rsidR="001B1E08" w:rsidRPr="006E5986" w:rsidRDefault="001B1E08" w:rsidP="00C73583">
            <w:pPr>
              <w:spacing w:line="276" w:lineRule="auto"/>
              <w:ind w:firstLine="709"/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eastAsia="Times New Roman" w:cs="Times New Roman"/>
                <w:b/>
                <w:bCs/>
                <w:sz w:val="24"/>
                <w:szCs w:val="24"/>
              </w:rPr>
              <w:t>1.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</w:rPr>
              <w:t>Стр.7, т. 11.1 „Критерии за допустимост на кандидатите“:</w:t>
            </w:r>
            <w:r w:rsidRPr="00F1727F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1727F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Считаме че не е обосновано само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>регионалните дирекции по горите, респективно лесозащитните станции да имат достъп до инвестиции  за закупуване на комуникационно оборудване и средства за наблюдение на горски пожари (в т.ч. наблюдателни пунктове) или за дейности по предотвратяване и ограничаване на разпространението на вредителите. В тази връзка настояваме за отпадане на ограничението, като всички потенциални кандидати имат достъп до този тип инвестиции;</w:t>
            </w:r>
          </w:p>
        </w:tc>
        <w:tc>
          <w:tcPr>
            <w:tcW w:w="3767" w:type="dxa"/>
          </w:tcPr>
          <w:p w14:paraId="346A6DEE" w14:textId="77777777" w:rsidR="00EC2443" w:rsidRDefault="001B1E08" w:rsidP="001B1E0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се приема. </w:t>
            </w:r>
          </w:p>
          <w:p w14:paraId="0E6D873B" w14:textId="72080B8A" w:rsidR="001B1E08" w:rsidRPr="006E5986" w:rsidRDefault="001B1E08" w:rsidP="001B1E0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Въпросът е коментиран многократно, включително и на Комитет по наблюдение. Така е записано в ПРСР.</w:t>
            </w:r>
          </w:p>
        </w:tc>
      </w:tr>
      <w:tr w:rsidR="001B1E08" w:rsidRPr="00D34AF6" w14:paraId="3BF549E9" w14:textId="77777777" w:rsidTr="00C73583">
        <w:tc>
          <w:tcPr>
            <w:tcW w:w="517" w:type="dxa"/>
            <w:vMerge w:val="restart"/>
          </w:tcPr>
          <w:p w14:paraId="0DBBA23C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 w:val="restart"/>
          </w:tcPr>
          <w:p w14:paraId="724B8DF8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</w:tcPr>
          <w:p w14:paraId="57924972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2218790D" w14:textId="77777777" w:rsidR="001B1E08" w:rsidRPr="006E5986" w:rsidRDefault="001B1E08" w:rsidP="00C73583">
            <w:pPr>
              <w:tabs>
                <w:tab w:val="left" w:pos="720"/>
              </w:tabs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eastAsia="Times New Roman" w:cs="Times New Roman"/>
                <w:b/>
                <w:sz w:val="24"/>
                <w:szCs w:val="24"/>
              </w:rPr>
              <w:tab/>
            </w:r>
            <w:r w:rsidRPr="00F1727F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2. Стр.10, т. 13.2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„Условия</w:t>
            </w:r>
            <w:r w:rsidRPr="00F1727F">
              <w:rPr>
                <w:rFonts w:eastAsia="Times New Roman" w:cs="Times New Roman"/>
                <w:b/>
                <w:sz w:val="24"/>
                <w:szCs w:val="24"/>
                <w:lang w:val="ru-RU"/>
              </w:rPr>
              <w:t xml:space="preserve"> за допустимост на дейностите”:</w:t>
            </w:r>
            <w:r w:rsidRPr="00F1727F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Неясно е по какъв ред ще се изисква от бенефициентите да осъществяват възлагането на дейностите по проектите им</w:t>
            </w:r>
            <w:r w:rsidRPr="00F1727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 xml:space="preserve">съгласно Закона за обществените поръчки </w:t>
            </w:r>
            <w:r w:rsidRPr="00F1727F">
              <w:rPr>
                <w:rFonts w:eastAsia="Times New Roman" w:cs="Times New Roman"/>
                <w:b/>
                <w:sz w:val="24"/>
                <w:szCs w:val="24"/>
              </w:rPr>
              <w:t>или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 xml:space="preserve"> в съответствие със Закона за горите, респективно с Наредбата за условията и реда за възлагане на изпълнението на дейности в горските територии – държавна и общинска собственост, и за ползването на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lastRenderedPageBreak/>
              <w:t>дървесина и недървесни горски продукти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shd w:val="clear" w:color="auto" w:fill="FEFEFE"/>
              </w:rPr>
              <w:t xml:space="preserve">. В тази връзка предлагаме да се разясни процедурата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>за прилагане на подмярката, като това ще намали риска от необосновани и ненужни последващи финансови санкции и корекции;</w:t>
            </w:r>
          </w:p>
        </w:tc>
        <w:tc>
          <w:tcPr>
            <w:tcW w:w="3767" w:type="dxa"/>
          </w:tcPr>
          <w:p w14:paraId="4DD8F7BE" w14:textId="77777777" w:rsidR="00EC2443" w:rsidRDefault="001B1E08" w:rsidP="00B20672">
            <w:pPr>
              <w:jc w:val="both"/>
              <w:rPr>
                <w:rFonts w:cs="Times New Roman"/>
                <w:sz w:val="24"/>
                <w:szCs w:val="24"/>
              </w:rPr>
            </w:pPr>
            <w:r w:rsidRPr="001B1E08">
              <w:rPr>
                <w:rFonts w:cs="Times New Roman"/>
                <w:sz w:val="24"/>
                <w:szCs w:val="24"/>
              </w:rPr>
              <w:lastRenderedPageBreak/>
              <w:t>Не се приема.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FE8AB03" w14:textId="17A51D86" w:rsidR="001B1E08" w:rsidRPr="006E5986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Навсякъде в Условията за кандидатстване се цитират изискванията на </w:t>
            </w:r>
            <w:r w:rsidRPr="00B20672">
              <w:rPr>
                <w:rFonts w:cs="Times New Roman"/>
                <w:sz w:val="24"/>
                <w:szCs w:val="24"/>
              </w:rPr>
              <w:t>Закона за обществените поръчки</w:t>
            </w:r>
            <w:r>
              <w:rPr>
                <w:rFonts w:cs="Times New Roman"/>
                <w:sz w:val="24"/>
                <w:szCs w:val="24"/>
              </w:rPr>
              <w:t xml:space="preserve"> и никъде </w:t>
            </w:r>
            <w:r w:rsidRPr="00B20672">
              <w:rPr>
                <w:rFonts w:cs="Times New Roman"/>
                <w:sz w:val="24"/>
                <w:szCs w:val="24"/>
              </w:rPr>
              <w:t>Наредбата за условията и реда за възлагане на изпълнението на дейности в горските територии – държавна и общинска собственост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1B1E08" w:rsidRPr="00D34AF6" w14:paraId="6255435E" w14:textId="77777777" w:rsidTr="00C73583">
        <w:tc>
          <w:tcPr>
            <w:tcW w:w="517" w:type="dxa"/>
            <w:vMerge/>
          </w:tcPr>
          <w:p w14:paraId="4C2155D9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14:paraId="35E73662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Merge/>
          </w:tcPr>
          <w:p w14:paraId="021E0B32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55A03C7A" w14:textId="77777777" w:rsidR="001B1E08" w:rsidRPr="006E5986" w:rsidRDefault="001B1E08" w:rsidP="001B1E08">
            <w:pPr>
              <w:widowControl/>
              <w:autoSpaceDE/>
              <w:autoSpaceDN/>
              <w:adjustRightInd/>
              <w:spacing w:line="276" w:lineRule="auto"/>
              <w:ind w:firstLine="720"/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eastAsia="Times New Roman" w:cs="Times New Roman"/>
                <w:b/>
                <w:sz w:val="24"/>
                <w:szCs w:val="24"/>
              </w:rPr>
              <w:t xml:space="preserve">3. Стр. 27, т. 24.1 „Списък с общи документи“: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 xml:space="preserve">За намаляване на административната тежест,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считаме че броят на изискуемите документи следва да се редуцира, като се обединят, например, декларациите по т.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и т.6, отпаднат документи като този по т. 9 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 xml:space="preserve">„Документ, издаден от обслужващата банка за банковата сметка на кандидата, по която ще бъде преведена финансовата помощ, получена по тази процедура” (абсолютно ненужен на етап кандидатстване). </w:t>
            </w:r>
          </w:p>
        </w:tc>
        <w:tc>
          <w:tcPr>
            <w:tcW w:w="3767" w:type="dxa"/>
          </w:tcPr>
          <w:p w14:paraId="66B44F0B" w14:textId="77777777" w:rsidR="00EC2443" w:rsidRDefault="00B20672" w:rsidP="00337C6A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Приема се </w:t>
            </w:r>
            <w:r w:rsidR="00337C6A">
              <w:rPr>
                <w:rFonts w:cs="Times New Roman"/>
                <w:sz w:val="24"/>
                <w:szCs w:val="24"/>
              </w:rPr>
              <w:t>по принцип</w:t>
            </w:r>
            <w:r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7F3D00D1" w14:textId="2E4951EF" w:rsidR="001B1E08" w:rsidRPr="006E5986" w:rsidRDefault="00337C6A" w:rsidP="00337C6A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Точка 9 ще отпадне, а д</w:t>
            </w:r>
            <w:r w:rsidR="00B20672" w:rsidRPr="00B20672">
              <w:rPr>
                <w:rFonts w:cs="Times New Roman"/>
                <w:sz w:val="24"/>
                <w:szCs w:val="24"/>
              </w:rPr>
              <w:t xml:space="preserve">екларациите по т. </w:t>
            </w:r>
            <w:r>
              <w:rPr>
                <w:rFonts w:cs="Times New Roman"/>
                <w:sz w:val="24"/>
                <w:szCs w:val="24"/>
              </w:rPr>
              <w:t>3</w:t>
            </w:r>
            <w:r w:rsidR="00B20672" w:rsidRPr="00B20672">
              <w:rPr>
                <w:rFonts w:cs="Times New Roman"/>
                <w:sz w:val="24"/>
                <w:szCs w:val="24"/>
              </w:rPr>
              <w:t xml:space="preserve"> и т.</w:t>
            </w:r>
            <w:r w:rsidR="00B2067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4</w:t>
            </w:r>
            <w:r w:rsidR="00B20672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ще се преместят в Приложение 1 към Условията за кандидатстване „Основна информация за проектното предложение“.</w:t>
            </w:r>
          </w:p>
        </w:tc>
      </w:tr>
      <w:tr w:rsidR="001B1E08" w:rsidRPr="00D34AF6" w14:paraId="3D85ACE3" w14:textId="77777777" w:rsidTr="00C73583">
        <w:tc>
          <w:tcPr>
            <w:tcW w:w="517" w:type="dxa"/>
            <w:vMerge w:val="restart"/>
          </w:tcPr>
          <w:p w14:paraId="7C064749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 w:val="restart"/>
          </w:tcPr>
          <w:p w14:paraId="17E9A911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  <w:vMerge w:val="restart"/>
          </w:tcPr>
          <w:p w14:paraId="7A07BA3A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15804719" w14:textId="77777777" w:rsidR="001B1E08" w:rsidRPr="00F1727F" w:rsidRDefault="001B1E08" w:rsidP="00C73583">
            <w:pPr>
              <w:widowControl/>
              <w:shd w:val="clear" w:color="auto" w:fill="D9D9D9"/>
              <w:autoSpaceDE/>
              <w:autoSpaceDN/>
              <w:adjustRightInd/>
              <w:spacing w:after="120" w:line="262" w:lineRule="auto"/>
              <w:ind w:firstLine="709"/>
              <w:jc w:val="both"/>
              <w:rPr>
                <w:rFonts w:eastAsia="SimSun" w:cs="Times New Roman"/>
                <w:b/>
                <w:bCs/>
                <w:sz w:val="24"/>
                <w:szCs w:val="24"/>
                <w:lang w:val="ru-RU" w:eastAsia="zh-CN"/>
              </w:rPr>
            </w:pPr>
            <w:r w:rsidRPr="00F1727F">
              <w:rPr>
                <w:rFonts w:eastAsia="SimSun" w:cs="Times New Roman"/>
                <w:b/>
                <w:bCs/>
                <w:sz w:val="24"/>
                <w:szCs w:val="24"/>
                <w:lang w:val="ru-RU" w:eastAsia="zh-CN"/>
              </w:rPr>
              <w:t>II. Коментари по проект на Условия за изпълнение:</w:t>
            </w:r>
          </w:p>
          <w:p w14:paraId="75343FA7" w14:textId="77777777" w:rsidR="001B1E08" w:rsidRPr="006E5986" w:rsidRDefault="001B1E08" w:rsidP="00C73583">
            <w:pPr>
              <w:tabs>
                <w:tab w:val="left" w:pos="709"/>
              </w:tabs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>1. Стр. 4, точка 2.1.4. „Задължения на бенефициентите: Предлагаме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 xml:space="preserve">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 xml:space="preserve">срокът, в който бенефициентите са длъжни да сключат договори с изпълнители за всички разходи по одобрения проект да бъде удължен от 9 на 12 месеца.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>Предложението ни е в унисон с чл. 39, ал.</w:t>
            </w:r>
            <w:r w:rsidRPr="00F1727F">
              <w:rPr>
                <w:rFonts w:eastAsia="Times New Roman" w:cs="Times New Roman"/>
                <w:sz w:val="24"/>
                <w:szCs w:val="24"/>
                <w:lang w:val="en-US"/>
              </w:rPr>
              <w:t xml:space="preserve"> 4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 xml:space="preserve"> от Закона за управление на средствата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lastRenderedPageBreak/>
              <w:t>от Европейските структурни и инвестиционни фондове;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</w:p>
        </w:tc>
        <w:tc>
          <w:tcPr>
            <w:tcW w:w="3767" w:type="dxa"/>
          </w:tcPr>
          <w:p w14:paraId="33C96396" w14:textId="77777777" w:rsidR="00EC2443" w:rsidRDefault="00853A92" w:rsidP="00B2067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Не се приема. </w:t>
            </w:r>
          </w:p>
          <w:p w14:paraId="35B00A3E" w14:textId="4FFE37ED" w:rsidR="00595B79" w:rsidRPr="00595B79" w:rsidRDefault="00853A92" w:rsidP="00B2067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административния договор изрично са предвидени случаите, в които определеният срок спира да тече.</w:t>
            </w:r>
            <w:r w:rsidR="00595B79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1B1E08" w:rsidRPr="00D34AF6" w14:paraId="070AD673" w14:textId="77777777" w:rsidTr="00C73583">
        <w:tc>
          <w:tcPr>
            <w:tcW w:w="517" w:type="dxa"/>
            <w:vMerge/>
          </w:tcPr>
          <w:p w14:paraId="4C465B6D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14:paraId="422E5211" w14:textId="77777777" w:rsidR="001B1E08" w:rsidRPr="00022792" w:rsidRDefault="001B1E08" w:rsidP="00C45043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551" w:type="dxa"/>
            <w:vMerge/>
          </w:tcPr>
          <w:p w14:paraId="060F3E7B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11DCA22B" w14:textId="77777777" w:rsidR="001B1E08" w:rsidRPr="006E5986" w:rsidRDefault="001B1E08" w:rsidP="00C73583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>2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.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>Стр. 10, точка 2.10.1. „Задължения на бенефициентите“: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ab/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 xml:space="preserve">Предлагаме да се изясни дали проверките на място преди окончателно плащане и последващият контрол през периода на мониторинг ще включат анализ на процента на презалесяване (при </w:t>
            </w:r>
            <w:proofErr w:type="spellStart"/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лесокултурните</w:t>
            </w:r>
            <w:proofErr w:type="spellEnd"/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 xml:space="preserve"> прегради) и/или ежегодното поддържане на </w:t>
            </w:r>
            <w:proofErr w:type="spellStart"/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минерализованите</w:t>
            </w:r>
            <w:proofErr w:type="spellEnd"/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 xml:space="preserve"> ивици;</w:t>
            </w:r>
          </w:p>
        </w:tc>
        <w:tc>
          <w:tcPr>
            <w:tcW w:w="3767" w:type="dxa"/>
          </w:tcPr>
          <w:p w14:paraId="49485507" w14:textId="1C74573B" w:rsidR="00EC2443" w:rsidRDefault="00B26674" w:rsidP="00595B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Не се п</w:t>
            </w:r>
            <w:r w:rsidR="005723C6">
              <w:rPr>
                <w:rFonts w:cs="Times New Roman"/>
                <w:sz w:val="24"/>
                <w:szCs w:val="24"/>
              </w:rPr>
              <w:t>риема</w:t>
            </w:r>
            <w:r w:rsidR="00C07427">
              <w:rPr>
                <w:rFonts w:cs="Times New Roman"/>
                <w:sz w:val="24"/>
                <w:szCs w:val="24"/>
              </w:rPr>
              <w:t>, защото:</w:t>
            </w:r>
            <w:r w:rsidR="005723C6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0CE7C2F" w14:textId="3AA6E5BD" w:rsidR="005723C6" w:rsidRPr="00C07427" w:rsidRDefault="0091419F" w:rsidP="00C07427">
            <w:pPr>
              <w:pStyle w:val="ListParagraph"/>
              <w:numPr>
                <w:ilvl w:val="0"/>
                <w:numId w:val="1"/>
              </w:numPr>
              <w:ind w:left="0" w:firstLine="257"/>
              <w:jc w:val="both"/>
              <w:rPr>
                <w:sz w:val="24"/>
                <w:szCs w:val="24"/>
                <w:shd w:val="clear" w:color="auto" w:fill="FEFEFE"/>
              </w:rPr>
            </w:pPr>
            <w:r w:rsidRPr="00C07427">
              <w:rPr>
                <w:sz w:val="24"/>
                <w:szCs w:val="24"/>
                <w:shd w:val="clear" w:color="auto" w:fill="FEFEFE"/>
              </w:rPr>
              <w:t xml:space="preserve">в </w:t>
            </w:r>
            <w:r w:rsidR="00C07427">
              <w:rPr>
                <w:sz w:val="24"/>
                <w:szCs w:val="24"/>
                <w:shd w:val="clear" w:color="auto" w:fill="FEFEFE"/>
              </w:rPr>
              <w:t>У</w:t>
            </w:r>
            <w:r w:rsidRPr="00C07427">
              <w:rPr>
                <w:sz w:val="24"/>
                <w:szCs w:val="24"/>
                <w:shd w:val="clear" w:color="auto" w:fill="FEFEFE"/>
              </w:rPr>
              <w:t>словията за кандидатстване и изпълнение не се указва обхвата, съдържанието и методиката за извършване на проверки на място</w:t>
            </w:r>
            <w:r w:rsidR="00EC2443" w:rsidRPr="00C07427">
              <w:rPr>
                <w:rFonts w:cs="Times New Roman"/>
                <w:sz w:val="24"/>
                <w:szCs w:val="24"/>
              </w:rPr>
              <w:t>.</w:t>
            </w:r>
          </w:p>
          <w:p w14:paraId="7E270292" w14:textId="22AAA98C" w:rsidR="00024DE4" w:rsidRPr="00C07427" w:rsidRDefault="00C07427" w:rsidP="00C07427">
            <w:pPr>
              <w:pStyle w:val="ListParagraph"/>
              <w:numPr>
                <w:ilvl w:val="0"/>
                <w:numId w:val="1"/>
              </w:numPr>
              <w:ind w:left="0" w:firstLine="257"/>
              <w:jc w:val="both"/>
              <w:rPr>
                <w:sz w:val="24"/>
                <w:szCs w:val="24"/>
                <w:shd w:val="clear" w:color="auto" w:fill="FEFEFE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91419F" w:rsidRPr="00C07427">
              <w:rPr>
                <w:rFonts w:cs="Times New Roman"/>
                <w:sz w:val="24"/>
                <w:szCs w:val="24"/>
              </w:rPr>
              <w:t>резалесяване</w:t>
            </w:r>
            <w:r>
              <w:rPr>
                <w:rFonts w:cs="Times New Roman"/>
                <w:sz w:val="24"/>
                <w:szCs w:val="24"/>
              </w:rPr>
              <w:t>;</w:t>
            </w:r>
            <w:r w:rsidR="0091419F" w:rsidRPr="00C07427">
              <w:rPr>
                <w:rFonts w:cs="Times New Roman"/>
                <w:sz w:val="24"/>
                <w:szCs w:val="24"/>
              </w:rPr>
              <w:t xml:space="preserve"> на лесокултурни прегради не се предвижда и </w:t>
            </w:r>
            <w:r w:rsidR="00EC2443" w:rsidRPr="00C07427">
              <w:rPr>
                <w:rFonts w:cs="Times New Roman"/>
                <w:sz w:val="24"/>
                <w:szCs w:val="24"/>
              </w:rPr>
              <w:t xml:space="preserve">противоречи на определението, </w:t>
            </w:r>
            <w:r w:rsidR="0091419F" w:rsidRPr="00C07427">
              <w:rPr>
                <w:rFonts w:cs="Times New Roman"/>
                <w:sz w:val="24"/>
                <w:szCs w:val="24"/>
              </w:rPr>
              <w:t xml:space="preserve"> </w:t>
            </w:r>
            <w:r w:rsidR="00EC2443" w:rsidRPr="00C07427">
              <w:rPr>
                <w:rFonts w:cs="Times New Roman"/>
                <w:sz w:val="24"/>
                <w:szCs w:val="24"/>
              </w:rPr>
              <w:t>посочено в Приложение 1</w:t>
            </w:r>
            <w:r>
              <w:rPr>
                <w:rFonts w:cs="Times New Roman"/>
                <w:sz w:val="24"/>
                <w:szCs w:val="24"/>
              </w:rPr>
              <w:t>5</w:t>
            </w:r>
            <w:r w:rsidR="00EC2443" w:rsidRPr="00C07427">
              <w:rPr>
                <w:rFonts w:cs="Times New Roman"/>
                <w:sz w:val="24"/>
                <w:szCs w:val="24"/>
              </w:rPr>
              <w:t xml:space="preserve"> „Основни дефиниции“ към Условията за кандидатстване</w:t>
            </w:r>
            <w:r>
              <w:rPr>
                <w:rFonts w:cs="Times New Roman"/>
                <w:sz w:val="24"/>
                <w:szCs w:val="24"/>
              </w:rPr>
              <w:t>;</w:t>
            </w:r>
          </w:p>
          <w:p w14:paraId="5C7EC9A6" w14:textId="1F51875D" w:rsidR="005723C6" w:rsidRPr="00C07427" w:rsidRDefault="00C07427" w:rsidP="00C07427">
            <w:pPr>
              <w:pStyle w:val="ListParagraph"/>
              <w:numPr>
                <w:ilvl w:val="0"/>
                <w:numId w:val="1"/>
              </w:numPr>
              <w:ind w:left="0" w:firstLine="257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EFEFE"/>
              </w:rPr>
              <w:t xml:space="preserve">Поддръжката няма да е </w:t>
            </w:r>
            <w:r w:rsidRPr="00C07427">
              <w:rPr>
                <w:sz w:val="24"/>
                <w:szCs w:val="24"/>
                <w:shd w:val="clear" w:color="auto" w:fill="FEFEFE"/>
              </w:rPr>
              <w:t>допустим</w:t>
            </w:r>
            <w:r>
              <w:rPr>
                <w:sz w:val="24"/>
                <w:szCs w:val="24"/>
                <w:shd w:val="clear" w:color="auto" w:fill="FEFEFE"/>
              </w:rPr>
              <w:t>а</w:t>
            </w:r>
            <w:r w:rsidRPr="00C07427">
              <w:rPr>
                <w:sz w:val="24"/>
                <w:szCs w:val="24"/>
                <w:shd w:val="clear" w:color="auto" w:fill="FEFEFE"/>
              </w:rPr>
              <w:t xml:space="preserve"> за подпомагане по реда на тази процедура.</w:t>
            </w:r>
          </w:p>
        </w:tc>
      </w:tr>
      <w:tr w:rsidR="001B1E08" w:rsidRPr="00D34AF6" w14:paraId="741DCB1E" w14:textId="77777777" w:rsidTr="00C73583">
        <w:tc>
          <w:tcPr>
            <w:tcW w:w="517" w:type="dxa"/>
            <w:vMerge/>
          </w:tcPr>
          <w:p w14:paraId="45D1B7E5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14:paraId="198895EC" w14:textId="77777777" w:rsidR="001B1E08" w:rsidRPr="00022792" w:rsidRDefault="001B1E08" w:rsidP="00C45043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551" w:type="dxa"/>
            <w:vMerge/>
          </w:tcPr>
          <w:p w14:paraId="27EC4E63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2F87E2AA" w14:textId="77777777" w:rsidR="001B1E08" w:rsidRPr="00F1727F" w:rsidRDefault="001B1E08" w:rsidP="00C73583">
            <w:pPr>
              <w:tabs>
                <w:tab w:val="left" w:pos="709"/>
              </w:tabs>
              <w:spacing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</w:pP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>3.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 xml:space="preserve">Стр. 16, точка 4., „Мерки за информиране и публичност“: 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Изискванията от Раздел IVВ „Мерки за информиране и публичност“ следва да се приведат в съответствие с Единния наръчник на бенефициента за прилагане на правилата за информация и комуникация 2014-2020 г. В тази връзка предлагаме:</w:t>
            </w:r>
          </w:p>
          <w:p w14:paraId="0B0F5E2A" w14:textId="77777777" w:rsidR="001B1E08" w:rsidRPr="00F1727F" w:rsidRDefault="001B1E08" w:rsidP="00C73583">
            <w:pPr>
              <w:tabs>
                <w:tab w:val="left" w:pos="709"/>
                <w:tab w:val="left" w:pos="1276"/>
              </w:tabs>
              <w:spacing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</w:pP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ab/>
              <w:t>3.1.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val="en-US" w:eastAsia="bg-BG"/>
              </w:rPr>
              <w:t xml:space="preserve">  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 xml:space="preserve">т..4. да придобие следната редакция  „Бенефициентът се задължава </w:t>
            </w:r>
            <w:r w:rsidRPr="00F1727F">
              <w:rPr>
                <w:rFonts w:eastAsia="Times New Roman" w:cs="Times New Roman"/>
                <w:b/>
                <w:bCs/>
                <w:sz w:val="24"/>
                <w:szCs w:val="24"/>
                <w:lang w:eastAsia="bg-BG"/>
              </w:rPr>
              <w:t xml:space="preserve">по време на изпълнението на проекта 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да постави на видно място: „...“;</w:t>
            </w:r>
          </w:p>
          <w:p w14:paraId="679C32E5" w14:textId="77777777" w:rsidR="001B1E08" w:rsidRPr="00F1727F" w:rsidRDefault="001B1E08" w:rsidP="00C73583">
            <w:pPr>
              <w:tabs>
                <w:tab w:val="left" w:pos="709"/>
              </w:tabs>
              <w:spacing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</w:pP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lastRenderedPageBreak/>
              <w:tab/>
              <w:t xml:space="preserve">3.2. Описанието по т.7 на съдържанието на </w:t>
            </w:r>
            <w:r w:rsidRPr="00F1727F">
              <w:rPr>
                <w:rFonts w:eastAsia="Times New Roman" w:cs="Times New Roman"/>
                <w:sz w:val="24"/>
                <w:szCs w:val="24"/>
              </w:rPr>
              <w:t>е</w:t>
            </w:r>
            <w:r w:rsidRPr="00F1727F">
              <w:rPr>
                <w:rFonts w:eastAsia="Times New Roman" w:cs="Times New Roman"/>
                <w:sz w:val="24"/>
                <w:szCs w:val="24"/>
                <w:lang w:val="ru-RU"/>
              </w:rPr>
              <w:t>лектронната страница, плакат</w:t>
            </w:r>
            <w:r w:rsidRPr="00F1727F">
              <w:rPr>
                <w:rFonts w:eastAsia="Times New Roman" w:cs="Times New Roman"/>
                <w:sz w:val="24"/>
                <w:szCs w:val="24"/>
                <w:lang w:val="en-GB"/>
              </w:rPr>
              <w:t>a</w:t>
            </w:r>
            <w:r w:rsidRPr="00F1727F">
              <w:rPr>
                <w:rFonts w:eastAsia="Times New Roman" w:cs="Times New Roman"/>
                <w:sz w:val="24"/>
                <w:szCs w:val="24"/>
                <w:lang w:val="ru-RU"/>
              </w:rPr>
              <w:t>, табелата или билборд</w:t>
            </w:r>
            <w:r w:rsidRPr="00F1727F">
              <w:rPr>
                <w:rFonts w:eastAsia="Times New Roman" w:cs="Times New Roman"/>
                <w:sz w:val="24"/>
                <w:szCs w:val="24"/>
                <w:lang w:val="en-GB"/>
              </w:rPr>
              <w:t>a</w:t>
            </w:r>
            <w:r w:rsidRPr="00F1727F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 w:rsidRPr="00F1727F">
              <w:rPr>
                <w:rFonts w:eastAsia="Times New Roman" w:cs="Times New Roman"/>
                <w:bCs/>
                <w:sz w:val="24"/>
                <w:szCs w:val="24"/>
                <w:lang w:eastAsia="bg-BG"/>
              </w:rPr>
              <w:t>следва, съгласно Единния наръчник да съдържа и информация за общото лого на програмен период 2014-2020 г.</w:t>
            </w:r>
          </w:p>
          <w:p w14:paraId="6E595986" w14:textId="77777777" w:rsidR="001B1E08" w:rsidRPr="006E5986" w:rsidRDefault="001B1E08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67" w:type="dxa"/>
          </w:tcPr>
          <w:p w14:paraId="7B7C8C42" w14:textId="6CA4ABC7" w:rsidR="00677B69" w:rsidRPr="006E5986" w:rsidRDefault="007C3F83" w:rsidP="00595B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Приема се. </w:t>
            </w:r>
            <w:r w:rsidR="00E27E7C">
              <w:rPr>
                <w:rFonts w:cs="Times New Roman"/>
                <w:sz w:val="24"/>
                <w:szCs w:val="24"/>
              </w:rPr>
              <w:t>Текстовете са коригирани.</w:t>
            </w:r>
          </w:p>
        </w:tc>
      </w:tr>
      <w:tr w:rsidR="006E5986" w:rsidRPr="00D34AF6" w14:paraId="4F143CE0" w14:textId="77777777" w:rsidTr="00C73583">
        <w:tc>
          <w:tcPr>
            <w:tcW w:w="517" w:type="dxa"/>
          </w:tcPr>
          <w:p w14:paraId="36062394" w14:textId="77777777" w:rsidR="006E5986" w:rsidRPr="006E5986" w:rsidRDefault="00C73583" w:rsidP="00C4504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24" w:type="dxa"/>
          </w:tcPr>
          <w:p w14:paraId="248FAAFA" w14:textId="77777777" w:rsidR="006E5986" w:rsidRPr="00022792" w:rsidRDefault="00F1727F" w:rsidP="00F1727F">
            <w:pPr>
              <w:jc w:val="center"/>
              <w:rPr>
                <w:rFonts w:cs="Times New Roman"/>
                <w:sz w:val="22"/>
                <w:szCs w:val="24"/>
              </w:rPr>
            </w:pPr>
            <w:r w:rsidRPr="00022792">
              <w:rPr>
                <w:rFonts w:cs="Times New Roman"/>
                <w:sz w:val="22"/>
                <w:szCs w:val="24"/>
              </w:rPr>
              <w:t xml:space="preserve">Красимир </w:t>
            </w:r>
            <w:proofErr w:type="spellStart"/>
            <w:r w:rsidRPr="00022792">
              <w:rPr>
                <w:rFonts w:cs="Times New Roman"/>
                <w:sz w:val="22"/>
                <w:szCs w:val="24"/>
              </w:rPr>
              <w:t>Дандов</w:t>
            </w:r>
            <w:proofErr w:type="spellEnd"/>
            <w:r w:rsidRPr="00022792">
              <w:rPr>
                <w:rFonts w:cs="Times New Roman"/>
                <w:sz w:val="22"/>
                <w:szCs w:val="24"/>
              </w:rPr>
              <w:t xml:space="preserve"> dandov_k@abv.bg</w:t>
            </w:r>
          </w:p>
        </w:tc>
        <w:tc>
          <w:tcPr>
            <w:tcW w:w="1551" w:type="dxa"/>
          </w:tcPr>
          <w:p w14:paraId="369EF3DD" w14:textId="77777777" w:rsidR="006E5986" w:rsidRPr="006E5986" w:rsidRDefault="006E5986" w:rsidP="00F1727F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0AFE4439" w14:textId="77777777" w:rsidR="00F1727F" w:rsidRPr="00F1727F" w:rsidRDefault="00F1727F" w:rsidP="00F1727F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Относно дефинирането на "водоизточник", цитирано в Приложение № 16 към Условията за кандидатстване предлагам следния текст:</w:t>
            </w:r>
          </w:p>
          <w:p w14:paraId="578BF780" w14:textId="77777777" w:rsidR="00F1727F" w:rsidRPr="00F1727F" w:rsidRDefault="00F1727F" w:rsidP="00F1727F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 xml:space="preserve">"водоизточник" е земно-насипно, бетоново или друго хидротехническо съоръжение за съхранение на вода или улесняващо </w:t>
            </w:r>
            <w:proofErr w:type="spellStart"/>
            <w:r w:rsidRPr="00F1727F">
              <w:rPr>
                <w:rFonts w:cs="Times New Roman"/>
                <w:sz w:val="24"/>
                <w:szCs w:val="24"/>
              </w:rPr>
              <w:t>водоползването</w:t>
            </w:r>
            <w:proofErr w:type="spellEnd"/>
            <w:r w:rsidRPr="00F1727F">
              <w:rPr>
                <w:rFonts w:cs="Times New Roman"/>
                <w:sz w:val="24"/>
                <w:szCs w:val="24"/>
              </w:rPr>
              <w:t xml:space="preserve"> от естествени източници при възникнали горски пожари. При необходимост може да се оборудва с технически средства за осигуряване на </w:t>
            </w:r>
            <w:proofErr w:type="spellStart"/>
            <w:r w:rsidRPr="00F1727F">
              <w:rPr>
                <w:rFonts w:cs="Times New Roman"/>
                <w:sz w:val="24"/>
                <w:szCs w:val="24"/>
              </w:rPr>
              <w:t>водоползването</w:t>
            </w:r>
            <w:proofErr w:type="spellEnd"/>
            <w:r w:rsidRPr="00F1727F">
              <w:rPr>
                <w:rFonts w:cs="Times New Roman"/>
                <w:sz w:val="24"/>
                <w:szCs w:val="24"/>
              </w:rPr>
              <w:t>.</w:t>
            </w:r>
            <w:r w:rsidR="00C73583">
              <w:rPr>
                <w:rFonts w:cs="Times New Roman"/>
                <w:sz w:val="24"/>
                <w:szCs w:val="24"/>
              </w:rPr>
              <w:t xml:space="preserve"> </w:t>
            </w:r>
            <w:r w:rsidRPr="00F1727F">
              <w:rPr>
                <w:rFonts w:cs="Times New Roman"/>
                <w:sz w:val="24"/>
                <w:szCs w:val="24"/>
              </w:rPr>
              <w:t xml:space="preserve">Отстоянието на водоизточника от горските масиви, за които е предназначен да обслужва трябва да бъде не повече от 15 </w:t>
            </w:r>
            <w:proofErr w:type="spellStart"/>
            <w:r w:rsidRPr="00F1727F">
              <w:rPr>
                <w:rFonts w:cs="Times New Roman"/>
                <w:sz w:val="24"/>
                <w:szCs w:val="24"/>
              </w:rPr>
              <w:t>km</w:t>
            </w:r>
            <w:proofErr w:type="spellEnd"/>
            <w:r w:rsidRPr="00F1727F">
              <w:rPr>
                <w:rFonts w:cs="Times New Roman"/>
                <w:sz w:val="24"/>
                <w:szCs w:val="24"/>
              </w:rPr>
              <w:t>."</w:t>
            </w:r>
          </w:p>
          <w:p w14:paraId="2FA2DD91" w14:textId="77777777" w:rsidR="006E5986" w:rsidRPr="006E5986" w:rsidRDefault="00F1727F" w:rsidP="00F1727F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ab/>
              <w:t>Считам, че този текст ще позволи подобряване техническото и експлоатационно състояние на водоеми с обем по-голям от предложените 100 куб. м., позволяващ ползването на вода от хеликоптери и пожарни коли за гасене на пожари.</w:t>
            </w:r>
          </w:p>
        </w:tc>
        <w:tc>
          <w:tcPr>
            <w:tcW w:w="3767" w:type="dxa"/>
          </w:tcPr>
          <w:p w14:paraId="161AC504" w14:textId="77777777" w:rsidR="00595B79" w:rsidRPr="00595B79" w:rsidRDefault="00595B79" w:rsidP="00595B79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се приема. Предложеният текст противоречи на разпоредбите на </w:t>
            </w:r>
            <w:r w:rsidRPr="00595B79">
              <w:rPr>
                <w:rFonts w:cs="Times New Roman"/>
                <w:sz w:val="24"/>
                <w:szCs w:val="24"/>
              </w:rPr>
              <w:t>Наредба № 18</w:t>
            </w:r>
          </w:p>
          <w:p w14:paraId="1C04ECEB" w14:textId="77777777" w:rsidR="00595B79" w:rsidRPr="00595B79" w:rsidRDefault="00595B79" w:rsidP="00595B79">
            <w:pPr>
              <w:jc w:val="both"/>
              <w:rPr>
                <w:rFonts w:cs="Times New Roman"/>
                <w:sz w:val="24"/>
                <w:szCs w:val="24"/>
              </w:rPr>
            </w:pPr>
            <w:r w:rsidRPr="00595B79">
              <w:rPr>
                <w:rFonts w:cs="Times New Roman"/>
                <w:sz w:val="24"/>
                <w:szCs w:val="24"/>
              </w:rPr>
              <w:t>от 7 октомври 2015 г.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595B79">
              <w:rPr>
                <w:rFonts w:cs="Times New Roman"/>
                <w:sz w:val="24"/>
                <w:szCs w:val="24"/>
              </w:rPr>
              <w:t>за инвентаризация и планиране</w:t>
            </w:r>
          </w:p>
          <w:p w14:paraId="0401AB46" w14:textId="77777777" w:rsidR="006E5986" w:rsidRPr="006E5986" w:rsidRDefault="00595B79" w:rsidP="00595B79">
            <w:pPr>
              <w:jc w:val="both"/>
              <w:rPr>
                <w:rFonts w:cs="Times New Roman"/>
                <w:sz w:val="24"/>
                <w:szCs w:val="24"/>
              </w:rPr>
            </w:pPr>
            <w:r w:rsidRPr="00595B79">
              <w:rPr>
                <w:rFonts w:cs="Times New Roman"/>
                <w:sz w:val="24"/>
                <w:szCs w:val="24"/>
              </w:rPr>
              <w:t>в горските територии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595B79">
              <w:rPr>
                <w:rFonts w:cs="Times New Roman"/>
                <w:sz w:val="24"/>
                <w:szCs w:val="24"/>
              </w:rPr>
              <w:t>ДВ, бр. 82 от 23.10.2015 г.)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022792" w:rsidRPr="00D34AF6" w14:paraId="1093FFAC" w14:textId="77777777" w:rsidTr="00C73583">
        <w:tc>
          <w:tcPr>
            <w:tcW w:w="517" w:type="dxa"/>
            <w:vMerge w:val="restart"/>
          </w:tcPr>
          <w:p w14:paraId="567029CD" w14:textId="77777777" w:rsidR="00022792" w:rsidRPr="006E5986" w:rsidRDefault="00022792" w:rsidP="00C4504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</w:t>
            </w:r>
          </w:p>
        </w:tc>
        <w:tc>
          <w:tcPr>
            <w:tcW w:w="2924" w:type="dxa"/>
            <w:vMerge w:val="restart"/>
          </w:tcPr>
          <w:p w14:paraId="280081CE" w14:textId="77777777" w:rsidR="00022792" w:rsidRPr="00022792" w:rsidRDefault="00022792" w:rsidP="00C45043">
            <w:pPr>
              <w:jc w:val="center"/>
              <w:rPr>
                <w:rFonts w:cs="Times New Roman"/>
                <w:sz w:val="22"/>
                <w:szCs w:val="24"/>
              </w:rPr>
            </w:pPr>
            <w:r w:rsidRPr="00022792">
              <w:rPr>
                <w:rFonts w:cs="Times New Roman"/>
                <w:sz w:val="22"/>
                <w:szCs w:val="24"/>
              </w:rPr>
              <w:t>Асоциация „Общински гори“</w:t>
            </w:r>
          </w:p>
          <w:p w14:paraId="368077A1" w14:textId="77777777" w:rsidR="00022792" w:rsidRPr="00022792" w:rsidRDefault="00022792" w:rsidP="00C45043">
            <w:pPr>
              <w:jc w:val="center"/>
              <w:rPr>
                <w:rFonts w:cs="Times New Roman"/>
                <w:sz w:val="22"/>
                <w:szCs w:val="24"/>
              </w:rPr>
            </w:pPr>
            <w:r w:rsidRPr="00022792">
              <w:rPr>
                <w:rFonts w:cs="Times New Roman"/>
                <w:sz w:val="22"/>
                <w:szCs w:val="24"/>
              </w:rPr>
              <w:lastRenderedPageBreak/>
              <w:t>aogori@abv.bg</w:t>
            </w:r>
          </w:p>
        </w:tc>
        <w:tc>
          <w:tcPr>
            <w:tcW w:w="1551" w:type="dxa"/>
          </w:tcPr>
          <w:p w14:paraId="797A3360" w14:textId="77777777" w:rsidR="00022792" w:rsidRPr="006E5986" w:rsidRDefault="00022792" w:rsidP="00F1727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16.04.2018</w:t>
            </w:r>
          </w:p>
        </w:tc>
        <w:tc>
          <w:tcPr>
            <w:tcW w:w="4532" w:type="dxa"/>
          </w:tcPr>
          <w:p w14:paraId="6011EC8C" w14:textId="77777777" w:rsidR="00022792" w:rsidRPr="00F1727F" w:rsidRDefault="00022792" w:rsidP="00F1727F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 xml:space="preserve">В публикувания за обществено обсъждане проект за „Насоки по </w:t>
            </w:r>
            <w:r w:rsidRPr="00F1727F">
              <w:rPr>
                <w:rFonts w:cs="Times New Roman"/>
                <w:sz w:val="24"/>
                <w:szCs w:val="24"/>
              </w:rPr>
              <w:lastRenderedPageBreak/>
              <w:t>подмярка 8.3.“ от ПРСР 2014 – 2020 липсват текстове, обсъдени и възприети в Тематичната работна група. Във връзка с това предлагаме:</w:t>
            </w:r>
          </w:p>
          <w:p w14:paraId="2AACAEAC" w14:textId="77777777" w:rsidR="00022792" w:rsidRPr="00F1727F" w:rsidRDefault="00022792" w:rsidP="00F1727F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3DB5C0F8" w14:textId="77777777" w:rsidR="00022792" w:rsidRPr="00F1727F" w:rsidRDefault="00022792" w:rsidP="00F1727F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•</w:t>
            </w:r>
            <w:r w:rsidRPr="00F1727F">
              <w:rPr>
                <w:rFonts w:cs="Times New Roman"/>
                <w:sz w:val="24"/>
                <w:szCs w:val="24"/>
              </w:rPr>
              <w:tab/>
              <w:t>В Условията за кандидатстване в т.13 Допустими дейности липсва дейността „изграждане на хеликоптерни площадки“  – да се допълнят дейностите в 13.1. с нова подточка 13.1.6 „изграждане на хеликоптерни площадки“  и добави в приложение 16 отново дефиницията за хеликоптерна площадка, а именно: „</w:t>
            </w:r>
            <w:proofErr w:type="spellStart"/>
            <w:r w:rsidRPr="00F1727F">
              <w:rPr>
                <w:rFonts w:cs="Times New Roman"/>
                <w:sz w:val="24"/>
                <w:szCs w:val="24"/>
              </w:rPr>
              <w:t>Хеликоптерна</w:t>
            </w:r>
            <w:proofErr w:type="spellEnd"/>
            <w:r w:rsidRPr="00F1727F">
              <w:rPr>
                <w:rFonts w:cs="Times New Roman"/>
                <w:sz w:val="24"/>
                <w:szCs w:val="24"/>
              </w:rPr>
              <w:t xml:space="preserve"> площадка“ е бетонна площадка или площадка, изградена от бетонни елементи, проектирана така, че да е подходяща за кацането и излитането на хеликоптери, които се използват при гасенето на горски пожари, и е разположена в пряка близост до естествен или изкуствен водоизточник. </w:t>
            </w:r>
            <w:proofErr w:type="spellStart"/>
            <w:r w:rsidRPr="00F1727F">
              <w:rPr>
                <w:rFonts w:cs="Times New Roman"/>
                <w:sz w:val="24"/>
                <w:szCs w:val="24"/>
              </w:rPr>
              <w:t>Хеликоптерната</w:t>
            </w:r>
            <w:proofErr w:type="spellEnd"/>
            <w:r w:rsidRPr="00F1727F">
              <w:rPr>
                <w:rFonts w:cs="Times New Roman"/>
                <w:sz w:val="24"/>
                <w:szCs w:val="24"/>
              </w:rPr>
              <w:t xml:space="preserve"> площадка не може да бъде с площ, по-голяма от 200 м2.</w:t>
            </w:r>
          </w:p>
          <w:p w14:paraId="00B8C4B0" w14:textId="77777777" w:rsidR="00022792" w:rsidRPr="006E5986" w:rsidRDefault="00022792" w:rsidP="00C73583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 xml:space="preserve">Обосновка: В заседания на работната група за горските мерки неколкократно бяха обсъждани видовете допустими дейности и при изготвянето на методиката изрично се даде фокус на интегрираните мерки за противопожарна защита, в т.ч. и изграждане на наземна инфраструктура за вертолети. В допълнение дейността по „изграждане на </w:t>
            </w:r>
            <w:r w:rsidRPr="00F1727F">
              <w:rPr>
                <w:rFonts w:cs="Times New Roman"/>
                <w:sz w:val="24"/>
                <w:szCs w:val="24"/>
              </w:rPr>
              <w:lastRenderedPageBreak/>
              <w:t xml:space="preserve">хеликоптерни площадки“ е включена като допустима дейност в договорените рамки на ПРСР за 2014 -2020 с Европейската комисия. В последния вариант на проект на Наредба по мярката към септември 2017 година, публикувана на страницата на МЗХ, тази дейност също фигурира като допустима със съответната дефиниция. Последният голям горски пожар в района на Кресна и Симитли, колко е необходимо наличието и на инфраструктура подпомагаща гасенето от въздуха. </w:t>
            </w:r>
          </w:p>
        </w:tc>
        <w:tc>
          <w:tcPr>
            <w:tcW w:w="3767" w:type="dxa"/>
          </w:tcPr>
          <w:p w14:paraId="4B5E3834" w14:textId="77777777" w:rsidR="00022792" w:rsidRDefault="00022792" w:rsidP="00B20672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5D3F4C4" w14:textId="77777777" w:rsidR="00B20672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2F61A3CC" w14:textId="77777777" w:rsidR="00B20672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FD5A379" w14:textId="77777777" w:rsidR="00B20672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51ED350B" w14:textId="77777777" w:rsidR="00B20672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418C9E8" w14:textId="77777777" w:rsidR="00B20672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045EDD0B" w14:textId="77777777" w:rsidR="00EC2443" w:rsidRDefault="00EC2443" w:rsidP="00B20672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4652AA1D" w14:textId="77777777" w:rsidR="00EC2443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се приема. </w:t>
            </w:r>
          </w:p>
          <w:p w14:paraId="160673C5" w14:textId="6C55006F" w:rsidR="00B20672" w:rsidRPr="006E5986" w:rsidRDefault="00B20672" w:rsidP="00B20672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Хеликоптерните площадки няма да са допустими за подпомагане по реда на тази процедура.</w:t>
            </w:r>
          </w:p>
        </w:tc>
      </w:tr>
      <w:tr w:rsidR="00022792" w:rsidRPr="00D34AF6" w14:paraId="334932B2" w14:textId="77777777" w:rsidTr="00C73583">
        <w:tc>
          <w:tcPr>
            <w:tcW w:w="517" w:type="dxa"/>
            <w:vMerge/>
          </w:tcPr>
          <w:p w14:paraId="18C41851" w14:textId="77777777" w:rsidR="00022792" w:rsidRPr="006E5986" w:rsidRDefault="00022792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14:paraId="35E5A30F" w14:textId="77777777" w:rsidR="00022792" w:rsidRPr="00022792" w:rsidRDefault="00022792" w:rsidP="00C45043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551" w:type="dxa"/>
          </w:tcPr>
          <w:p w14:paraId="45AD42CD" w14:textId="77777777" w:rsidR="00022792" w:rsidRPr="006E5986" w:rsidRDefault="00022792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22E88FD6" w14:textId="77777777" w:rsidR="00022792" w:rsidRPr="00F1727F" w:rsidRDefault="00022792" w:rsidP="00C73583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•</w:t>
            </w:r>
            <w:r w:rsidRPr="00F1727F">
              <w:rPr>
                <w:rFonts w:cs="Times New Roman"/>
                <w:sz w:val="24"/>
                <w:szCs w:val="24"/>
              </w:rPr>
              <w:tab/>
              <w:t>В Условия за допустимост на дейностите в т. 13.2: да се ревизира текстът по т.5 и той да придобие следната редакция:</w:t>
            </w:r>
          </w:p>
          <w:p w14:paraId="4EE2C4A8" w14:textId="77777777" w:rsidR="00022792" w:rsidRPr="006E5986" w:rsidRDefault="00022792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За дейностите по т. 3 от Раздел 13.1. „Допустими дейности“ са допустими само Регионалните дирекции по горите (РДГ) по местонахождение на имота. РДГ са допустими да кандидатстват и по дейността от т. 4 само в частта за комуникационно оборудване за горски пожари от Раздел 13.1. „Допустими дейности“, пряко свързано с дейността по т. 3.</w:t>
            </w:r>
          </w:p>
        </w:tc>
        <w:tc>
          <w:tcPr>
            <w:tcW w:w="3767" w:type="dxa"/>
          </w:tcPr>
          <w:p w14:paraId="13FEA3BA" w14:textId="77777777" w:rsidR="00EC2443" w:rsidRDefault="004F5DFD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Не се приема. </w:t>
            </w:r>
          </w:p>
          <w:p w14:paraId="0751AE25" w14:textId="77777777" w:rsidR="00325A15" w:rsidRDefault="00325A15" w:rsidP="004F5DFD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C9F388C" w14:textId="493E3BEA" w:rsidR="00022792" w:rsidRPr="006E5986" w:rsidRDefault="004F5DFD" w:rsidP="00325A1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Предложеният от вас текст </w:t>
            </w:r>
            <w:r w:rsidR="001060A8">
              <w:rPr>
                <w:rFonts w:cs="Times New Roman"/>
                <w:sz w:val="24"/>
                <w:szCs w:val="24"/>
              </w:rPr>
              <w:t>е</w:t>
            </w:r>
            <w:r w:rsidR="00325A15">
              <w:rPr>
                <w:rFonts w:cs="Times New Roman"/>
                <w:sz w:val="24"/>
                <w:szCs w:val="24"/>
              </w:rPr>
              <w:t xml:space="preserve"> </w:t>
            </w:r>
            <w:r w:rsidR="001060A8">
              <w:rPr>
                <w:rFonts w:cs="Times New Roman"/>
                <w:sz w:val="24"/>
                <w:szCs w:val="24"/>
              </w:rPr>
              <w:t xml:space="preserve">в </w:t>
            </w:r>
            <w:r w:rsidR="00325A15">
              <w:rPr>
                <w:rFonts w:cs="Times New Roman"/>
                <w:sz w:val="24"/>
                <w:szCs w:val="24"/>
              </w:rPr>
              <w:t>противореч</w:t>
            </w:r>
            <w:r w:rsidR="001060A8">
              <w:rPr>
                <w:rFonts w:cs="Times New Roman"/>
                <w:sz w:val="24"/>
                <w:szCs w:val="24"/>
              </w:rPr>
              <w:t>ие с ПРСР 2020-2014 г.</w:t>
            </w:r>
          </w:p>
        </w:tc>
      </w:tr>
      <w:tr w:rsidR="00022792" w:rsidRPr="00D34AF6" w14:paraId="0DC77ED2" w14:textId="77777777" w:rsidTr="00C73583">
        <w:tc>
          <w:tcPr>
            <w:tcW w:w="517" w:type="dxa"/>
            <w:vMerge/>
          </w:tcPr>
          <w:p w14:paraId="1A2A966E" w14:textId="77777777" w:rsidR="00022792" w:rsidRPr="006E5986" w:rsidRDefault="00022792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  <w:vMerge/>
          </w:tcPr>
          <w:p w14:paraId="6ED9C38A" w14:textId="77777777" w:rsidR="00022792" w:rsidRPr="00022792" w:rsidRDefault="00022792" w:rsidP="00C45043">
            <w:pPr>
              <w:jc w:val="center"/>
              <w:rPr>
                <w:rFonts w:cs="Times New Roman"/>
                <w:sz w:val="22"/>
                <w:szCs w:val="24"/>
              </w:rPr>
            </w:pPr>
          </w:p>
        </w:tc>
        <w:tc>
          <w:tcPr>
            <w:tcW w:w="1551" w:type="dxa"/>
          </w:tcPr>
          <w:p w14:paraId="332F6D36" w14:textId="77777777" w:rsidR="00022792" w:rsidRPr="006E5986" w:rsidRDefault="00022792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3D7D6FA2" w14:textId="77777777" w:rsidR="004F5DFD" w:rsidRPr="00F1727F" w:rsidRDefault="004F5DFD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 xml:space="preserve">Предлагаме следната редакция на дефиницията в приложение 16: </w:t>
            </w:r>
          </w:p>
          <w:p w14:paraId="10306A7A" w14:textId="77777777" w:rsidR="004F5DFD" w:rsidRPr="00F1727F" w:rsidRDefault="004F5DFD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 xml:space="preserve">„Комуникационно оборудване“ е оборудване и технически средства, използвани за предаване на информация от наблюдателния пункт до центъра за </w:t>
            </w:r>
            <w:r w:rsidRPr="00F1727F">
              <w:rPr>
                <w:rFonts w:cs="Times New Roman"/>
                <w:sz w:val="24"/>
                <w:szCs w:val="24"/>
              </w:rPr>
              <w:lastRenderedPageBreak/>
              <w:t>приемане и обобщаване на информацията с цел предприемане на мерки за превенция, локализиране и овладяване на възникнали горски пожари. В случай, че оборудването не се отнася за обезпечаване функционирането на стационарен наблюдателен пункт, същото може да е радио-комуникационно оборудване, с изключение на моторни транспортни средства, мобилни телефони и уреди за нощно виждане.</w:t>
            </w:r>
          </w:p>
          <w:p w14:paraId="2C718EE2" w14:textId="77777777" w:rsidR="00022792" w:rsidRPr="006E5986" w:rsidRDefault="004F5DFD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Обосновка: В ревизията се връщат старите текстове (от проекта за Наредба по 8.3.) за РДГ във връзка с изключителното им право, вписано в програмата ПРСР само те са изграждат и поддържат наблюдателни пунктове и автоматична система за наблюдение към тях. Заложените текстове в проекта на насоките обаче лимитират останалите кандидати по мярката, във връзка с възможността им да закупят мобилно комуникационно оборудване – радиостанции, каквото добра практика е установена пред предния програмен период. В този смисъл е разширена и дефиницията за да  се направи разграничение между автоматичните системи за комуникация за пунктовете и радиовръзките.</w:t>
            </w:r>
          </w:p>
        </w:tc>
        <w:tc>
          <w:tcPr>
            <w:tcW w:w="3767" w:type="dxa"/>
          </w:tcPr>
          <w:p w14:paraId="2B3A95DC" w14:textId="77777777" w:rsidR="00EC2443" w:rsidRDefault="00115E63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Не се приема. </w:t>
            </w:r>
          </w:p>
          <w:p w14:paraId="12BA3D1F" w14:textId="33CC8CB1" w:rsidR="00115E63" w:rsidRPr="006E5986" w:rsidRDefault="00115E63" w:rsidP="00325A15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Противоречи на ПРСР 2014-2020 г.</w:t>
            </w:r>
            <w:r w:rsidR="0070624C">
              <w:rPr>
                <w:rFonts w:cs="Times New Roman"/>
                <w:sz w:val="24"/>
                <w:szCs w:val="24"/>
              </w:rPr>
              <w:t xml:space="preserve">, в точка 8.2.6.3.2.6 </w:t>
            </w:r>
            <w:r w:rsidR="00325A15">
              <w:rPr>
                <w:rFonts w:cs="Times New Roman"/>
                <w:sz w:val="24"/>
                <w:szCs w:val="24"/>
              </w:rPr>
              <w:t>„</w:t>
            </w:r>
            <w:r w:rsidR="0070624C" w:rsidRPr="0070624C">
              <w:rPr>
                <w:rFonts w:cs="Times New Roman"/>
                <w:sz w:val="24"/>
                <w:szCs w:val="24"/>
              </w:rPr>
              <w:t>Условия за допустимост</w:t>
            </w:r>
            <w:r w:rsidR="00325A15">
              <w:rPr>
                <w:rFonts w:cs="Times New Roman"/>
                <w:sz w:val="24"/>
                <w:szCs w:val="24"/>
              </w:rPr>
              <w:t>“</w:t>
            </w:r>
            <w:r w:rsidR="0070624C">
              <w:rPr>
                <w:rFonts w:cs="Times New Roman"/>
                <w:sz w:val="24"/>
                <w:szCs w:val="24"/>
              </w:rPr>
              <w:t xml:space="preserve"> е заложено следното условие: „</w:t>
            </w:r>
            <w:r w:rsidR="0070624C" w:rsidRPr="0070624C">
              <w:rPr>
                <w:rFonts w:cs="Times New Roman"/>
                <w:sz w:val="24"/>
                <w:szCs w:val="24"/>
              </w:rPr>
              <w:t xml:space="preserve">За дейностите строителство/подобряване на </w:t>
            </w:r>
            <w:r w:rsidR="0070624C" w:rsidRPr="0070624C">
              <w:rPr>
                <w:rFonts w:cs="Times New Roman"/>
                <w:sz w:val="24"/>
                <w:szCs w:val="24"/>
              </w:rPr>
              <w:lastRenderedPageBreak/>
              <w:t>наблюдателни пунктове за борба с пожарите и закупуване на комуникационно оборудване и средства за наблюдение на горски пожари ще бъдат допустими за подпомагане само Регионалните дирекции по горите</w:t>
            </w:r>
            <w:r w:rsidR="0070624C">
              <w:rPr>
                <w:rFonts w:cs="Times New Roman"/>
                <w:sz w:val="24"/>
                <w:szCs w:val="24"/>
              </w:rPr>
              <w:t>“.</w:t>
            </w:r>
          </w:p>
        </w:tc>
      </w:tr>
      <w:tr w:rsidR="006E5986" w:rsidRPr="00D34AF6" w14:paraId="23CF3C11" w14:textId="77777777" w:rsidTr="00C73583">
        <w:tc>
          <w:tcPr>
            <w:tcW w:w="517" w:type="dxa"/>
          </w:tcPr>
          <w:p w14:paraId="3958E660" w14:textId="77777777" w:rsidR="006E5986" w:rsidRPr="006E5986" w:rsidRDefault="006E5986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24" w:type="dxa"/>
          </w:tcPr>
          <w:p w14:paraId="228AD189" w14:textId="77777777" w:rsidR="006E5986" w:rsidRPr="006E5986" w:rsidRDefault="006E5986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14:paraId="42953462" w14:textId="77777777" w:rsidR="006E5986" w:rsidRPr="006E5986" w:rsidRDefault="006E5986" w:rsidP="00C4504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32" w:type="dxa"/>
          </w:tcPr>
          <w:p w14:paraId="7107759B" w14:textId="77777777" w:rsidR="004F5DFD" w:rsidRPr="00F1727F" w:rsidRDefault="004F5DFD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>•</w:t>
            </w:r>
            <w:r w:rsidRPr="00F1727F">
              <w:rPr>
                <w:rFonts w:cs="Times New Roman"/>
                <w:sz w:val="24"/>
                <w:szCs w:val="24"/>
              </w:rPr>
              <w:tab/>
              <w:t xml:space="preserve">Предлагаме следната редакция на дефиницията в приложение 16: </w:t>
            </w:r>
          </w:p>
          <w:p w14:paraId="4637ABA0" w14:textId="77777777" w:rsidR="004F5DFD" w:rsidRPr="00F1727F" w:rsidRDefault="004F5DFD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 xml:space="preserve">„Средства за наблюдение на горски </w:t>
            </w:r>
            <w:r w:rsidRPr="00F1727F">
              <w:rPr>
                <w:rFonts w:cs="Times New Roman"/>
                <w:sz w:val="24"/>
                <w:szCs w:val="24"/>
              </w:rPr>
              <w:lastRenderedPageBreak/>
              <w:t>пожари“ са оборудване и технически средства, използвани при превенцията на горските пожари и при предприемането на мерки за локализирането и овладяването на възникнали горски пожари, с изключение на моторни транспортни средства, мобилни телефони,  на телескопи и уреди за нощно виждане.</w:t>
            </w:r>
          </w:p>
          <w:p w14:paraId="60BFFDC1" w14:textId="77777777" w:rsidR="006E5986" w:rsidRPr="006E5986" w:rsidRDefault="004F5DFD" w:rsidP="004F5DFD">
            <w:pPr>
              <w:jc w:val="both"/>
              <w:rPr>
                <w:rFonts w:cs="Times New Roman"/>
                <w:sz w:val="24"/>
                <w:szCs w:val="24"/>
              </w:rPr>
            </w:pPr>
            <w:r w:rsidRPr="00F1727F">
              <w:rPr>
                <w:rFonts w:cs="Times New Roman"/>
                <w:sz w:val="24"/>
                <w:szCs w:val="24"/>
              </w:rPr>
              <w:t xml:space="preserve">Обосновка: ревизията на този текст дефинира средствата за наблюдение на горски пожари, като всички съвременни средства, утвърдени и ползвани в структурите за действия при бедствия и аварии в силно пресечените терени на територията на ЕС, а именно конвенционални уреди – бинокли и монокли, и модерни средства – </w:t>
            </w:r>
            <w:proofErr w:type="spellStart"/>
            <w:r w:rsidRPr="00F1727F">
              <w:rPr>
                <w:rFonts w:cs="Times New Roman"/>
                <w:sz w:val="24"/>
                <w:szCs w:val="24"/>
              </w:rPr>
              <w:t>радиоуправляеми</w:t>
            </w:r>
            <w:proofErr w:type="spellEnd"/>
            <w:r w:rsidRPr="00F1727F">
              <w:rPr>
                <w:rFonts w:cs="Times New Roman"/>
                <w:sz w:val="24"/>
                <w:szCs w:val="24"/>
              </w:rPr>
              <w:t xml:space="preserve"> летателни устройства за наблюдение – </w:t>
            </w:r>
            <w:proofErr w:type="spellStart"/>
            <w:r w:rsidRPr="00F1727F">
              <w:rPr>
                <w:rFonts w:cs="Times New Roman"/>
                <w:sz w:val="24"/>
                <w:szCs w:val="24"/>
              </w:rPr>
              <w:t>дронове</w:t>
            </w:r>
            <w:proofErr w:type="spellEnd"/>
            <w:r w:rsidRPr="00F1727F">
              <w:rPr>
                <w:rFonts w:cs="Times New Roman"/>
                <w:sz w:val="24"/>
                <w:szCs w:val="24"/>
              </w:rPr>
              <w:t>, без изискване за летателен лиценз.</w:t>
            </w:r>
          </w:p>
        </w:tc>
        <w:tc>
          <w:tcPr>
            <w:tcW w:w="3767" w:type="dxa"/>
          </w:tcPr>
          <w:p w14:paraId="4076ACC8" w14:textId="17AA7434" w:rsidR="001E5CAD" w:rsidRPr="006E5986" w:rsidRDefault="001E5CAD" w:rsidP="00D31D03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Приема се. </w:t>
            </w:r>
            <w:r w:rsidR="00606F89">
              <w:rPr>
                <w:rFonts w:cs="Times New Roman"/>
                <w:sz w:val="24"/>
                <w:szCs w:val="24"/>
              </w:rPr>
              <w:t>Текстът е коригиран.</w:t>
            </w:r>
          </w:p>
        </w:tc>
      </w:tr>
    </w:tbl>
    <w:p w14:paraId="60400F9F" w14:textId="77777777" w:rsidR="00240F07" w:rsidRPr="00D34AF6" w:rsidRDefault="00240F07">
      <w:pPr>
        <w:rPr>
          <w:rFonts w:cs="Times New Roman"/>
          <w:sz w:val="24"/>
          <w:szCs w:val="24"/>
        </w:rPr>
      </w:pPr>
    </w:p>
    <w:sectPr w:rsidR="00240F07" w:rsidRPr="00D34AF6" w:rsidSect="00240F07">
      <w:footerReference w:type="default" r:id="rId8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4341A02" w15:done="0"/>
  <w15:commentEx w15:paraId="3DD6A5FA" w15:done="0"/>
  <w15:commentEx w15:paraId="5347B55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BDED6" w14:textId="77777777" w:rsidR="00C96502" w:rsidRDefault="00C96502" w:rsidP="00977350">
      <w:r>
        <w:separator/>
      </w:r>
    </w:p>
  </w:endnote>
  <w:endnote w:type="continuationSeparator" w:id="0">
    <w:p w14:paraId="4B4B9691" w14:textId="77777777" w:rsidR="00C96502" w:rsidRDefault="00C96502" w:rsidP="00977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12385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BF274E" w14:textId="40478692" w:rsidR="00D02BC3" w:rsidRDefault="00D02BC3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29D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="0049596C">
              <w:t>от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D29DB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537F4D" w14:textId="77777777" w:rsidR="00D02BC3" w:rsidRDefault="00D02B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C765D" w14:textId="77777777" w:rsidR="00C96502" w:rsidRDefault="00C96502" w:rsidP="00977350">
      <w:r>
        <w:separator/>
      </w:r>
    </w:p>
  </w:footnote>
  <w:footnote w:type="continuationSeparator" w:id="0">
    <w:p w14:paraId="008AF743" w14:textId="77777777" w:rsidR="00C96502" w:rsidRDefault="00C96502" w:rsidP="00977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2A7D"/>
    <w:multiLevelType w:val="hybridMultilevel"/>
    <w:tmpl w:val="FE34C8A6"/>
    <w:lvl w:ilvl="0" w:tplc="55A8805E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madan Birkov">
    <w15:presenceInfo w15:providerId="None" w15:userId="Ramadan Birkov"/>
  </w15:person>
  <w15:person w15:author="Kalina Bozhidarova Stoykova-Duleva">
    <w15:presenceInfo w15:providerId="None" w15:userId="Kalina Bozhidarova Stoykova-Dule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F07"/>
    <w:rsid w:val="000045D6"/>
    <w:rsid w:val="00022792"/>
    <w:rsid w:val="00024DE4"/>
    <w:rsid w:val="00034C97"/>
    <w:rsid w:val="00062613"/>
    <w:rsid w:val="00071AE3"/>
    <w:rsid w:val="000A0B4A"/>
    <w:rsid w:val="000D4699"/>
    <w:rsid w:val="001060A8"/>
    <w:rsid w:val="00115E5A"/>
    <w:rsid w:val="00115E63"/>
    <w:rsid w:val="00135896"/>
    <w:rsid w:val="00174727"/>
    <w:rsid w:val="00195763"/>
    <w:rsid w:val="001B1E08"/>
    <w:rsid w:val="001B2451"/>
    <w:rsid w:val="001B53AE"/>
    <w:rsid w:val="001E3D61"/>
    <w:rsid w:val="001E5CAD"/>
    <w:rsid w:val="001F6145"/>
    <w:rsid w:val="00240F07"/>
    <w:rsid w:val="00283F95"/>
    <w:rsid w:val="0029098C"/>
    <w:rsid w:val="002E0D10"/>
    <w:rsid w:val="00325A15"/>
    <w:rsid w:val="003338D2"/>
    <w:rsid w:val="00337C6A"/>
    <w:rsid w:val="00357356"/>
    <w:rsid w:val="003E4D12"/>
    <w:rsid w:val="003F53DC"/>
    <w:rsid w:val="00414A53"/>
    <w:rsid w:val="00434B45"/>
    <w:rsid w:val="0049596C"/>
    <w:rsid w:val="004A711F"/>
    <w:rsid w:val="004F5DFD"/>
    <w:rsid w:val="00512BA6"/>
    <w:rsid w:val="0053481B"/>
    <w:rsid w:val="005723C6"/>
    <w:rsid w:val="00595B79"/>
    <w:rsid w:val="005A3302"/>
    <w:rsid w:val="00606F89"/>
    <w:rsid w:val="00633D52"/>
    <w:rsid w:val="00677B69"/>
    <w:rsid w:val="0068377D"/>
    <w:rsid w:val="006E5986"/>
    <w:rsid w:val="0070624C"/>
    <w:rsid w:val="007103F0"/>
    <w:rsid w:val="00725C1C"/>
    <w:rsid w:val="00746334"/>
    <w:rsid w:val="00763D0C"/>
    <w:rsid w:val="00777B63"/>
    <w:rsid w:val="00784479"/>
    <w:rsid w:val="00785FA4"/>
    <w:rsid w:val="007C3F83"/>
    <w:rsid w:val="00805CD9"/>
    <w:rsid w:val="00830E1B"/>
    <w:rsid w:val="00853A92"/>
    <w:rsid w:val="00885B95"/>
    <w:rsid w:val="0091419F"/>
    <w:rsid w:val="00935B0D"/>
    <w:rsid w:val="00936DFD"/>
    <w:rsid w:val="009458CE"/>
    <w:rsid w:val="00977350"/>
    <w:rsid w:val="009822A1"/>
    <w:rsid w:val="00986C64"/>
    <w:rsid w:val="009E2761"/>
    <w:rsid w:val="009E545E"/>
    <w:rsid w:val="009E7FAB"/>
    <w:rsid w:val="009F2D70"/>
    <w:rsid w:val="009F509C"/>
    <w:rsid w:val="00A40B0E"/>
    <w:rsid w:val="00A571E9"/>
    <w:rsid w:val="00B20672"/>
    <w:rsid w:val="00B26674"/>
    <w:rsid w:val="00B65204"/>
    <w:rsid w:val="00B8675F"/>
    <w:rsid w:val="00BD226D"/>
    <w:rsid w:val="00C07427"/>
    <w:rsid w:val="00C114A1"/>
    <w:rsid w:val="00C25A04"/>
    <w:rsid w:val="00C313D4"/>
    <w:rsid w:val="00C45043"/>
    <w:rsid w:val="00C73583"/>
    <w:rsid w:val="00C84CAA"/>
    <w:rsid w:val="00C96502"/>
    <w:rsid w:val="00CC7DF6"/>
    <w:rsid w:val="00CF4D93"/>
    <w:rsid w:val="00CF5F9B"/>
    <w:rsid w:val="00D02BC3"/>
    <w:rsid w:val="00D31D03"/>
    <w:rsid w:val="00D34AF6"/>
    <w:rsid w:val="00D811FB"/>
    <w:rsid w:val="00DC77D7"/>
    <w:rsid w:val="00DF3C9F"/>
    <w:rsid w:val="00E050CC"/>
    <w:rsid w:val="00E27E7C"/>
    <w:rsid w:val="00E361C8"/>
    <w:rsid w:val="00E401B0"/>
    <w:rsid w:val="00EA000A"/>
    <w:rsid w:val="00EC2443"/>
    <w:rsid w:val="00F07A82"/>
    <w:rsid w:val="00F1727F"/>
    <w:rsid w:val="00F34331"/>
    <w:rsid w:val="00FD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;"/>
  <w14:docId w14:val="1108B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62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table" w:styleId="TableGrid">
    <w:name w:val="Table Grid"/>
    <w:basedOn w:val="TableNormal"/>
    <w:uiPriority w:val="59"/>
    <w:rsid w:val="00C45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472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735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350"/>
    <w:rPr>
      <w:rFonts w:ascii="Times New Roman" w:hAnsi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735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50"/>
    <w:rPr>
      <w:rFonts w:ascii="Times New Roman" w:hAnsi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9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96C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4A71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71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711F"/>
    <w:rPr>
      <w:rFonts w:ascii="Times New Roman" w:hAnsi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1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11F"/>
    <w:rPr>
      <w:rFonts w:ascii="Times New Roman" w:hAnsi="Times New Roman"/>
      <w:b/>
      <w:bCs/>
      <w:sz w:val="20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624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C07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62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bg-BG"/>
    </w:rPr>
  </w:style>
  <w:style w:type="table" w:styleId="TableGrid">
    <w:name w:val="Table Grid"/>
    <w:basedOn w:val="TableNormal"/>
    <w:uiPriority w:val="59"/>
    <w:rsid w:val="00C45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7472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77350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7350"/>
    <w:rPr>
      <w:rFonts w:ascii="Times New Roman" w:hAnsi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735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7350"/>
    <w:rPr>
      <w:rFonts w:ascii="Times New Roman" w:hAnsi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9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96C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4A71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711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711F"/>
    <w:rPr>
      <w:rFonts w:ascii="Times New Roman" w:hAnsi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1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11F"/>
    <w:rPr>
      <w:rFonts w:ascii="Times New Roman" w:hAnsi="Times New Roman"/>
      <w:b/>
      <w:bCs/>
      <w:sz w:val="20"/>
      <w:szCs w:val="20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624C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C07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10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11</cp:revision>
  <cp:lastPrinted>2018-05-16T13:17:00Z</cp:lastPrinted>
  <dcterms:created xsi:type="dcterms:W3CDTF">2018-05-08T05:53:00Z</dcterms:created>
  <dcterms:modified xsi:type="dcterms:W3CDTF">2018-05-16T13:17:00Z</dcterms:modified>
</cp:coreProperties>
</file>