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E0E" w:rsidRDefault="00747E0E" w:rsidP="00F26874">
      <w:pPr>
        <w:rPr>
          <w:b/>
          <w:sz w:val="56"/>
          <w:szCs w:val="56"/>
        </w:rPr>
      </w:pPr>
      <w:bookmarkStart w:id="0" w:name="_GoBack"/>
      <w:bookmarkEnd w:id="0"/>
    </w:p>
    <w:p w:rsidR="001B460E" w:rsidRPr="00227487" w:rsidRDefault="001B460E" w:rsidP="001B460E">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47E0E">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С</w:t>
      </w:r>
      <w:r w:rsidR="00227487">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ъстояние и тенденции на оранжерийния сектор в България</w:t>
      </w:r>
      <w:r w:rsidR="00227487">
        <w:rPr>
          <w:b/>
          <w:sz w:val="56"/>
          <w:szCs w:val="5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1B460E" w:rsidRDefault="001B460E" w:rsidP="001B460E"/>
    <w:p w:rsidR="007B185F" w:rsidRDefault="007B185F" w:rsidP="001B460E"/>
    <w:p w:rsidR="001041F2" w:rsidRDefault="001041F2" w:rsidP="001B460E"/>
    <w:p w:rsidR="001041F2" w:rsidRDefault="001041F2" w:rsidP="001B460E"/>
    <w:p w:rsidR="001041F2" w:rsidRDefault="001041F2" w:rsidP="001B460E"/>
    <w:p w:rsidR="001041F2" w:rsidRDefault="001041F2" w:rsidP="001B460E"/>
    <w:p w:rsidR="001041F2" w:rsidRDefault="001041F2" w:rsidP="001B460E"/>
    <w:p w:rsidR="001041F2" w:rsidRDefault="001041F2" w:rsidP="001B460E"/>
    <w:p w:rsidR="001041F2" w:rsidRDefault="001041F2" w:rsidP="001B460E"/>
    <w:p w:rsidR="007B185F" w:rsidRDefault="007B185F" w:rsidP="001B460E"/>
    <w:p w:rsidR="001B460E" w:rsidRDefault="001B460E" w:rsidP="001B460E"/>
    <w:p w:rsidR="001B460E" w:rsidRDefault="001B460E" w:rsidP="001B460E"/>
    <w:p w:rsidR="00F26874" w:rsidRDefault="00F26874" w:rsidP="001B460E"/>
    <w:p w:rsidR="001B460E" w:rsidRPr="007D3E52" w:rsidRDefault="00BD05B9" w:rsidP="00053B3F">
      <w:pPr>
        <w:ind w:firstLine="720"/>
        <w:jc w:val="both"/>
        <w:rPr>
          <w:b/>
          <w:sz w:val="28"/>
          <w:szCs w:val="28"/>
        </w:rPr>
      </w:pPr>
      <w:r>
        <w:rPr>
          <w:b/>
          <w:sz w:val="28"/>
          <w:szCs w:val="28"/>
        </w:rPr>
        <w:lastRenderedPageBreak/>
        <w:t>Въведение</w:t>
      </w:r>
    </w:p>
    <w:p w:rsidR="00E53E96" w:rsidRPr="00E53E96" w:rsidRDefault="00E53E96" w:rsidP="00E53E96">
      <w:pPr>
        <w:jc w:val="both"/>
        <w:rPr>
          <w:b/>
          <w:sz w:val="24"/>
          <w:szCs w:val="24"/>
        </w:rPr>
      </w:pPr>
    </w:p>
    <w:p w:rsidR="00D9338C" w:rsidRDefault="001B460E" w:rsidP="00BE7C13">
      <w:pPr>
        <w:spacing w:line="360" w:lineRule="auto"/>
        <w:ind w:firstLine="720"/>
        <w:jc w:val="both"/>
        <w:rPr>
          <w:sz w:val="24"/>
          <w:szCs w:val="24"/>
        </w:rPr>
      </w:pPr>
      <w:r w:rsidRPr="00053B3F">
        <w:rPr>
          <w:sz w:val="24"/>
          <w:szCs w:val="24"/>
        </w:rPr>
        <w:t xml:space="preserve">Производството на зеленчуци е традиционно </w:t>
      </w:r>
      <w:r w:rsidR="00D9338C">
        <w:rPr>
          <w:sz w:val="24"/>
          <w:szCs w:val="24"/>
        </w:rPr>
        <w:t xml:space="preserve">земеделско производство </w:t>
      </w:r>
      <w:r w:rsidRPr="00053B3F">
        <w:rPr>
          <w:sz w:val="24"/>
          <w:szCs w:val="24"/>
        </w:rPr>
        <w:t>за България. Климатичните условията на страната ни определят сезонния характер на зеленчукопроизводството и основната цел и значение на оранжерийното производство е да реши проблема с целогодишното снабдяване на пазара с пресни зеленчуци. Икономическото значение на оранжерийното зеленчукопроизводство е свързано с обстоятелството, че чрез него може да</w:t>
      </w:r>
      <w:r w:rsidR="00BE7C13">
        <w:rPr>
          <w:sz w:val="24"/>
          <w:szCs w:val="24"/>
        </w:rPr>
        <w:t xml:space="preserve"> се получават по-високи доходи от единица площ благодарение </w:t>
      </w:r>
      <w:r w:rsidRPr="00053B3F">
        <w:rPr>
          <w:sz w:val="24"/>
          <w:szCs w:val="24"/>
        </w:rPr>
        <w:t xml:space="preserve"> на</w:t>
      </w:r>
      <w:r w:rsidR="00BA4A99">
        <w:rPr>
          <w:sz w:val="24"/>
          <w:szCs w:val="24"/>
        </w:rPr>
        <w:t xml:space="preserve"> значително по-високите добиви </w:t>
      </w:r>
      <w:r w:rsidRPr="00053B3F">
        <w:rPr>
          <w:sz w:val="24"/>
          <w:szCs w:val="24"/>
        </w:rPr>
        <w:t xml:space="preserve">в </w:t>
      </w:r>
      <w:proofErr w:type="spellStart"/>
      <w:r w:rsidRPr="00053B3F">
        <w:rPr>
          <w:sz w:val="24"/>
          <w:szCs w:val="24"/>
        </w:rPr>
        <w:t>култивационните</w:t>
      </w:r>
      <w:proofErr w:type="spellEnd"/>
      <w:r w:rsidRPr="00053B3F">
        <w:rPr>
          <w:sz w:val="24"/>
          <w:szCs w:val="24"/>
        </w:rPr>
        <w:t xml:space="preserve"> съоръжения в сравнение с полското производство. </w:t>
      </w:r>
    </w:p>
    <w:p w:rsidR="001B460E" w:rsidRPr="00053B3F" w:rsidRDefault="001B460E" w:rsidP="00BE7C13">
      <w:pPr>
        <w:spacing w:line="360" w:lineRule="auto"/>
        <w:ind w:firstLine="720"/>
        <w:jc w:val="both"/>
        <w:rPr>
          <w:sz w:val="24"/>
          <w:szCs w:val="24"/>
        </w:rPr>
      </w:pPr>
      <w:r w:rsidRPr="00053B3F">
        <w:rPr>
          <w:sz w:val="24"/>
          <w:szCs w:val="24"/>
        </w:rPr>
        <w:t xml:space="preserve">Технологичните процеси в </w:t>
      </w:r>
      <w:r w:rsidR="00BA4A99">
        <w:rPr>
          <w:sz w:val="24"/>
          <w:szCs w:val="24"/>
        </w:rPr>
        <w:t>оранжериите</w:t>
      </w:r>
      <w:r w:rsidRPr="00053B3F">
        <w:rPr>
          <w:sz w:val="24"/>
          <w:szCs w:val="24"/>
        </w:rPr>
        <w:t xml:space="preserve"> започват през есента и продължават непрекъснато до лятото. Съвременното оранжерийно производство влияе пряко върху развитието на полското зеленчукопроизводство. Производството на висококачествен разсад, което е предпоставка за получаването на добре гарнирани посеви и на по-ранен растеж и развитие на ранните и </w:t>
      </w:r>
      <w:proofErr w:type="spellStart"/>
      <w:r w:rsidRPr="00053B3F">
        <w:rPr>
          <w:sz w:val="24"/>
          <w:szCs w:val="24"/>
        </w:rPr>
        <w:t>средноранни</w:t>
      </w:r>
      <w:proofErr w:type="spellEnd"/>
      <w:r w:rsidRPr="00053B3F">
        <w:rPr>
          <w:sz w:val="24"/>
          <w:szCs w:val="24"/>
        </w:rPr>
        <w:t xml:space="preserve"> домати, пипер, патладжан се осъществява в оранжерийни условия, чието устройство и микроклимат са във връзка с крайния биологичен ефект. В </w:t>
      </w:r>
      <w:proofErr w:type="spellStart"/>
      <w:r w:rsidRPr="00053B3F">
        <w:rPr>
          <w:sz w:val="24"/>
          <w:szCs w:val="24"/>
        </w:rPr>
        <w:t>култивационни</w:t>
      </w:r>
      <w:proofErr w:type="spellEnd"/>
      <w:r w:rsidRPr="00053B3F">
        <w:rPr>
          <w:sz w:val="24"/>
          <w:szCs w:val="24"/>
        </w:rPr>
        <w:t xml:space="preserve"> съоръжения може да се осъществи </w:t>
      </w:r>
      <w:proofErr w:type="spellStart"/>
      <w:r w:rsidRPr="00053B3F">
        <w:rPr>
          <w:sz w:val="24"/>
          <w:szCs w:val="24"/>
        </w:rPr>
        <w:t>доотглеждане</w:t>
      </w:r>
      <w:proofErr w:type="spellEnd"/>
      <w:r w:rsidRPr="00053B3F">
        <w:rPr>
          <w:sz w:val="24"/>
          <w:szCs w:val="24"/>
        </w:rPr>
        <w:t xml:space="preserve"> на някои култури, застрашени от ниски температури през есента, като по този начин се разкриват възможности за удължаване на срока за снабдяване на пазара с пресни зеленчуци от полското производство и за реализацията им на значително по - високи цени. Комплексното значение на оранжерийното производство се допълва и от стимулиращото му въздействие върху производство на </w:t>
      </w:r>
      <w:proofErr w:type="spellStart"/>
      <w:r w:rsidRPr="00053B3F">
        <w:rPr>
          <w:sz w:val="24"/>
          <w:szCs w:val="24"/>
        </w:rPr>
        <w:t>полиетилен</w:t>
      </w:r>
      <w:proofErr w:type="spellEnd"/>
      <w:r w:rsidRPr="00053B3F">
        <w:rPr>
          <w:sz w:val="24"/>
          <w:szCs w:val="24"/>
        </w:rPr>
        <w:t>, оранжерийни конструкции, системи за напояване и други.</w:t>
      </w:r>
    </w:p>
    <w:p w:rsidR="00BD05B9" w:rsidRPr="007449E5" w:rsidRDefault="001B460E" w:rsidP="007449E5">
      <w:pPr>
        <w:spacing w:line="360" w:lineRule="auto"/>
        <w:ind w:firstLine="720"/>
        <w:jc w:val="both"/>
        <w:rPr>
          <w:sz w:val="24"/>
          <w:szCs w:val="24"/>
        </w:rPr>
      </w:pPr>
      <w:r w:rsidRPr="00053B3F">
        <w:rPr>
          <w:sz w:val="24"/>
          <w:szCs w:val="24"/>
        </w:rPr>
        <w:t>Оранжерийното зеленчукопроизводство заема едва 0,4% от всички площи, на които се отглеждат зеленчуци. Благодарение на високата си интензивност на производство, българското оранжерийното производство осигурява 15-17% от общо произведените зеленчуци в страната. Дела на оранжерийно произведените домати е почти 50%, а при краставиците преобладаващата част от произведените количества са отгледани в оранжерийни условия - 80%.</w:t>
      </w:r>
      <w:r w:rsidR="00BA4A99">
        <w:rPr>
          <w:sz w:val="24"/>
          <w:szCs w:val="24"/>
        </w:rPr>
        <w:t xml:space="preserve"> Съществена и основна част от износа на български домати и краставици се осъществява от произведените в </w:t>
      </w:r>
      <w:proofErr w:type="spellStart"/>
      <w:r w:rsidR="00BA4A99">
        <w:rPr>
          <w:sz w:val="24"/>
          <w:szCs w:val="24"/>
        </w:rPr>
        <w:t>култивационни</w:t>
      </w:r>
      <w:proofErr w:type="spellEnd"/>
      <w:r w:rsidR="00BA4A99">
        <w:rPr>
          <w:sz w:val="24"/>
          <w:szCs w:val="24"/>
        </w:rPr>
        <w:t xml:space="preserve"> съоръжения.</w:t>
      </w:r>
    </w:p>
    <w:p w:rsidR="00D9338C" w:rsidRDefault="00D9338C" w:rsidP="007449E5">
      <w:pPr>
        <w:ind w:firstLine="720"/>
        <w:jc w:val="both"/>
        <w:rPr>
          <w:b/>
          <w:sz w:val="28"/>
          <w:szCs w:val="28"/>
        </w:rPr>
      </w:pPr>
    </w:p>
    <w:p w:rsidR="00053B3F" w:rsidRPr="007D3E52" w:rsidRDefault="001B460E" w:rsidP="007449E5">
      <w:pPr>
        <w:ind w:firstLine="720"/>
        <w:jc w:val="both"/>
        <w:rPr>
          <w:b/>
          <w:sz w:val="28"/>
          <w:szCs w:val="28"/>
        </w:rPr>
      </w:pPr>
      <w:r w:rsidRPr="007D3E52">
        <w:rPr>
          <w:b/>
          <w:sz w:val="28"/>
          <w:szCs w:val="28"/>
        </w:rPr>
        <w:lastRenderedPageBreak/>
        <w:t>Площи</w:t>
      </w:r>
      <w:r w:rsidR="00053B3F" w:rsidRPr="007D3E52">
        <w:rPr>
          <w:b/>
          <w:sz w:val="28"/>
          <w:szCs w:val="28"/>
        </w:rPr>
        <w:t>, средни добиви и производство от оранжерийното производство</w:t>
      </w:r>
    </w:p>
    <w:p w:rsidR="00053B3F" w:rsidRPr="007B185F" w:rsidRDefault="001B460E" w:rsidP="007B185F">
      <w:pPr>
        <w:spacing w:line="360" w:lineRule="auto"/>
        <w:ind w:firstLine="720"/>
        <w:jc w:val="both"/>
        <w:rPr>
          <w:sz w:val="24"/>
          <w:szCs w:val="24"/>
        </w:rPr>
      </w:pPr>
      <w:r w:rsidRPr="00053B3F">
        <w:rPr>
          <w:sz w:val="24"/>
          <w:szCs w:val="24"/>
        </w:rPr>
        <w:t xml:space="preserve">Общата оранжерийна площ в страната варира, но след 2006 г. се задържа на сравнително постоянно ниво в рамките на 1 000 ха. Съотношението между </w:t>
      </w:r>
      <w:proofErr w:type="spellStart"/>
      <w:r w:rsidRPr="00053B3F">
        <w:rPr>
          <w:sz w:val="24"/>
          <w:szCs w:val="24"/>
        </w:rPr>
        <w:t>полиетиленовите</w:t>
      </w:r>
      <w:proofErr w:type="spellEnd"/>
      <w:r w:rsidRPr="00053B3F">
        <w:rPr>
          <w:sz w:val="24"/>
          <w:szCs w:val="24"/>
        </w:rPr>
        <w:t xml:space="preserve"> и стъклени оранжерийни комплекси е разпределено почти по-равно, като през 2011г. се забелязва известно увеличение на оранжериите с PVC покритие.</w:t>
      </w:r>
      <w:r w:rsidR="00747E0E">
        <w:rPr>
          <w:sz w:val="24"/>
          <w:szCs w:val="24"/>
        </w:rPr>
        <w:t xml:space="preserve"> През 2016г., общата площ е 1 001 ха, като от нея почти двойно повече </w:t>
      </w:r>
      <w:r w:rsidR="000A0380">
        <w:rPr>
          <w:sz w:val="24"/>
          <w:szCs w:val="24"/>
        </w:rPr>
        <w:t xml:space="preserve">в сравнение със стъклените </w:t>
      </w:r>
      <w:r w:rsidR="00747E0E">
        <w:rPr>
          <w:sz w:val="24"/>
          <w:szCs w:val="24"/>
        </w:rPr>
        <w:t>са пл</w:t>
      </w:r>
      <w:r w:rsidR="000A0380">
        <w:rPr>
          <w:sz w:val="24"/>
          <w:szCs w:val="24"/>
        </w:rPr>
        <w:t xml:space="preserve">ощите с </w:t>
      </w:r>
      <w:proofErr w:type="spellStart"/>
      <w:r w:rsidR="000A0380">
        <w:rPr>
          <w:sz w:val="24"/>
          <w:szCs w:val="24"/>
        </w:rPr>
        <w:t>полиетиленови</w:t>
      </w:r>
      <w:proofErr w:type="spellEnd"/>
      <w:r w:rsidR="000A0380">
        <w:rPr>
          <w:sz w:val="24"/>
          <w:szCs w:val="24"/>
        </w:rPr>
        <w:t xml:space="preserve"> оранжерии  624 ха.</w:t>
      </w:r>
    </w:p>
    <w:p w:rsidR="00053B3F" w:rsidRPr="00053B3F" w:rsidRDefault="00053B3F" w:rsidP="00053B3F">
      <w:pPr>
        <w:pStyle w:val="Default"/>
        <w:ind w:firstLine="720"/>
        <w:rPr>
          <w:rFonts w:asciiTheme="minorHAnsi" w:hAnsiTheme="minorHAnsi"/>
          <w:b/>
          <w:color w:val="auto"/>
          <w:lang w:val="bg-BG"/>
        </w:rPr>
      </w:pPr>
      <w:r w:rsidRPr="00053B3F">
        <w:rPr>
          <w:rFonts w:asciiTheme="minorHAnsi" w:hAnsiTheme="minorHAnsi"/>
          <w:b/>
          <w:color w:val="auto"/>
          <w:lang w:val="bg-BG"/>
        </w:rPr>
        <w:t>Основни площи, използвани за производство на зеленчуци – реколта’2016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992"/>
        <w:gridCol w:w="2897"/>
      </w:tblGrid>
      <w:tr w:rsidR="00053B3F" w:rsidRPr="00053B3F" w:rsidTr="009813FF">
        <w:trPr>
          <w:trHeight w:val="224"/>
          <w:jc w:val="center"/>
        </w:trPr>
        <w:tc>
          <w:tcPr>
            <w:tcW w:w="5353" w:type="dxa"/>
          </w:tcPr>
          <w:p w:rsidR="00053B3F" w:rsidRPr="00747E0E" w:rsidRDefault="00053B3F" w:rsidP="007D3E52">
            <w:pPr>
              <w:pStyle w:val="Default"/>
              <w:rPr>
                <w:rFonts w:asciiTheme="minorHAnsi" w:hAnsiTheme="minorHAnsi"/>
                <w:lang w:val="bg-BG"/>
              </w:rPr>
            </w:pPr>
            <w:r w:rsidRPr="00747E0E">
              <w:rPr>
                <w:rFonts w:asciiTheme="minorHAnsi" w:hAnsiTheme="minorHAnsi"/>
                <w:b/>
                <w:bCs/>
                <w:lang w:val="bg-BG"/>
              </w:rPr>
              <w:t xml:space="preserve">Основни площи </w:t>
            </w:r>
            <w:r w:rsidR="007D3E52">
              <w:rPr>
                <w:rFonts w:asciiTheme="minorHAnsi" w:hAnsiTheme="minorHAnsi"/>
                <w:b/>
                <w:bCs/>
                <w:lang w:val="bg-BG"/>
              </w:rPr>
              <w:t xml:space="preserve">използвани в </w:t>
            </w:r>
            <w:proofErr w:type="spellStart"/>
            <w:r w:rsidR="007D3E52">
              <w:rPr>
                <w:rFonts w:asciiTheme="minorHAnsi" w:hAnsiTheme="minorHAnsi"/>
                <w:b/>
                <w:bCs/>
                <w:lang w:val="bg-BG"/>
              </w:rPr>
              <w:t>зеленчукопроизводтвото</w:t>
            </w:r>
            <w:proofErr w:type="spellEnd"/>
          </w:p>
        </w:tc>
        <w:tc>
          <w:tcPr>
            <w:tcW w:w="992" w:type="dxa"/>
          </w:tcPr>
          <w:p w:rsidR="00053B3F" w:rsidRPr="00053B3F" w:rsidRDefault="00053B3F" w:rsidP="00053B3F">
            <w:pPr>
              <w:pStyle w:val="Default"/>
              <w:jc w:val="center"/>
              <w:rPr>
                <w:rFonts w:asciiTheme="minorHAnsi" w:hAnsiTheme="minorHAnsi"/>
              </w:rPr>
            </w:pPr>
            <w:r w:rsidRPr="00053B3F">
              <w:rPr>
                <w:rFonts w:asciiTheme="minorHAnsi" w:hAnsiTheme="minorHAnsi"/>
                <w:b/>
                <w:bCs/>
                <w:lang w:val="bg-BG"/>
              </w:rPr>
              <w:t>М</w:t>
            </w:r>
            <w:proofErr w:type="spellStart"/>
            <w:r w:rsidRPr="00053B3F">
              <w:rPr>
                <w:rFonts w:asciiTheme="minorHAnsi" w:hAnsiTheme="minorHAnsi"/>
                <w:b/>
                <w:bCs/>
              </w:rPr>
              <w:t>ярка</w:t>
            </w:r>
            <w:proofErr w:type="spellEnd"/>
          </w:p>
        </w:tc>
        <w:tc>
          <w:tcPr>
            <w:tcW w:w="2897" w:type="dxa"/>
          </w:tcPr>
          <w:p w:rsidR="00053B3F" w:rsidRPr="00747E0E" w:rsidRDefault="00747E0E" w:rsidP="00053B3F">
            <w:pPr>
              <w:pStyle w:val="Default"/>
              <w:jc w:val="center"/>
              <w:rPr>
                <w:rFonts w:asciiTheme="minorHAnsi" w:hAnsiTheme="minorHAnsi"/>
                <w:lang w:val="bg-BG"/>
              </w:rPr>
            </w:pPr>
            <w:r w:rsidRPr="00747E0E">
              <w:rPr>
                <w:rFonts w:asciiTheme="minorHAnsi" w:hAnsiTheme="minorHAnsi"/>
                <w:b/>
                <w:bCs/>
                <w:lang w:val="bg-BG"/>
              </w:rPr>
              <w:t xml:space="preserve">Използвани площи – реколта </w:t>
            </w:r>
            <w:r w:rsidR="00053B3F" w:rsidRPr="00747E0E">
              <w:rPr>
                <w:rFonts w:asciiTheme="minorHAnsi" w:hAnsiTheme="minorHAnsi"/>
                <w:b/>
                <w:bCs/>
                <w:lang w:val="bg-BG"/>
              </w:rPr>
              <w:t>2016</w:t>
            </w:r>
          </w:p>
        </w:tc>
      </w:tr>
      <w:tr w:rsidR="00053B3F" w:rsidRPr="00053B3F" w:rsidTr="009813FF">
        <w:trPr>
          <w:trHeight w:val="228"/>
          <w:jc w:val="center"/>
        </w:trPr>
        <w:tc>
          <w:tcPr>
            <w:tcW w:w="5353" w:type="dxa"/>
          </w:tcPr>
          <w:p w:rsidR="00053B3F" w:rsidRPr="007D3E52" w:rsidRDefault="00053B3F">
            <w:pPr>
              <w:pStyle w:val="Default"/>
              <w:rPr>
                <w:rFonts w:asciiTheme="minorHAnsi" w:hAnsiTheme="minorHAnsi"/>
                <w:lang w:val="bg-BG"/>
              </w:rPr>
            </w:pPr>
            <w:r w:rsidRPr="007D3E52">
              <w:rPr>
                <w:rFonts w:asciiTheme="minorHAnsi" w:hAnsiTheme="minorHAnsi"/>
                <w:bCs/>
                <w:lang w:val="bg-BG"/>
              </w:rPr>
              <w:t xml:space="preserve">Открити площи от пресни зеленчуци, ягоди, картофи и бобови култури </w:t>
            </w:r>
          </w:p>
        </w:tc>
        <w:tc>
          <w:tcPr>
            <w:tcW w:w="992" w:type="dxa"/>
          </w:tcPr>
          <w:p w:rsidR="00053B3F" w:rsidRPr="00053B3F" w:rsidRDefault="00053B3F" w:rsidP="00053B3F">
            <w:pPr>
              <w:pStyle w:val="Default"/>
              <w:jc w:val="center"/>
              <w:rPr>
                <w:rFonts w:asciiTheme="minorHAnsi" w:hAnsiTheme="minorHAnsi"/>
              </w:rPr>
            </w:pPr>
            <w:proofErr w:type="spellStart"/>
            <w:r w:rsidRPr="00053B3F">
              <w:rPr>
                <w:rFonts w:asciiTheme="minorHAnsi" w:hAnsiTheme="minorHAnsi"/>
              </w:rPr>
              <w:t>ха</w:t>
            </w:r>
            <w:proofErr w:type="spellEnd"/>
          </w:p>
        </w:tc>
        <w:tc>
          <w:tcPr>
            <w:tcW w:w="2897" w:type="dxa"/>
          </w:tcPr>
          <w:p w:rsidR="00053B3F" w:rsidRPr="00053B3F" w:rsidRDefault="00053B3F" w:rsidP="00053B3F">
            <w:pPr>
              <w:pStyle w:val="Default"/>
              <w:jc w:val="center"/>
              <w:rPr>
                <w:rFonts w:asciiTheme="minorHAnsi" w:hAnsiTheme="minorHAnsi"/>
              </w:rPr>
            </w:pPr>
            <w:r w:rsidRPr="00053B3F">
              <w:rPr>
                <w:rFonts w:asciiTheme="minorHAnsi" w:hAnsiTheme="minorHAnsi"/>
                <w:b/>
                <w:bCs/>
              </w:rPr>
              <w:t>59 265</w:t>
            </w:r>
          </w:p>
        </w:tc>
      </w:tr>
      <w:tr w:rsidR="00053B3F" w:rsidRPr="00053B3F" w:rsidTr="009813FF">
        <w:trPr>
          <w:trHeight w:val="110"/>
          <w:jc w:val="center"/>
        </w:trPr>
        <w:tc>
          <w:tcPr>
            <w:tcW w:w="5353" w:type="dxa"/>
          </w:tcPr>
          <w:p w:rsidR="00053B3F" w:rsidRPr="007D3E52" w:rsidRDefault="00053B3F">
            <w:pPr>
              <w:pStyle w:val="Default"/>
              <w:rPr>
                <w:rFonts w:asciiTheme="minorHAnsi" w:hAnsiTheme="minorHAnsi"/>
                <w:b/>
                <w:lang w:val="bg-BG"/>
              </w:rPr>
            </w:pPr>
            <w:r w:rsidRPr="007D3E52">
              <w:rPr>
                <w:rFonts w:asciiTheme="minorHAnsi" w:hAnsiTheme="minorHAnsi"/>
                <w:b/>
                <w:lang w:val="bg-BG"/>
              </w:rPr>
              <w:t xml:space="preserve">Стъклени оранжерии </w:t>
            </w:r>
          </w:p>
        </w:tc>
        <w:tc>
          <w:tcPr>
            <w:tcW w:w="992" w:type="dxa"/>
          </w:tcPr>
          <w:p w:rsidR="00053B3F" w:rsidRPr="007D3E52" w:rsidRDefault="00053B3F" w:rsidP="00053B3F">
            <w:pPr>
              <w:pStyle w:val="Default"/>
              <w:jc w:val="center"/>
              <w:rPr>
                <w:rFonts w:asciiTheme="minorHAnsi" w:hAnsiTheme="minorHAnsi"/>
                <w:b/>
              </w:rPr>
            </w:pPr>
            <w:proofErr w:type="spellStart"/>
            <w:r w:rsidRPr="007D3E52">
              <w:rPr>
                <w:rFonts w:asciiTheme="minorHAnsi" w:hAnsiTheme="minorHAnsi"/>
                <w:b/>
              </w:rPr>
              <w:t>ха</w:t>
            </w:r>
            <w:proofErr w:type="spellEnd"/>
          </w:p>
        </w:tc>
        <w:tc>
          <w:tcPr>
            <w:tcW w:w="2897" w:type="dxa"/>
          </w:tcPr>
          <w:p w:rsidR="00053B3F" w:rsidRPr="007D3E52" w:rsidRDefault="00053B3F" w:rsidP="00053B3F">
            <w:pPr>
              <w:pStyle w:val="Default"/>
              <w:jc w:val="center"/>
              <w:rPr>
                <w:rFonts w:asciiTheme="minorHAnsi" w:hAnsiTheme="minorHAnsi"/>
                <w:b/>
              </w:rPr>
            </w:pPr>
            <w:r w:rsidRPr="007D3E52">
              <w:rPr>
                <w:rFonts w:asciiTheme="minorHAnsi" w:hAnsiTheme="minorHAnsi"/>
                <w:b/>
              </w:rPr>
              <w:t>381</w:t>
            </w:r>
          </w:p>
        </w:tc>
      </w:tr>
      <w:tr w:rsidR="00053B3F" w:rsidRPr="00053B3F" w:rsidTr="009813FF">
        <w:trPr>
          <w:trHeight w:val="110"/>
          <w:jc w:val="center"/>
        </w:trPr>
        <w:tc>
          <w:tcPr>
            <w:tcW w:w="5353" w:type="dxa"/>
          </w:tcPr>
          <w:p w:rsidR="00053B3F" w:rsidRPr="007D3E52" w:rsidRDefault="00053B3F">
            <w:pPr>
              <w:pStyle w:val="Default"/>
              <w:rPr>
                <w:rFonts w:asciiTheme="minorHAnsi" w:hAnsiTheme="minorHAnsi"/>
                <w:b/>
                <w:lang w:val="bg-BG"/>
              </w:rPr>
            </w:pPr>
            <w:proofErr w:type="spellStart"/>
            <w:r w:rsidRPr="007D3E52">
              <w:rPr>
                <w:rFonts w:asciiTheme="minorHAnsi" w:hAnsiTheme="minorHAnsi"/>
                <w:b/>
                <w:lang w:val="bg-BG"/>
              </w:rPr>
              <w:t>Полиетиленови</w:t>
            </w:r>
            <w:proofErr w:type="spellEnd"/>
            <w:r w:rsidRPr="007D3E52">
              <w:rPr>
                <w:rFonts w:asciiTheme="minorHAnsi" w:hAnsiTheme="minorHAnsi"/>
                <w:b/>
                <w:lang w:val="bg-BG"/>
              </w:rPr>
              <w:t xml:space="preserve"> оранжерии </w:t>
            </w:r>
          </w:p>
        </w:tc>
        <w:tc>
          <w:tcPr>
            <w:tcW w:w="992" w:type="dxa"/>
          </w:tcPr>
          <w:p w:rsidR="00053B3F" w:rsidRPr="007D3E52" w:rsidRDefault="00053B3F" w:rsidP="00053B3F">
            <w:pPr>
              <w:pStyle w:val="Default"/>
              <w:jc w:val="center"/>
              <w:rPr>
                <w:rFonts w:asciiTheme="minorHAnsi" w:hAnsiTheme="minorHAnsi"/>
                <w:b/>
              </w:rPr>
            </w:pPr>
            <w:proofErr w:type="spellStart"/>
            <w:r w:rsidRPr="007D3E52">
              <w:rPr>
                <w:rFonts w:asciiTheme="minorHAnsi" w:hAnsiTheme="minorHAnsi"/>
                <w:b/>
              </w:rPr>
              <w:t>ха</w:t>
            </w:r>
            <w:proofErr w:type="spellEnd"/>
          </w:p>
        </w:tc>
        <w:tc>
          <w:tcPr>
            <w:tcW w:w="2897" w:type="dxa"/>
          </w:tcPr>
          <w:p w:rsidR="00053B3F" w:rsidRPr="007D3E52" w:rsidRDefault="00053B3F" w:rsidP="00053B3F">
            <w:pPr>
              <w:pStyle w:val="Default"/>
              <w:jc w:val="center"/>
              <w:rPr>
                <w:rFonts w:asciiTheme="minorHAnsi" w:hAnsiTheme="minorHAnsi"/>
                <w:b/>
              </w:rPr>
            </w:pPr>
            <w:r w:rsidRPr="007D3E52">
              <w:rPr>
                <w:rFonts w:asciiTheme="minorHAnsi" w:hAnsiTheme="minorHAnsi"/>
                <w:b/>
              </w:rPr>
              <w:t>621</w:t>
            </w:r>
          </w:p>
        </w:tc>
      </w:tr>
      <w:tr w:rsidR="00053B3F" w:rsidRPr="00053B3F" w:rsidTr="009813FF">
        <w:trPr>
          <w:trHeight w:val="113"/>
          <w:jc w:val="center"/>
        </w:trPr>
        <w:tc>
          <w:tcPr>
            <w:tcW w:w="5353" w:type="dxa"/>
          </w:tcPr>
          <w:p w:rsidR="00053B3F" w:rsidRPr="007D3E52" w:rsidRDefault="00053B3F">
            <w:pPr>
              <w:pStyle w:val="Default"/>
              <w:rPr>
                <w:rFonts w:asciiTheme="minorHAnsi" w:hAnsiTheme="minorHAnsi"/>
                <w:b/>
                <w:lang w:val="bg-BG"/>
              </w:rPr>
            </w:pPr>
            <w:r w:rsidRPr="007D3E52">
              <w:rPr>
                <w:rFonts w:asciiTheme="minorHAnsi" w:hAnsiTheme="minorHAnsi"/>
                <w:b/>
                <w:lang w:val="bg-BG"/>
              </w:rPr>
              <w:t xml:space="preserve">Общо оранжерийна площ </w:t>
            </w:r>
          </w:p>
        </w:tc>
        <w:tc>
          <w:tcPr>
            <w:tcW w:w="992" w:type="dxa"/>
          </w:tcPr>
          <w:p w:rsidR="00053B3F" w:rsidRPr="007D3E52" w:rsidRDefault="00053B3F" w:rsidP="00053B3F">
            <w:pPr>
              <w:pStyle w:val="Default"/>
              <w:jc w:val="center"/>
              <w:rPr>
                <w:rFonts w:asciiTheme="minorHAnsi" w:hAnsiTheme="minorHAnsi"/>
                <w:b/>
              </w:rPr>
            </w:pPr>
            <w:proofErr w:type="spellStart"/>
            <w:r w:rsidRPr="007D3E52">
              <w:rPr>
                <w:rFonts w:asciiTheme="minorHAnsi" w:hAnsiTheme="minorHAnsi"/>
                <w:b/>
              </w:rPr>
              <w:t>ха</w:t>
            </w:r>
            <w:proofErr w:type="spellEnd"/>
          </w:p>
        </w:tc>
        <w:tc>
          <w:tcPr>
            <w:tcW w:w="2897" w:type="dxa"/>
          </w:tcPr>
          <w:p w:rsidR="00053B3F" w:rsidRPr="007D3E52" w:rsidRDefault="00053B3F" w:rsidP="00053B3F">
            <w:pPr>
              <w:pStyle w:val="Default"/>
              <w:jc w:val="center"/>
              <w:rPr>
                <w:rFonts w:asciiTheme="minorHAnsi" w:hAnsiTheme="minorHAnsi"/>
                <w:b/>
              </w:rPr>
            </w:pPr>
            <w:r w:rsidRPr="007D3E52">
              <w:rPr>
                <w:rFonts w:asciiTheme="minorHAnsi" w:hAnsiTheme="minorHAnsi"/>
                <w:b/>
                <w:bCs/>
              </w:rPr>
              <w:t>1 002</w:t>
            </w:r>
          </w:p>
        </w:tc>
      </w:tr>
      <w:tr w:rsidR="00053B3F" w:rsidRPr="00053B3F" w:rsidTr="009813FF">
        <w:trPr>
          <w:trHeight w:val="113"/>
          <w:jc w:val="center"/>
        </w:trPr>
        <w:tc>
          <w:tcPr>
            <w:tcW w:w="5353" w:type="dxa"/>
          </w:tcPr>
          <w:p w:rsidR="00053B3F" w:rsidRPr="00747E0E" w:rsidRDefault="00053B3F">
            <w:pPr>
              <w:pStyle w:val="Default"/>
              <w:rPr>
                <w:rFonts w:asciiTheme="minorHAnsi" w:hAnsiTheme="minorHAnsi"/>
                <w:lang w:val="bg-BG"/>
              </w:rPr>
            </w:pPr>
            <w:r w:rsidRPr="00747E0E">
              <w:rPr>
                <w:rFonts w:asciiTheme="minorHAnsi" w:hAnsiTheme="minorHAnsi"/>
                <w:b/>
                <w:bCs/>
                <w:lang w:val="bg-BG"/>
              </w:rPr>
              <w:t xml:space="preserve">Обща площ </w:t>
            </w:r>
          </w:p>
        </w:tc>
        <w:tc>
          <w:tcPr>
            <w:tcW w:w="992" w:type="dxa"/>
          </w:tcPr>
          <w:p w:rsidR="00053B3F" w:rsidRPr="00053B3F" w:rsidRDefault="00053B3F" w:rsidP="00053B3F">
            <w:pPr>
              <w:pStyle w:val="Default"/>
              <w:jc w:val="center"/>
              <w:rPr>
                <w:rFonts w:asciiTheme="minorHAnsi" w:hAnsiTheme="minorHAnsi"/>
              </w:rPr>
            </w:pPr>
            <w:proofErr w:type="spellStart"/>
            <w:r w:rsidRPr="00053B3F">
              <w:rPr>
                <w:rFonts w:asciiTheme="minorHAnsi" w:hAnsiTheme="minorHAnsi"/>
              </w:rPr>
              <w:t>ха</w:t>
            </w:r>
            <w:proofErr w:type="spellEnd"/>
          </w:p>
        </w:tc>
        <w:tc>
          <w:tcPr>
            <w:tcW w:w="2897" w:type="dxa"/>
          </w:tcPr>
          <w:p w:rsidR="00053B3F" w:rsidRPr="00053B3F" w:rsidRDefault="00053B3F" w:rsidP="00053B3F">
            <w:pPr>
              <w:pStyle w:val="Default"/>
              <w:jc w:val="center"/>
              <w:rPr>
                <w:rFonts w:asciiTheme="minorHAnsi" w:hAnsiTheme="minorHAnsi"/>
              </w:rPr>
            </w:pPr>
            <w:r w:rsidRPr="00053B3F">
              <w:rPr>
                <w:rFonts w:asciiTheme="minorHAnsi" w:hAnsiTheme="minorHAnsi"/>
                <w:b/>
                <w:bCs/>
              </w:rPr>
              <w:t>60 267</w:t>
            </w:r>
          </w:p>
        </w:tc>
      </w:tr>
    </w:tbl>
    <w:p w:rsidR="00053B3F" w:rsidRPr="007B185F" w:rsidRDefault="00053B3F" w:rsidP="007B185F">
      <w:pPr>
        <w:ind w:firstLine="720"/>
        <w:jc w:val="both"/>
        <w:rPr>
          <w:i/>
          <w:sz w:val="20"/>
          <w:szCs w:val="20"/>
        </w:rPr>
      </w:pPr>
      <w:r w:rsidRPr="00053B3F">
        <w:rPr>
          <w:i/>
          <w:sz w:val="20"/>
          <w:szCs w:val="20"/>
        </w:rPr>
        <w:t xml:space="preserve">Източник: МЗХГ, Отдел </w:t>
      </w:r>
      <w:proofErr w:type="spellStart"/>
      <w:r w:rsidRPr="00053B3F">
        <w:rPr>
          <w:i/>
          <w:sz w:val="20"/>
          <w:szCs w:val="20"/>
        </w:rPr>
        <w:t>Агростатистика</w:t>
      </w:r>
      <w:proofErr w:type="spellEnd"/>
      <w:r w:rsidRPr="00053B3F">
        <w:rPr>
          <w:i/>
          <w:sz w:val="20"/>
          <w:szCs w:val="20"/>
        </w:rPr>
        <w:t xml:space="preserve"> </w:t>
      </w:r>
    </w:p>
    <w:p w:rsidR="001D38D4" w:rsidRPr="00BD05B9" w:rsidRDefault="001B460E" w:rsidP="00BD05B9">
      <w:pPr>
        <w:spacing w:line="360" w:lineRule="auto"/>
        <w:ind w:firstLine="720"/>
        <w:jc w:val="both"/>
        <w:rPr>
          <w:sz w:val="24"/>
          <w:szCs w:val="24"/>
        </w:rPr>
      </w:pPr>
      <w:r w:rsidRPr="007D3E52">
        <w:rPr>
          <w:sz w:val="24"/>
          <w:szCs w:val="24"/>
        </w:rPr>
        <w:t xml:space="preserve">По райони на планиране разпределението в страната на оранжерийната площ не е равномерно. Почти 50% от съществуващите оранжерии са съсредоточени в Южен централен район, следван от Югозападния централен район. Главната причина за тази концентрация са по-благоприятните климатични условия - по-високи средно дневни температури през зимните и пролетни месеци, повече слънчева и физиологично активна радиация, по-малък брой дни със задържане на снежната покривка. </w:t>
      </w:r>
    </w:p>
    <w:p w:rsidR="007D3E52" w:rsidRPr="007D3E52" w:rsidRDefault="007D3E52" w:rsidP="007D3E52">
      <w:pPr>
        <w:jc w:val="center"/>
        <w:rPr>
          <w:b/>
          <w:sz w:val="24"/>
          <w:szCs w:val="24"/>
        </w:rPr>
      </w:pPr>
      <w:r w:rsidRPr="007D3E52">
        <w:rPr>
          <w:b/>
          <w:sz w:val="24"/>
          <w:szCs w:val="24"/>
        </w:rPr>
        <w:t>Оранжерийна площ по райони на планиране, ха</w:t>
      </w:r>
    </w:p>
    <w:p w:rsidR="007D3E52" w:rsidRDefault="007449E5" w:rsidP="001B460E">
      <w:r>
        <w:rPr>
          <w:noProof/>
          <w:lang w:eastAsia="bg-BG"/>
        </w:rPr>
        <w:drawing>
          <wp:anchor distT="0" distB="0" distL="114300" distR="114300" simplePos="0" relativeHeight="251661312" behindDoc="0" locked="0" layoutInCell="1" allowOverlap="1" wp14:anchorId="1FCEDCD7" wp14:editId="5DFAF94C">
            <wp:simplePos x="0" y="0"/>
            <wp:positionH relativeFrom="column">
              <wp:posOffset>252730</wp:posOffset>
            </wp:positionH>
            <wp:positionV relativeFrom="paragraph">
              <wp:posOffset>86995</wp:posOffset>
            </wp:positionV>
            <wp:extent cx="5135880" cy="1835785"/>
            <wp:effectExtent l="0" t="0" r="7620" b="0"/>
            <wp:wrapNone/>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5880" cy="1835785"/>
                    </a:xfrm>
                    <a:prstGeom prst="rect">
                      <a:avLst/>
                    </a:prstGeom>
                    <a:noFill/>
                    <a:extLst/>
                  </pic:spPr>
                </pic:pic>
              </a:graphicData>
            </a:graphic>
            <wp14:sizeRelH relativeFrom="margin">
              <wp14:pctWidth>0</wp14:pctWidth>
            </wp14:sizeRelH>
            <wp14:sizeRelV relativeFrom="margin">
              <wp14:pctHeight>0</wp14:pctHeight>
            </wp14:sizeRelV>
          </wp:anchor>
        </w:drawing>
      </w:r>
    </w:p>
    <w:p w:rsidR="00747E0E" w:rsidRDefault="00747E0E" w:rsidP="001B460E"/>
    <w:p w:rsidR="00747E0E" w:rsidRDefault="007D3E52" w:rsidP="001B460E">
      <w:r>
        <w:rPr>
          <w:noProof/>
          <w:lang w:eastAsia="bg-BG"/>
        </w:rPr>
        <mc:AlternateContent>
          <mc:Choice Requires="wps">
            <w:drawing>
              <wp:anchor distT="0" distB="0" distL="114300" distR="114300" simplePos="0" relativeHeight="251662336" behindDoc="0" locked="0" layoutInCell="1" allowOverlap="1">
                <wp:simplePos x="0" y="0"/>
                <wp:positionH relativeFrom="column">
                  <wp:posOffset>5169159</wp:posOffset>
                </wp:positionH>
                <wp:positionV relativeFrom="paragraph">
                  <wp:posOffset>153526</wp:posOffset>
                </wp:positionV>
                <wp:extent cx="372849" cy="1101013"/>
                <wp:effectExtent l="0" t="0" r="8255" b="4445"/>
                <wp:wrapNone/>
                <wp:docPr id="2" name="Text Box 2"/>
                <wp:cNvGraphicFramePr/>
                <a:graphic xmlns:a="http://schemas.openxmlformats.org/drawingml/2006/main">
                  <a:graphicData uri="http://schemas.microsoft.com/office/word/2010/wordprocessingShape">
                    <wps:wsp>
                      <wps:cNvSpPr txBox="1"/>
                      <wps:spPr>
                        <a:xfrm>
                          <a:off x="0" y="0"/>
                          <a:ext cx="372849" cy="1101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519C" w:rsidRDefault="00025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7pt;margin-top:12.1pt;width:29.35pt;height:8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" fillcolor="white [3201]" stroked="f" strokeweight=".5pt">
                <v:textbox>
                  <w:txbxContent>
                    <w:p w:rsidR="0002519C" w:rsidRDefault="0002519C"/>
                  </w:txbxContent>
                </v:textbox>
              </v:shape>
            </w:pict>
          </mc:Fallback>
        </mc:AlternateContent>
      </w:r>
    </w:p>
    <w:p w:rsidR="00747E0E" w:rsidRDefault="00747E0E" w:rsidP="001B460E"/>
    <w:p w:rsidR="00747E0E" w:rsidRDefault="00747E0E" w:rsidP="001B460E"/>
    <w:p w:rsidR="00747E0E" w:rsidRDefault="00747E0E" w:rsidP="001B460E"/>
    <w:p w:rsidR="007449E5" w:rsidRDefault="001B460E" w:rsidP="007D3E52">
      <w:pPr>
        <w:spacing w:line="360" w:lineRule="auto"/>
        <w:ind w:firstLine="720"/>
        <w:jc w:val="both"/>
        <w:rPr>
          <w:sz w:val="24"/>
          <w:szCs w:val="24"/>
        </w:rPr>
      </w:pPr>
      <w:r w:rsidRPr="007D3E52">
        <w:rPr>
          <w:sz w:val="24"/>
          <w:szCs w:val="24"/>
        </w:rPr>
        <w:t xml:space="preserve">В световен мащаб оранжерийните площи бележат темп на непрекъснато </w:t>
      </w:r>
    </w:p>
    <w:p w:rsidR="007449E5" w:rsidRDefault="001B460E" w:rsidP="007D3E52">
      <w:pPr>
        <w:spacing w:line="360" w:lineRule="auto"/>
        <w:ind w:firstLine="720"/>
        <w:jc w:val="both"/>
        <w:rPr>
          <w:sz w:val="24"/>
          <w:szCs w:val="24"/>
        </w:rPr>
      </w:pPr>
      <w:r w:rsidRPr="007D3E52">
        <w:rPr>
          <w:sz w:val="24"/>
          <w:szCs w:val="24"/>
        </w:rPr>
        <w:t>увеличение по всички континенти. Според данни на ФАО през 201</w:t>
      </w:r>
      <w:r w:rsidR="007D3E52" w:rsidRPr="007D3E52">
        <w:rPr>
          <w:sz w:val="24"/>
          <w:szCs w:val="24"/>
        </w:rPr>
        <w:t>5</w:t>
      </w:r>
      <w:r w:rsidRPr="007D3E52">
        <w:rPr>
          <w:sz w:val="24"/>
          <w:szCs w:val="24"/>
        </w:rPr>
        <w:t xml:space="preserve"> г. на площ </w:t>
      </w:r>
    </w:p>
    <w:p w:rsidR="007449E5" w:rsidRDefault="007449E5" w:rsidP="007D3E52">
      <w:pPr>
        <w:spacing w:line="360" w:lineRule="auto"/>
        <w:ind w:firstLine="720"/>
        <w:jc w:val="both"/>
        <w:rPr>
          <w:sz w:val="24"/>
          <w:szCs w:val="24"/>
        </w:rPr>
      </w:pPr>
    </w:p>
    <w:p w:rsidR="007449E5" w:rsidRDefault="007449E5" w:rsidP="007D3E52">
      <w:pPr>
        <w:spacing w:line="360" w:lineRule="auto"/>
        <w:ind w:firstLine="720"/>
        <w:jc w:val="both"/>
        <w:rPr>
          <w:sz w:val="24"/>
          <w:szCs w:val="24"/>
        </w:rPr>
      </w:pPr>
    </w:p>
    <w:p w:rsidR="007449E5" w:rsidRDefault="007449E5" w:rsidP="007D3E52">
      <w:pPr>
        <w:spacing w:line="360" w:lineRule="auto"/>
        <w:ind w:firstLine="720"/>
        <w:jc w:val="both"/>
        <w:rPr>
          <w:sz w:val="24"/>
          <w:szCs w:val="24"/>
        </w:rPr>
      </w:pPr>
    </w:p>
    <w:p w:rsidR="001B460E" w:rsidRPr="007D3E52" w:rsidRDefault="007449E5" w:rsidP="007D3E52">
      <w:pPr>
        <w:spacing w:line="360" w:lineRule="auto"/>
        <w:ind w:firstLine="720"/>
        <w:jc w:val="both"/>
        <w:rPr>
          <w:sz w:val="24"/>
          <w:szCs w:val="24"/>
        </w:rPr>
      </w:pPr>
      <w:r>
        <w:rPr>
          <w:sz w:val="24"/>
          <w:szCs w:val="24"/>
        </w:rPr>
        <w:t xml:space="preserve">В географски аспект </w:t>
      </w:r>
      <w:r w:rsidR="001B460E" w:rsidRPr="007D3E52">
        <w:rPr>
          <w:sz w:val="24"/>
          <w:szCs w:val="24"/>
        </w:rPr>
        <w:t>най-много оранжерийни площи в ЕС-2</w:t>
      </w:r>
      <w:r w:rsidR="007D3E52">
        <w:rPr>
          <w:sz w:val="24"/>
          <w:szCs w:val="24"/>
        </w:rPr>
        <w:t>8</w:t>
      </w:r>
      <w:r w:rsidR="001B460E" w:rsidRPr="007D3E52">
        <w:rPr>
          <w:sz w:val="24"/>
          <w:szCs w:val="24"/>
        </w:rPr>
        <w:t xml:space="preserve"> има в държавите между 38 и 42 паралел - Испания с 40 980 ха, следвана от Италия с 32 940 ха и Франция </w:t>
      </w:r>
      <w:r w:rsidR="001B460E" w:rsidRPr="007D3E52">
        <w:rPr>
          <w:sz w:val="24"/>
          <w:szCs w:val="24"/>
        </w:rPr>
        <w:lastRenderedPageBreak/>
        <w:t>- 7 530 ха. Основната причина за широко застъпените оранжерийни площи в тези страни са благоприятните климатични условия, особено през есенно-зимния период - мека зима /по</w:t>
      </w:r>
      <w:r w:rsidR="00707A53">
        <w:rPr>
          <w:sz w:val="24"/>
          <w:szCs w:val="24"/>
        </w:rPr>
        <w:t xml:space="preserve"> -</w:t>
      </w:r>
      <w:r w:rsidR="001B460E" w:rsidRPr="007D3E52">
        <w:rPr>
          <w:sz w:val="24"/>
          <w:szCs w:val="24"/>
        </w:rPr>
        <w:t xml:space="preserve"> малко </w:t>
      </w:r>
      <w:proofErr w:type="spellStart"/>
      <w:r w:rsidR="001B460E" w:rsidRPr="007D3E52">
        <w:rPr>
          <w:sz w:val="24"/>
          <w:szCs w:val="24"/>
        </w:rPr>
        <w:t>средномесечни</w:t>
      </w:r>
      <w:proofErr w:type="spellEnd"/>
      <w:r w:rsidR="001B460E" w:rsidRPr="007D3E52">
        <w:rPr>
          <w:sz w:val="24"/>
          <w:szCs w:val="24"/>
        </w:rPr>
        <w:t xml:space="preserve"> амплитуди/, интензивно слънчево греене осигуряващо достатъчно </w:t>
      </w:r>
      <w:proofErr w:type="spellStart"/>
      <w:r w:rsidR="001B460E" w:rsidRPr="007D3E52">
        <w:rPr>
          <w:sz w:val="24"/>
          <w:szCs w:val="24"/>
        </w:rPr>
        <w:t>фотосинтетично</w:t>
      </w:r>
      <w:proofErr w:type="spellEnd"/>
      <w:r w:rsidR="001B460E" w:rsidRPr="007D3E52">
        <w:rPr>
          <w:sz w:val="24"/>
          <w:szCs w:val="24"/>
        </w:rPr>
        <w:t xml:space="preserve"> активна радиация /ФАР/ за отглежданите култури.</w:t>
      </w:r>
    </w:p>
    <w:p w:rsidR="001B460E" w:rsidRDefault="001B460E" w:rsidP="001B460E"/>
    <w:p w:rsidR="001B460E" w:rsidRPr="00D55E4E" w:rsidRDefault="001B460E" w:rsidP="001B460E">
      <w:pPr>
        <w:rPr>
          <w:b/>
          <w:sz w:val="24"/>
          <w:szCs w:val="24"/>
        </w:rPr>
      </w:pPr>
      <w:r w:rsidRPr="00D55E4E">
        <w:rPr>
          <w:b/>
          <w:sz w:val="24"/>
          <w:szCs w:val="24"/>
        </w:rPr>
        <w:t>Производство</w:t>
      </w:r>
    </w:p>
    <w:p w:rsidR="00707A53" w:rsidRPr="00707A53" w:rsidRDefault="00707A53" w:rsidP="001B460E">
      <w:pPr>
        <w:rPr>
          <w:b/>
          <w:sz w:val="28"/>
          <w:szCs w:val="28"/>
        </w:rPr>
      </w:pPr>
    </w:p>
    <w:p w:rsidR="00BE2A6D" w:rsidRDefault="001B460E" w:rsidP="00707A53">
      <w:pPr>
        <w:spacing w:line="360" w:lineRule="auto"/>
        <w:ind w:firstLine="720"/>
        <w:jc w:val="both"/>
        <w:rPr>
          <w:sz w:val="24"/>
          <w:szCs w:val="24"/>
        </w:rPr>
      </w:pPr>
      <w:r w:rsidRPr="00707A53">
        <w:rPr>
          <w:sz w:val="24"/>
          <w:szCs w:val="24"/>
        </w:rPr>
        <w:t xml:space="preserve">Оранжерийното производство в България през последните години се определя от </w:t>
      </w:r>
      <w:r w:rsidR="00BE2A6D">
        <w:rPr>
          <w:sz w:val="24"/>
          <w:szCs w:val="24"/>
        </w:rPr>
        <w:t xml:space="preserve">сравнително </w:t>
      </w:r>
      <w:r w:rsidRPr="00707A53">
        <w:rPr>
          <w:sz w:val="24"/>
          <w:szCs w:val="24"/>
        </w:rPr>
        <w:t>малко на брой основни зеленчукови култури като домати, краставици</w:t>
      </w:r>
      <w:r w:rsidR="00BE2A6D" w:rsidRPr="00BE2A6D">
        <w:rPr>
          <w:sz w:val="24"/>
          <w:szCs w:val="24"/>
        </w:rPr>
        <w:t xml:space="preserve"> </w:t>
      </w:r>
      <w:r w:rsidR="00BE2A6D">
        <w:rPr>
          <w:sz w:val="24"/>
          <w:szCs w:val="24"/>
        </w:rPr>
        <w:t xml:space="preserve">и </w:t>
      </w:r>
      <w:proofErr w:type="spellStart"/>
      <w:r w:rsidR="00BE2A6D" w:rsidRPr="00707A53">
        <w:rPr>
          <w:sz w:val="24"/>
          <w:szCs w:val="24"/>
        </w:rPr>
        <w:t>корнишони</w:t>
      </w:r>
      <w:proofErr w:type="spellEnd"/>
      <w:r w:rsidRPr="00707A53">
        <w:rPr>
          <w:sz w:val="24"/>
          <w:szCs w:val="24"/>
        </w:rPr>
        <w:t xml:space="preserve">, пипер - сладък, </w:t>
      </w:r>
      <w:r w:rsidR="00BE2A6D">
        <w:rPr>
          <w:sz w:val="24"/>
          <w:szCs w:val="24"/>
        </w:rPr>
        <w:t xml:space="preserve"> салати и марули,</w:t>
      </w:r>
      <w:r w:rsidRPr="00707A53">
        <w:rPr>
          <w:sz w:val="24"/>
          <w:szCs w:val="24"/>
        </w:rPr>
        <w:t xml:space="preserve"> </w:t>
      </w:r>
      <w:proofErr w:type="spellStart"/>
      <w:r w:rsidRPr="00707A53">
        <w:rPr>
          <w:sz w:val="24"/>
          <w:szCs w:val="24"/>
        </w:rPr>
        <w:t>рукола</w:t>
      </w:r>
      <w:proofErr w:type="spellEnd"/>
      <w:r w:rsidR="00BE2A6D">
        <w:rPr>
          <w:sz w:val="24"/>
          <w:szCs w:val="24"/>
        </w:rPr>
        <w:t>, патладжан</w:t>
      </w:r>
      <w:r w:rsidRPr="00707A53">
        <w:rPr>
          <w:sz w:val="24"/>
          <w:szCs w:val="24"/>
        </w:rPr>
        <w:t xml:space="preserve"> и други. </w:t>
      </w:r>
    </w:p>
    <w:p w:rsidR="001B460E" w:rsidRPr="00707A53" w:rsidRDefault="001B460E" w:rsidP="00707A53">
      <w:pPr>
        <w:spacing w:line="360" w:lineRule="auto"/>
        <w:ind w:firstLine="720"/>
        <w:jc w:val="both"/>
        <w:rPr>
          <w:sz w:val="24"/>
          <w:szCs w:val="24"/>
        </w:rPr>
      </w:pPr>
      <w:r w:rsidRPr="00707A53">
        <w:rPr>
          <w:sz w:val="24"/>
          <w:szCs w:val="24"/>
        </w:rPr>
        <w:t>Основно, години наред са застъпени основно три зеленчукови култури и почти около 90% от общо произведената продукция се пада на произведените домати, пипер и краставици.</w:t>
      </w:r>
    </w:p>
    <w:p w:rsidR="001D38D4" w:rsidRPr="00BD05B9" w:rsidRDefault="001B460E" w:rsidP="00BD05B9">
      <w:pPr>
        <w:spacing w:line="360" w:lineRule="auto"/>
        <w:ind w:firstLine="720"/>
        <w:jc w:val="both"/>
        <w:rPr>
          <w:sz w:val="24"/>
          <w:szCs w:val="24"/>
        </w:rPr>
      </w:pPr>
      <w:r w:rsidRPr="00707A53">
        <w:rPr>
          <w:sz w:val="24"/>
          <w:szCs w:val="24"/>
        </w:rPr>
        <w:t xml:space="preserve">По видове, произведените оранжерийни домати </w:t>
      </w:r>
      <w:r w:rsidR="00707A53">
        <w:rPr>
          <w:sz w:val="24"/>
          <w:szCs w:val="24"/>
        </w:rPr>
        <w:t xml:space="preserve">макар и незначително </w:t>
      </w:r>
      <w:r w:rsidRPr="00707A53">
        <w:rPr>
          <w:sz w:val="24"/>
          <w:szCs w:val="24"/>
        </w:rPr>
        <w:t xml:space="preserve">намаляват с </w:t>
      </w:r>
      <w:r w:rsidR="00707A53">
        <w:rPr>
          <w:sz w:val="24"/>
          <w:szCs w:val="24"/>
        </w:rPr>
        <w:t xml:space="preserve">15 </w:t>
      </w:r>
      <w:r w:rsidRPr="00707A53">
        <w:rPr>
          <w:sz w:val="24"/>
          <w:szCs w:val="24"/>
        </w:rPr>
        <w:t xml:space="preserve">% </w:t>
      </w:r>
      <w:r w:rsidR="00BE2A6D">
        <w:rPr>
          <w:sz w:val="24"/>
          <w:szCs w:val="24"/>
        </w:rPr>
        <w:t>2015/2016 г</w:t>
      </w:r>
      <w:r w:rsidRPr="00707A53">
        <w:rPr>
          <w:sz w:val="24"/>
          <w:szCs w:val="24"/>
        </w:rPr>
        <w:t xml:space="preserve">. Увеличение има при краставиците, от </w:t>
      </w:r>
      <w:r w:rsidR="00BE2A6D">
        <w:rPr>
          <w:sz w:val="24"/>
          <w:szCs w:val="24"/>
        </w:rPr>
        <w:t>41 842 тона на 60 296</w:t>
      </w:r>
      <w:r w:rsidRPr="00707A53">
        <w:rPr>
          <w:sz w:val="24"/>
          <w:szCs w:val="24"/>
        </w:rPr>
        <w:t xml:space="preserve"> тона през 201</w:t>
      </w:r>
      <w:r w:rsidR="00BE2A6D">
        <w:rPr>
          <w:sz w:val="24"/>
          <w:szCs w:val="24"/>
        </w:rPr>
        <w:t>6</w:t>
      </w:r>
      <w:r w:rsidRPr="00707A53">
        <w:rPr>
          <w:sz w:val="24"/>
          <w:szCs w:val="24"/>
        </w:rPr>
        <w:t xml:space="preserve"> година. </w:t>
      </w:r>
    </w:p>
    <w:p w:rsidR="00C514CE" w:rsidRPr="00C514CE" w:rsidRDefault="00C514CE" w:rsidP="00C05DFA">
      <w:pPr>
        <w:spacing w:line="360" w:lineRule="auto"/>
        <w:ind w:firstLine="720"/>
        <w:jc w:val="both"/>
        <w:rPr>
          <w:b/>
          <w:sz w:val="24"/>
          <w:szCs w:val="24"/>
        </w:rPr>
      </w:pPr>
      <w:r w:rsidRPr="00C514CE">
        <w:rPr>
          <w:b/>
          <w:sz w:val="24"/>
          <w:szCs w:val="24"/>
        </w:rPr>
        <w:t>Оранжерийно производство на основни зеленчуци в страната 2015-2016г.</w:t>
      </w:r>
      <w:r w:rsidR="00D3047A">
        <w:rPr>
          <w:b/>
          <w:sz w:val="24"/>
          <w:szCs w:val="24"/>
        </w:rPr>
        <w:t xml:space="preserve"> тона</w:t>
      </w:r>
    </w:p>
    <w:p w:rsidR="00BE2A6D" w:rsidRDefault="00BE2A6D" w:rsidP="00BE2A6D">
      <w:pPr>
        <w:spacing w:line="360" w:lineRule="auto"/>
        <w:jc w:val="center"/>
        <w:rPr>
          <w:sz w:val="24"/>
          <w:szCs w:val="24"/>
        </w:rPr>
      </w:pPr>
      <w:r w:rsidRPr="00BE2A6D">
        <w:rPr>
          <w:noProof/>
          <w:lang w:eastAsia="bg-BG"/>
        </w:rPr>
        <w:drawing>
          <wp:inline distT="0" distB="0" distL="0" distR="0" wp14:anchorId="729DB277" wp14:editId="26D46B0E">
            <wp:extent cx="5794310" cy="251926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D38D4" w:rsidRPr="009813FF" w:rsidRDefault="00BE2A6D" w:rsidP="005F4939">
      <w:pPr>
        <w:tabs>
          <w:tab w:val="center" w:pos="4873"/>
        </w:tabs>
        <w:ind w:firstLine="720"/>
        <w:rPr>
          <w:i/>
          <w:sz w:val="20"/>
          <w:szCs w:val="20"/>
        </w:rPr>
      </w:pPr>
      <w:r w:rsidRPr="009813FF">
        <w:rPr>
          <w:i/>
          <w:sz w:val="20"/>
          <w:szCs w:val="20"/>
        </w:rPr>
        <w:t>Източник: МЗХГ, Отдел</w:t>
      </w:r>
      <w:r w:rsidR="00C05DFA" w:rsidRPr="009813FF">
        <w:rPr>
          <w:i/>
          <w:sz w:val="20"/>
          <w:szCs w:val="20"/>
        </w:rPr>
        <w:t xml:space="preserve"> </w:t>
      </w:r>
      <w:r w:rsidRPr="009813FF">
        <w:rPr>
          <w:i/>
          <w:sz w:val="20"/>
          <w:szCs w:val="20"/>
        </w:rPr>
        <w:t xml:space="preserve"> </w:t>
      </w:r>
      <w:proofErr w:type="spellStart"/>
      <w:r w:rsidRPr="009813FF">
        <w:rPr>
          <w:i/>
          <w:sz w:val="20"/>
          <w:szCs w:val="20"/>
        </w:rPr>
        <w:t>Агростатистика</w:t>
      </w:r>
      <w:proofErr w:type="spellEnd"/>
      <w:r w:rsidRPr="009813FF">
        <w:rPr>
          <w:i/>
          <w:sz w:val="20"/>
          <w:szCs w:val="20"/>
        </w:rPr>
        <w:t xml:space="preserve"> </w:t>
      </w:r>
    </w:p>
    <w:p w:rsidR="00BE2A6D" w:rsidRPr="005F4939" w:rsidRDefault="00C05DFA" w:rsidP="005F4939">
      <w:pPr>
        <w:tabs>
          <w:tab w:val="center" w:pos="4873"/>
        </w:tabs>
        <w:ind w:firstLine="720"/>
        <w:rPr>
          <w:b/>
          <w:sz w:val="20"/>
          <w:szCs w:val="20"/>
        </w:rPr>
      </w:pPr>
      <w:r w:rsidRPr="00C05DFA">
        <w:rPr>
          <w:b/>
          <w:sz w:val="20"/>
          <w:szCs w:val="20"/>
        </w:rPr>
        <w:tab/>
      </w:r>
    </w:p>
    <w:p w:rsidR="00D3047A" w:rsidRPr="000A0380" w:rsidRDefault="00F8742A" w:rsidP="000A0380">
      <w:pPr>
        <w:spacing w:line="360" w:lineRule="auto"/>
        <w:ind w:firstLine="720"/>
        <w:jc w:val="both"/>
        <w:rPr>
          <w:sz w:val="24"/>
          <w:szCs w:val="24"/>
        </w:rPr>
      </w:pPr>
      <w:r>
        <w:rPr>
          <w:sz w:val="24"/>
          <w:szCs w:val="24"/>
        </w:rPr>
        <w:t xml:space="preserve">Краставиците са </w:t>
      </w:r>
      <w:r w:rsidR="001B460E" w:rsidRPr="00C05DFA">
        <w:rPr>
          <w:sz w:val="24"/>
          <w:szCs w:val="24"/>
        </w:rPr>
        <w:t xml:space="preserve"> зеленчукова</w:t>
      </w:r>
      <w:r>
        <w:rPr>
          <w:sz w:val="24"/>
          <w:szCs w:val="24"/>
        </w:rPr>
        <w:t>та</w:t>
      </w:r>
      <w:r w:rsidR="001B460E" w:rsidRPr="00C05DFA">
        <w:rPr>
          <w:sz w:val="24"/>
          <w:szCs w:val="24"/>
        </w:rPr>
        <w:t xml:space="preserve"> култура</w:t>
      </w:r>
      <w:r>
        <w:rPr>
          <w:sz w:val="24"/>
          <w:szCs w:val="24"/>
        </w:rPr>
        <w:t>, която</w:t>
      </w:r>
      <w:r w:rsidR="001B460E" w:rsidRPr="00C05DFA">
        <w:rPr>
          <w:sz w:val="24"/>
          <w:szCs w:val="24"/>
        </w:rPr>
        <w:t xml:space="preserve"> участва с най-голям дял в износа на страната</w:t>
      </w:r>
      <w:r>
        <w:rPr>
          <w:sz w:val="24"/>
          <w:szCs w:val="24"/>
        </w:rPr>
        <w:t xml:space="preserve"> </w:t>
      </w:r>
      <w:r w:rsidR="001B460E" w:rsidRPr="00C05DFA">
        <w:rPr>
          <w:sz w:val="24"/>
          <w:szCs w:val="24"/>
        </w:rPr>
        <w:t xml:space="preserve"> -</w:t>
      </w:r>
      <w:r w:rsidR="00BE2A6D" w:rsidRPr="00C05DFA">
        <w:rPr>
          <w:sz w:val="24"/>
          <w:szCs w:val="24"/>
        </w:rPr>
        <w:t xml:space="preserve"> </w:t>
      </w:r>
      <w:r w:rsidR="001B460E" w:rsidRPr="00C05DFA">
        <w:rPr>
          <w:sz w:val="24"/>
          <w:szCs w:val="24"/>
        </w:rPr>
        <w:t xml:space="preserve">60% от изнесените пресни зеленчуци. Пипера е третата култура по произведени количества. През разглеждания период произведените количества са в рамките на 3-4 хил. тона. Освен гореизброените култури, в оранжерийни условия се </w:t>
      </w:r>
      <w:r w:rsidR="001B460E" w:rsidRPr="00C05DFA">
        <w:rPr>
          <w:sz w:val="24"/>
          <w:szCs w:val="24"/>
        </w:rPr>
        <w:lastRenderedPageBreak/>
        <w:t xml:space="preserve">отглеждат и други листни, </w:t>
      </w:r>
      <w:proofErr w:type="spellStart"/>
      <w:r w:rsidR="001B460E" w:rsidRPr="00C05DFA">
        <w:rPr>
          <w:sz w:val="24"/>
          <w:szCs w:val="24"/>
        </w:rPr>
        <w:t>клубеноплодни</w:t>
      </w:r>
      <w:proofErr w:type="spellEnd"/>
      <w:r w:rsidR="001B460E" w:rsidRPr="00C05DFA">
        <w:rPr>
          <w:sz w:val="24"/>
          <w:szCs w:val="24"/>
        </w:rPr>
        <w:t>, кореноплодни, ягоди, гъби и др. Тяхното количество е</w:t>
      </w:r>
      <w:r w:rsidR="00BE2A6D" w:rsidRPr="00C05DFA">
        <w:rPr>
          <w:sz w:val="24"/>
          <w:szCs w:val="24"/>
        </w:rPr>
        <w:t xml:space="preserve"> </w:t>
      </w:r>
      <w:r w:rsidR="001B460E" w:rsidRPr="00C05DFA">
        <w:rPr>
          <w:sz w:val="24"/>
          <w:szCs w:val="24"/>
        </w:rPr>
        <w:t>нестабилно през годините, а производството от тях е като помощна, уплътняваща култура преди или след основните отглеждани в оранжериите.</w:t>
      </w:r>
    </w:p>
    <w:p w:rsidR="009813FF" w:rsidRDefault="009813FF" w:rsidP="00C05DFA">
      <w:pPr>
        <w:spacing w:line="360" w:lineRule="auto"/>
        <w:jc w:val="both"/>
        <w:rPr>
          <w:b/>
          <w:sz w:val="24"/>
          <w:szCs w:val="24"/>
        </w:rPr>
      </w:pPr>
    </w:p>
    <w:p w:rsidR="001B460E" w:rsidRPr="00D55E4E" w:rsidRDefault="001B460E" w:rsidP="00C05DFA">
      <w:pPr>
        <w:spacing w:line="360" w:lineRule="auto"/>
        <w:jc w:val="both"/>
        <w:rPr>
          <w:b/>
          <w:sz w:val="24"/>
          <w:szCs w:val="24"/>
        </w:rPr>
      </w:pPr>
      <w:r w:rsidRPr="00D55E4E">
        <w:rPr>
          <w:b/>
          <w:sz w:val="24"/>
          <w:szCs w:val="24"/>
        </w:rPr>
        <w:t>Средни добиви</w:t>
      </w:r>
    </w:p>
    <w:p w:rsidR="001B460E" w:rsidRDefault="001B460E" w:rsidP="002C5CA2">
      <w:pPr>
        <w:spacing w:line="360" w:lineRule="auto"/>
        <w:ind w:firstLine="720"/>
        <w:jc w:val="both"/>
        <w:rPr>
          <w:sz w:val="24"/>
          <w:szCs w:val="24"/>
        </w:rPr>
      </w:pPr>
      <w:r w:rsidRPr="00C05DFA">
        <w:rPr>
          <w:sz w:val="24"/>
          <w:szCs w:val="24"/>
        </w:rPr>
        <w:t xml:space="preserve">Величината на средните добиви при оранжерийното производство зависят от комплекс фактори. До голяма степен и за разлика от полското производство този тип производство е относително независимо от климатичните фактори. Съвременните технологии позволяват постигането на високи средни добиви от единица площ, като в страните с развито оранжерийно производство добивите се отчитат на база кв. метър, на едно растение. Специфичните условия, които се създават в оранжериите, независимо от техния тип и конструкция позволяват отглеждането на повече от една реколта при което величината на средния добив на единица площ значително се повишава. Така например </w:t>
      </w:r>
      <w:proofErr w:type="spellStart"/>
      <w:r w:rsidRPr="00C05DFA">
        <w:rPr>
          <w:sz w:val="24"/>
          <w:szCs w:val="24"/>
        </w:rPr>
        <w:t>хидропонното</w:t>
      </w:r>
      <w:proofErr w:type="spellEnd"/>
      <w:r w:rsidRPr="00C05DFA">
        <w:rPr>
          <w:sz w:val="24"/>
          <w:szCs w:val="24"/>
        </w:rPr>
        <w:t xml:space="preserve"> отглеждане при редица видове, позволява сумарно за една календарна година средния добив да се увеличи десет пъти. Самостоятелни </w:t>
      </w:r>
      <w:proofErr w:type="spellStart"/>
      <w:r w:rsidR="00C514CE">
        <w:rPr>
          <w:sz w:val="24"/>
          <w:szCs w:val="24"/>
        </w:rPr>
        <w:t>агростатистически</w:t>
      </w:r>
      <w:proofErr w:type="spellEnd"/>
      <w:r w:rsidR="00C514CE">
        <w:rPr>
          <w:sz w:val="24"/>
          <w:szCs w:val="24"/>
        </w:rPr>
        <w:t xml:space="preserve"> </w:t>
      </w:r>
      <w:r w:rsidR="000A0380">
        <w:rPr>
          <w:sz w:val="24"/>
          <w:szCs w:val="24"/>
        </w:rPr>
        <w:t xml:space="preserve"> </w:t>
      </w:r>
      <w:r w:rsidRPr="00C05DFA">
        <w:rPr>
          <w:sz w:val="24"/>
          <w:szCs w:val="24"/>
        </w:rPr>
        <w:t>данни отнасящи се за средни добиви при зеленчуци за страната ни не се отчитат. Според данни от FADN 201</w:t>
      </w:r>
      <w:r w:rsidR="00C514CE">
        <w:rPr>
          <w:sz w:val="24"/>
          <w:szCs w:val="24"/>
        </w:rPr>
        <w:t>3</w:t>
      </w:r>
      <w:r w:rsidRPr="00C05DFA">
        <w:rPr>
          <w:sz w:val="24"/>
          <w:szCs w:val="24"/>
        </w:rPr>
        <w:t>г. средните добиви от произведените основни оранжерийни зеленчуци са: краставици - 11,5 т/дка, домати - 9,54 т/дка, ягоди - 3,64 т/дка.</w:t>
      </w:r>
      <w:r w:rsidR="00C514CE">
        <w:rPr>
          <w:sz w:val="24"/>
          <w:szCs w:val="24"/>
        </w:rPr>
        <w:t xml:space="preserve"> </w:t>
      </w:r>
      <w:r w:rsidRPr="00C05DFA">
        <w:rPr>
          <w:sz w:val="24"/>
          <w:szCs w:val="24"/>
        </w:rPr>
        <w:t xml:space="preserve">За да може да се направи сравнение по този показател </w:t>
      </w:r>
      <w:r w:rsidR="00C05DFA">
        <w:rPr>
          <w:sz w:val="24"/>
          <w:szCs w:val="24"/>
        </w:rPr>
        <w:t xml:space="preserve">е необходимо да </w:t>
      </w:r>
      <w:r w:rsidR="00D01683">
        <w:rPr>
          <w:sz w:val="24"/>
          <w:szCs w:val="24"/>
        </w:rPr>
        <w:t xml:space="preserve">се сравнят </w:t>
      </w:r>
      <w:r w:rsidRPr="00C05DFA">
        <w:rPr>
          <w:sz w:val="24"/>
          <w:szCs w:val="24"/>
        </w:rPr>
        <w:t xml:space="preserve"> нив</w:t>
      </w:r>
      <w:r w:rsidR="00D01683">
        <w:rPr>
          <w:sz w:val="24"/>
          <w:szCs w:val="24"/>
        </w:rPr>
        <w:t>ата</w:t>
      </w:r>
      <w:r w:rsidRPr="00C05DFA">
        <w:rPr>
          <w:sz w:val="24"/>
          <w:szCs w:val="24"/>
        </w:rPr>
        <w:t xml:space="preserve"> на средни добиви при оранжерийни краставици и домати в някои страни от ЕС и Турция.</w:t>
      </w:r>
    </w:p>
    <w:p w:rsidR="00C514CE" w:rsidRPr="00C514CE" w:rsidRDefault="00C514CE" w:rsidP="00C514CE">
      <w:pPr>
        <w:spacing w:line="360" w:lineRule="auto"/>
        <w:jc w:val="center"/>
        <w:rPr>
          <w:b/>
          <w:sz w:val="24"/>
          <w:szCs w:val="24"/>
        </w:rPr>
      </w:pPr>
      <w:r w:rsidRPr="00C514CE">
        <w:rPr>
          <w:b/>
          <w:sz w:val="24"/>
          <w:szCs w:val="24"/>
        </w:rPr>
        <w:t>Среден добив от оранжерийни краставици</w:t>
      </w:r>
      <w:r w:rsidR="00B56252">
        <w:rPr>
          <w:b/>
          <w:sz w:val="24"/>
          <w:szCs w:val="24"/>
        </w:rPr>
        <w:t xml:space="preserve"> в ЕС и Турция</w:t>
      </w:r>
      <w:r w:rsidRPr="00C514CE">
        <w:rPr>
          <w:b/>
          <w:sz w:val="24"/>
          <w:szCs w:val="24"/>
        </w:rPr>
        <w:t>, 100 кг/ха</w:t>
      </w:r>
    </w:p>
    <w:p w:rsidR="001B460E" w:rsidRDefault="00C514CE" w:rsidP="002C5CA2">
      <w:pPr>
        <w:spacing w:line="360" w:lineRule="auto"/>
        <w:jc w:val="center"/>
        <w:rPr>
          <w:sz w:val="24"/>
          <w:szCs w:val="24"/>
        </w:rPr>
      </w:pPr>
      <w:r>
        <w:rPr>
          <w:noProof/>
          <w:sz w:val="24"/>
          <w:szCs w:val="24"/>
          <w:lang w:eastAsia="bg-BG"/>
        </w:rPr>
        <w:drawing>
          <wp:inline distT="0" distB="0" distL="0" distR="0" wp14:anchorId="0E3550C8" wp14:editId="2E68C846">
            <wp:extent cx="4800600" cy="2019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5095" cy="2046429"/>
                    </a:xfrm>
                    <a:prstGeom prst="rect">
                      <a:avLst/>
                    </a:prstGeom>
                    <a:noFill/>
                    <a:ln>
                      <a:noFill/>
                    </a:ln>
                  </pic:spPr>
                </pic:pic>
              </a:graphicData>
            </a:graphic>
          </wp:inline>
        </w:drawing>
      </w:r>
    </w:p>
    <w:p w:rsidR="00C514CE" w:rsidRDefault="00C514CE" w:rsidP="00C514CE">
      <w:pPr>
        <w:ind w:firstLine="720"/>
        <w:rPr>
          <w:sz w:val="20"/>
          <w:szCs w:val="20"/>
        </w:rPr>
      </w:pPr>
      <w:r w:rsidRPr="00C514CE">
        <w:rPr>
          <w:sz w:val="20"/>
          <w:szCs w:val="20"/>
        </w:rPr>
        <w:t xml:space="preserve">Източник: </w:t>
      </w:r>
      <w:proofErr w:type="spellStart"/>
      <w:r w:rsidRPr="00C514CE">
        <w:rPr>
          <w:sz w:val="20"/>
          <w:szCs w:val="20"/>
        </w:rPr>
        <w:t>Eurostat</w:t>
      </w:r>
      <w:proofErr w:type="spellEnd"/>
      <w:r w:rsidRPr="00C514CE">
        <w:rPr>
          <w:sz w:val="20"/>
          <w:szCs w:val="20"/>
        </w:rPr>
        <w:t xml:space="preserve">, </w:t>
      </w:r>
      <w:proofErr w:type="spellStart"/>
      <w:r w:rsidRPr="00C514CE">
        <w:rPr>
          <w:sz w:val="20"/>
          <w:szCs w:val="20"/>
        </w:rPr>
        <w:t>Crops</w:t>
      </w:r>
      <w:proofErr w:type="spellEnd"/>
      <w:r w:rsidRPr="00C514CE">
        <w:rPr>
          <w:sz w:val="20"/>
          <w:szCs w:val="20"/>
        </w:rPr>
        <w:t xml:space="preserve"> </w:t>
      </w:r>
      <w:proofErr w:type="spellStart"/>
      <w:r w:rsidRPr="00C514CE">
        <w:rPr>
          <w:sz w:val="20"/>
          <w:szCs w:val="20"/>
        </w:rPr>
        <w:t>under</w:t>
      </w:r>
      <w:proofErr w:type="spellEnd"/>
      <w:r w:rsidRPr="00C514CE">
        <w:rPr>
          <w:sz w:val="20"/>
          <w:szCs w:val="20"/>
        </w:rPr>
        <w:t xml:space="preserve"> </w:t>
      </w:r>
      <w:proofErr w:type="spellStart"/>
      <w:r w:rsidRPr="00C514CE">
        <w:rPr>
          <w:sz w:val="20"/>
          <w:szCs w:val="20"/>
        </w:rPr>
        <w:t>glass</w:t>
      </w:r>
      <w:proofErr w:type="spellEnd"/>
      <w:r w:rsidRPr="00C514CE">
        <w:rPr>
          <w:sz w:val="20"/>
          <w:szCs w:val="20"/>
        </w:rPr>
        <w:t xml:space="preserve">: </w:t>
      </w:r>
      <w:proofErr w:type="spellStart"/>
      <w:r w:rsidRPr="00C514CE">
        <w:rPr>
          <w:sz w:val="20"/>
          <w:szCs w:val="20"/>
        </w:rPr>
        <w:t>yields</w:t>
      </w:r>
      <w:proofErr w:type="spellEnd"/>
      <w:r w:rsidRPr="00C514CE">
        <w:rPr>
          <w:sz w:val="20"/>
          <w:szCs w:val="20"/>
        </w:rPr>
        <w:t xml:space="preserve">, </w:t>
      </w:r>
    </w:p>
    <w:p w:rsidR="002C5CA2" w:rsidRDefault="002C5CA2" w:rsidP="00C514CE">
      <w:pPr>
        <w:ind w:firstLine="720"/>
        <w:rPr>
          <w:sz w:val="20"/>
          <w:szCs w:val="20"/>
        </w:rPr>
      </w:pPr>
    </w:p>
    <w:p w:rsidR="00F26874" w:rsidRPr="00C514CE" w:rsidRDefault="00F26874" w:rsidP="00C514CE">
      <w:pPr>
        <w:ind w:firstLine="720"/>
        <w:rPr>
          <w:sz w:val="20"/>
          <w:szCs w:val="20"/>
        </w:rPr>
      </w:pPr>
    </w:p>
    <w:p w:rsidR="00C514CE" w:rsidRPr="00C514CE" w:rsidRDefault="00C514CE" w:rsidP="00C514CE">
      <w:pPr>
        <w:spacing w:line="360" w:lineRule="auto"/>
        <w:jc w:val="center"/>
        <w:rPr>
          <w:b/>
          <w:sz w:val="24"/>
          <w:szCs w:val="24"/>
        </w:rPr>
      </w:pPr>
      <w:r w:rsidRPr="00C514CE">
        <w:rPr>
          <w:b/>
          <w:sz w:val="24"/>
          <w:szCs w:val="24"/>
        </w:rPr>
        <w:lastRenderedPageBreak/>
        <w:t xml:space="preserve">Среден добив от оранжерийни </w:t>
      </w:r>
      <w:r w:rsidR="00B56252">
        <w:rPr>
          <w:b/>
          <w:sz w:val="24"/>
          <w:szCs w:val="24"/>
        </w:rPr>
        <w:t>домати в ЕС и Турция</w:t>
      </w:r>
      <w:r w:rsidRPr="00C514CE">
        <w:rPr>
          <w:b/>
          <w:sz w:val="24"/>
          <w:szCs w:val="24"/>
        </w:rPr>
        <w:t>, 100 кг/ха</w:t>
      </w:r>
    </w:p>
    <w:p w:rsidR="001B460E" w:rsidRDefault="00C514CE" w:rsidP="00C514CE">
      <w:pPr>
        <w:jc w:val="center"/>
      </w:pPr>
      <w:r>
        <w:rPr>
          <w:noProof/>
          <w:lang w:eastAsia="bg-BG"/>
        </w:rPr>
        <w:drawing>
          <wp:inline distT="0" distB="0" distL="0" distR="0" wp14:anchorId="79065369" wp14:editId="02BADFAE">
            <wp:extent cx="4623515" cy="1877527"/>
            <wp:effectExtent l="0" t="0" r="571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5876" cy="1890668"/>
                    </a:xfrm>
                    <a:prstGeom prst="rect">
                      <a:avLst/>
                    </a:prstGeom>
                    <a:noFill/>
                    <a:ln>
                      <a:noFill/>
                    </a:ln>
                  </pic:spPr>
                </pic:pic>
              </a:graphicData>
            </a:graphic>
          </wp:inline>
        </w:drawing>
      </w:r>
    </w:p>
    <w:p w:rsidR="001B460E" w:rsidRPr="009813FF" w:rsidRDefault="005F4939" w:rsidP="005F4939">
      <w:pPr>
        <w:ind w:firstLine="720"/>
        <w:rPr>
          <w:i/>
        </w:rPr>
      </w:pPr>
      <w:r w:rsidRPr="009813FF">
        <w:rPr>
          <w:i/>
        </w:rPr>
        <w:t xml:space="preserve">Източник: </w:t>
      </w:r>
      <w:proofErr w:type="spellStart"/>
      <w:r w:rsidRPr="009813FF">
        <w:rPr>
          <w:i/>
        </w:rPr>
        <w:t>Eurostat</w:t>
      </w:r>
      <w:proofErr w:type="spellEnd"/>
      <w:r w:rsidRPr="009813FF">
        <w:rPr>
          <w:i/>
        </w:rPr>
        <w:t xml:space="preserve">, </w:t>
      </w:r>
      <w:proofErr w:type="spellStart"/>
      <w:r w:rsidRPr="009813FF">
        <w:rPr>
          <w:i/>
        </w:rPr>
        <w:t>Crops</w:t>
      </w:r>
      <w:proofErr w:type="spellEnd"/>
      <w:r w:rsidRPr="009813FF">
        <w:rPr>
          <w:i/>
        </w:rPr>
        <w:t xml:space="preserve"> </w:t>
      </w:r>
      <w:proofErr w:type="spellStart"/>
      <w:r w:rsidRPr="009813FF">
        <w:rPr>
          <w:i/>
        </w:rPr>
        <w:t>under</w:t>
      </w:r>
      <w:proofErr w:type="spellEnd"/>
      <w:r w:rsidRPr="009813FF">
        <w:rPr>
          <w:i/>
        </w:rPr>
        <w:t xml:space="preserve"> </w:t>
      </w:r>
      <w:proofErr w:type="spellStart"/>
      <w:r w:rsidRPr="009813FF">
        <w:rPr>
          <w:i/>
        </w:rPr>
        <w:t>glass</w:t>
      </w:r>
      <w:proofErr w:type="spellEnd"/>
      <w:r w:rsidRPr="009813FF">
        <w:rPr>
          <w:i/>
        </w:rPr>
        <w:t xml:space="preserve">: </w:t>
      </w:r>
      <w:proofErr w:type="spellStart"/>
      <w:r w:rsidRPr="009813FF">
        <w:rPr>
          <w:i/>
        </w:rPr>
        <w:t>yields</w:t>
      </w:r>
      <w:proofErr w:type="spellEnd"/>
      <w:r w:rsidRPr="009813FF">
        <w:rPr>
          <w:i/>
        </w:rPr>
        <w:t>,</w:t>
      </w:r>
    </w:p>
    <w:p w:rsidR="005F4939" w:rsidRDefault="005F4939" w:rsidP="00C514CE">
      <w:pPr>
        <w:spacing w:line="360" w:lineRule="auto"/>
        <w:ind w:firstLine="720"/>
        <w:jc w:val="both"/>
      </w:pPr>
    </w:p>
    <w:p w:rsidR="001B460E" w:rsidRPr="00BA4A99" w:rsidRDefault="001B460E" w:rsidP="00C514CE">
      <w:pPr>
        <w:spacing w:line="360" w:lineRule="auto"/>
        <w:ind w:firstLine="720"/>
        <w:jc w:val="both"/>
        <w:rPr>
          <w:sz w:val="24"/>
          <w:szCs w:val="24"/>
        </w:rPr>
      </w:pPr>
      <w:r w:rsidRPr="00BA4A99">
        <w:rPr>
          <w:sz w:val="24"/>
          <w:szCs w:val="24"/>
        </w:rPr>
        <w:t>Безспорен лидер по продуктивност е Холандия, където средните добиви от краставици превишават 65 т</w:t>
      </w:r>
      <w:r w:rsidR="003F5907" w:rsidRPr="00BA4A99">
        <w:rPr>
          <w:sz w:val="24"/>
          <w:szCs w:val="24"/>
        </w:rPr>
        <w:t>.</w:t>
      </w:r>
      <w:r w:rsidRPr="00BA4A99">
        <w:rPr>
          <w:sz w:val="24"/>
          <w:szCs w:val="24"/>
        </w:rPr>
        <w:t>/дка и 47 т</w:t>
      </w:r>
      <w:r w:rsidR="003F5907" w:rsidRPr="00BA4A99">
        <w:rPr>
          <w:sz w:val="24"/>
          <w:szCs w:val="24"/>
        </w:rPr>
        <w:t>.</w:t>
      </w:r>
      <w:r w:rsidRPr="00BA4A99">
        <w:rPr>
          <w:sz w:val="24"/>
          <w:szCs w:val="24"/>
        </w:rPr>
        <w:t>/дка при оранжерийните домати. Висока продуктивност се наблюдава и в страни, където климатичните фактори далеч не би могло да се определят като благоприятни за производство на зеленчукови култури, било то и оранжерийни. Нивото на средния добив във Финландия превишава трикратно нивото на средните добиви в страната ни.</w:t>
      </w:r>
    </w:p>
    <w:p w:rsidR="001B460E" w:rsidRPr="00BA4A99" w:rsidRDefault="001B460E" w:rsidP="00C514CE">
      <w:pPr>
        <w:spacing w:line="360" w:lineRule="auto"/>
        <w:jc w:val="both"/>
        <w:rPr>
          <w:sz w:val="24"/>
          <w:szCs w:val="24"/>
        </w:rPr>
      </w:pPr>
      <w:r w:rsidRPr="00BA4A99">
        <w:rPr>
          <w:sz w:val="24"/>
          <w:szCs w:val="24"/>
        </w:rPr>
        <w:t>Нивото на средните добиви в Турция са близки до тези в България, но е за отбелязване факта, че средните добиви се отнасят за неотопляеми оранжерийни комплекси.</w:t>
      </w:r>
    </w:p>
    <w:p w:rsidR="00C514CE" w:rsidRDefault="00C514CE" w:rsidP="001B460E">
      <w:pPr>
        <w:rPr>
          <w:b/>
          <w:sz w:val="28"/>
          <w:szCs w:val="28"/>
        </w:rPr>
      </w:pPr>
    </w:p>
    <w:p w:rsidR="001B460E" w:rsidRPr="00D9338C" w:rsidRDefault="001B460E" w:rsidP="00C514CE">
      <w:pPr>
        <w:ind w:firstLine="720"/>
        <w:rPr>
          <w:b/>
          <w:sz w:val="24"/>
          <w:szCs w:val="24"/>
        </w:rPr>
      </w:pPr>
      <w:r w:rsidRPr="00D9338C">
        <w:rPr>
          <w:b/>
          <w:sz w:val="24"/>
          <w:szCs w:val="24"/>
        </w:rPr>
        <w:t>Използвани технологии и начини за отопление</w:t>
      </w:r>
    </w:p>
    <w:p w:rsidR="00C514CE" w:rsidRPr="00C514CE" w:rsidRDefault="00C514CE" w:rsidP="001B460E">
      <w:pPr>
        <w:rPr>
          <w:b/>
          <w:sz w:val="28"/>
          <w:szCs w:val="28"/>
        </w:rPr>
      </w:pPr>
    </w:p>
    <w:p w:rsidR="001B460E" w:rsidRDefault="001B460E" w:rsidP="00C514CE">
      <w:pPr>
        <w:spacing w:line="360" w:lineRule="auto"/>
        <w:ind w:firstLine="720"/>
        <w:jc w:val="both"/>
      </w:pPr>
      <w:r>
        <w:t>Специфичните изисквания, които имат отглежданите зеленчуци в оранжерийни условия обуславят конструкцията и функционалното предназначение на оранжериите и обясняват наличието на изисквания към отоплителните системи и управлението им, различни от характерните за битови или индустриални сгради. Въпреки традициите, които има България отглеждането на оранжерийна продукция,</w:t>
      </w:r>
      <w:r w:rsidR="000A0380">
        <w:t xml:space="preserve"> в страната съществуват</w:t>
      </w:r>
      <w:r>
        <w:t xml:space="preserve"> </w:t>
      </w:r>
      <w:r w:rsidR="000A0380">
        <w:t xml:space="preserve">технически амортизирани и стари </w:t>
      </w:r>
      <w:r>
        <w:t>оранжерии.</w:t>
      </w:r>
      <w:r w:rsidR="000A0380">
        <w:t xml:space="preserve"> </w:t>
      </w:r>
      <w:r>
        <w:t xml:space="preserve">Високите инвестиционни разходи за създаване на нова оранжерия в рамките на 100 хил. евро на дка представлява силно </w:t>
      </w:r>
      <w:proofErr w:type="spellStart"/>
      <w:r>
        <w:t>лимитиращ</w:t>
      </w:r>
      <w:proofErr w:type="spellEnd"/>
      <w:r>
        <w:t xml:space="preserve"> фактор за прилагане на нови и иновативни технологични решения. Технологиите на оранжерийното производство са едни от интензивно развиващи се в земеделското производство и техническите решение са насочени в посока използването на съвременни технически съоръжения и системи, осигуряващи оптимален за отглежданите култури микроклимат.</w:t>
      </w:r>
    </w:p>
    <w:p w:rsidR="001B460E" w:rsidRDefault="001B460E" w:rsidP="007B185F">
      <w:pPr>
        <w:spacing w:line="360" w:lineRule="auto"/>
        <w:ind w:firstLine="720"/>
        <w:jc w:val="both"/>
      </w:pPr>
      <w:r>
        <w:t>По отношение на отоплението</w:t>
      </w:r>
      <w:r w:rsidR="00BA4A99">
        <w:t xml:space="preserve"> оранжериите се делят на две основни групи:</w:t>
      </w:r>
    </w:p>
    <w:p w:rsidR="001B460E" w:rsidRPr="0076070C" w:rsidRDefault="001B460E" w:rsidP="0076070C">
      <w:pPr>
        <w:pStyle w:val="ListParagraph"/>
        <w:numPr>
          <w:ilvl w:val="0"/>
          <w:numId w:val="3"/>
        </w:numPr>
        <w:spacing w:line="360" w:lineRule="auto"/>
        <w:jc w:val="both"/>
        <w:rPr>
          <w:b/>
        </w:rPr>
      </w:pPr>
      <w:r w:rsidRPr="0076070C">
        <w:rPr>
          <w:b/>
        </w:rPr>
        <w:lastRenderedPageBreak/>
        <w:t>отопляеми оранжерии</w:t>
      </w:r>
      <w:r w:rsidR="0076070C">
        <w:rPr>
          <w:b/>
        </w:rPr>
        <w:t xml:space="preserve"> /е</w:t>
      </w:r>
      <w:r w:rsidR="0076070C" w:rsidRPr="0076070C">
        <w:rPr>
          <w:b/>
        </w:rPr>
        <w:t>стествено, биологично отопление</w:t>
      </w:r>
      <w:r w:rsidR="0076070C">
        <w:rPr>
          <w:b/>
        </w:rPr>
        <w:t>, в</w:t>
      </w:r>
      <w:r w:rsidR="0076070C" w:rsidRPr="0076070C">
        <w:rPr>
          <w:b/>
        </w:rPr>
        <w:t>одно отопление</w:t>
      </w:r>
      <w:r w:rsidR="0076070C">
        <w:rPr>
          <w:b/>
        </w:rPr>
        <w:t>, е</w:t>
      </w:r>
      <w:r w:rsidR="0076070C" w:rsidRPr="0076070C">
        <w:rPr>
          <w:b/>
        </w:rPr>
        <w:t>лектрическо отопление</w:t>
      </w:r>
      <w:r w:rsidR="0076070C">
        <w:rPr>
          <w:b/>
        </w:rPr>
        <w:t>, термопомпи, к</w:t>
      </w:r>
      <w:r w:rsidR="0076070C" w:rsidRPr="0076070C">
        <w:rPr>
          <w:b/>
        </w:rPr>
        <w:t>отли на течно, газообразно и твърдо гориво</w:t>
      </w:r>
      <w:r w:rsidR="0076070C">
        <w:rPr>
          <w:b/>
        </w:rPr>
        <w:t xml:space="preserve"> и</w:t>
      </w:r>
      <w:r w:rsidR="0076070C" w:rsidRPr="0076070C">
        <w:rPr>
          <w:b/>
        </w:rPr>
        <w:t>нфрачервено отопление</w:t>
      </w:r>
      <w:r w:rsidR="0076070C">
        <w:rPr>
          <w:b/>
        </w:rPr>
        <w:t>/</w:t>
      </w:r>
    </w:p>
    <w:p w:rsidR="001B460E" w:rsidRPr="0076070C" w:rsidRDefault="001B460E" w:rsidP="0076070C">
      <w:pPr>
        <w:pStyle w:val="ListParagraph"/>
        <w:numPr>
          <w:ilvl w:val="0"/>
          <w:numId w:val="3"/>
        </w:numPr>
        <w:spacing w:line="360" w:lineRule="auto"/>
        <w:jc w:val="both"/>
        <w:rPr>
          <w:b/>
        </w:rPr>
      </w:pPr>
      <w:r w:rsidRPr="0076070C">
        <w:rPr>
          <w:b/>
        </w:rPr>
        <w:t>неотопляеми оранжерии</w:t>
      </w:r>
    </w:p>
    <w:p w:rsidR="001935B8" w:rsidRDefault="001935B8" w:rsidP="00C514CE">
      <w:pPr>
        <w:spacing w:line="360" w:lineRule="auto"/>
        <w:jc w:val="both"/>
      </w:pPr>
    </w:p>
    <w:p w:rsidR="001B460E" w:rsidRPr="00C514CE" w:rsidRDefault="001B460E" w:rsidP="003F5907">
      <w:pPr>
        <w:rPr>
          <w:b/>
          <w:sz w:val="28"/>
          <w:szCs w:val="28"/>
        </w:rPr>
      </w:pPr>
      <w:r w:rsidRPr="00C514CE">
        <w:rPr>
          <w:b/>
          <w:sz w:val="28"/>
          <w:szCs w:val="28"/>
        </w:rPr>
        <w:t>Пазарен анализ</w:t>
      </w:r>
      <w:r w:rsidR="00C514CE" w:rsidRPr="00C514CE">
        <w:rPr>
          <w:b/>
          <w:sz w:val="28"/>
          <w:szCs w:val="28"/>
        </w:rPr>
        <w:t xml:space="preserve"> на продукцията от оранжерийния сектор</w:t>
      </w:r>
    </w:p>
    <w:p w:rsidR="001B460E" w:rsidRPr="00C514CE" w:rsidRDefault="001B460E" w:rsidP="001B460E">
      <w:pPr>
        <w:rPr>
          <w:b/>
          <w:sz w:val="28"/>
          <w:szCs w:val="28"/>
        </w:rPr>
      </w:pPr>
    </w:p>
    <w:p w:rsidR="001B460E" w:rsidRPr="00D9338C" w:rsidRDefault="001B460E" w:rsidP="001935B8">
      <w:pPr>
        <w:rPr>
          <w:b/>
          <w:sz w:val="24"/>
          <w:szCs w:val="24"/>
        </w:rPr>
      </w:pPr>
      <w:r w:rsidRPr="00D9338C">
        <w:rPr>
          <w:b/>
          <w:sz w:val="24"/>
          <w:szCs w:val="24"/>
        </w:rPr>
        <w:t>Търговия</w:t>
      </w:r>
      <w:r w:rsidR="005F4939" w:rsidRPr="00D9338C">
        <w:rPr>
          <w:b/>
          <w:sz w:val="24"/>
          <w:szCs w:val="24"/>
        </w:rPr>
        <w:t>,</w:t>
      </w:r>
      <w:r w:rsidR="003F5907" w:rsidRPr="00D9338C">
        <w:rPr>
          <w:b/>
          <w:sz w:val="24"/>
          <w:szCs w:val="24"/>
        </w:rPr>
        <w:t xml:space="preserve"> </w:t>
      </w:r>
      <w:r w:rsidR="005F4939" w:rsidRPr="00D9338C">
        <w:rPr>
          <w:b/>
          <w:sz w:val="24"/>
          <w:szCs w:val="24"/>
        </w:rPr>
        <w:t xml:space="preserve">канали за реализация </w:t>
      </w:r>
      <w:r w:rsidRPr="00D9338C">
        <w:rPr>
          <w:b/>
          <w:sz w:val="24"/>
          <w:szCs w:val="24"/>
        </w:rPr>
        <w:t>с оранжерийна продукция</w:t>
      </w:r>
    </w:p>
    <w:p w:rsidR="00C17970" w:rsidRPr="00D9338C" w:rsidRDefault="00C17970" w:rsidP="001B460E">
      <w:pPr>
        <w:rPr>
          <w:b/>
          <w:sz w:val="24"/>
          <w:szCs w:val="24"/>
        </w:rPr>
      </w:pPr>
    </w:p>
    <w:p w:rsidR="006B4005" w:rsidRDefault="006B4005" w:rsidP="001B460E">
      <w:pPr>
        <w:rPr>
          <w:b/>
        </w:rPr>
      </w:pPr>
    </w:p>
    <w:p w:rsidR="001B460E" w:rsidRPr="006B4005" w:rsidRDefault="001B460E" w:rsidP="006B4005">
      <w:pPr>
        <w:spacing w:line="360" w:lineRule="auto"/>
        <w:ind w:firstLine="720"/>
        <w:jc w:val="both"/>
        <w:rPr>
          <w:sz w:val="24"/>
          <w:szCs w:val="24"/>
        </w:rPr>
      </w:pPr>
      <w:r w:rsidRPr="006B4005">
        <w:rPr>
          <w:sz w:val="24"/>
          <w:szCs w:val="24"/>
        </w:rPr>
        <w:t>Основните начини за реализиране на произведената оранжерийна продукция е продажба на вътрешния пазар и реализация на износ. За разлика от полското производство, където една част от произведените зеленчуци отиват за преработка и консервиране, при оранжерийното произв</w:t>
      </w:r>
      <w:r w:rsidR="00034C1E">
        <w:rPr>
          <w:sz w:val="24"/>
          <w:szCs w:val="24"/>
        </w:rPr>
        <w:t xml:space="preserve">одство </w:t>
      </w:r>
      <w:r w:rsidRPr="006B4005">
        <w:rPr>
          <w:sz w:val="24"/>
          <w:szCs w:val="24"/>
        </w:rPr>
        <w:t>единствено</w:t>
      </w:r>
      <w:r w:rsidR="00034C1E">
        <w:rPr>
          <w:sz w:val="24"/>
          <w:szCs w:val="24"/>
        </w:rPr>
        <w:t>то</w:t>
      </w:r>
      <w:r w:rsidRPr="006B4005">
        <w:rPr>
          <w:sz w:val="24"/>
          <w:szCs w:val="24"/>
        </w:rPr>
        <w:t xml:space="preserve"> предназначение е за прясна консумация. Факторите, от които зависи търсенето на българска оранжерийна продукция се детерминират преди всичко от цените на предлаганите продукти, от навиците, предпочитанията, покупателната способност на консуматорите и др. Сериозна слабост е, че производителите се насочват към дадено производство без предварително проведени маркетингови проучвания и без предварително сключени договори за реализация на продукцията. Земеделските стопани търсят реализация на вече произведената продукция, подложени на силната конкуренция на пазара. На това се дължат значителните колебания в относителните дялове на различните канали на реализация на отделните продукти по години.</w:t>
      </w:r>
    </w:p>
    <w:p w:rsidR="001B460E" w:rsidRPr="006B4005" w:rsidRDefault="001B460E" w:rsidP="00D02E84">
      <w:pPr>
        <w:spacing w:line="360" w:lineRule="auto"/>
        <w:ind w:firstLine="720"/>
        <w:jc w:val="both"/>
        <w:rPr>
          <w:sz w:val="24"/>
          <w:szCs w:val="24"/>
        </w:rPr>
      </w:pPr>
      <w:r w:rsidRPr="006B4005">
        <w:rPr>
          <w:sz w:val="24"/>
          <w:szCs w:val="24"/>
        </w:rPr>
        <w:t>Друга важна причина за колебанията в предлаганите количества оранжерийна продукция по различните канали произтича и от структурата на оранжерийните производители, които в болшинството са малки до 1 дка. В тези стопанства се произвеждат относително малки количества оранжерийна продукция и достигането им до пазара посредством търговските вериги за дистрибуция, без съществуването на група от производителите е относително трудно. От друга страна поради производственото поведение на малките производители, които са слабо интензивни и непостоянни в своите планове за производство, стоенето извън по-дългосрочно обвързване и относителната независимост е един рационално избран маркетингов модел.</w:t>
      </w:r>
    </w:p>
    <w:p w:rsidR="007B185F" w:rsidRDefault="001B460E" w:rsidP="00B41F33">
      <w:pPr>
        <w:spacing w:line="360" w:lineRule="auto"/>
        <w:ind w:firstLine="720"/>
        <w:jc w:val="both"/>
        <w:rPr>
          <w:sz w:val="24"/>
          <w:szCs w:val="24"/>
        </w:rPr>
      </w:pPr>
      <w:r w:rsidRPr="006B4005">
        <w:rPr>
          <w:sz w:val="24"/>
          <w:szCs w:val="24"/>
        </w:rPr>
        <w:lastRenderedPageBreak/>
        <w:t xml:space="preserve">Каналите за пазарна реализация на продукцията за прясна консумация, подредени по тяхното значение са: директна продажба на специализирани тържища, продажба на търговци на едро, продажба на търговци на дребно, директни продажби на дребно. Преобладаващата част от дребните производители използват специализираните тържища, като една от най-евтините и удобни опции за реализация на продукцията, но условията там не предоставят големи възможности. Доминиращата част от производителите нямат подходящи условия за </w:t>
      </w:r>
      <w:proofErr w:type="spellStart"/>
      <w:r w:rsidRPr="006B4005">
        <w:rPr>
          <w:sz w:val="24"/>
          <w:szCs w:val="24"/>
        </w:rPr>
        <w:t>следберитбена</w:t>
      </w:r>
      <w:proofErr w:type="spellEnd"/>
      <w:r w:rsidRPr="006B4005">
        <w:rPr>
          <w:sz w:val="24"/>
          <w:szCs w:val="24"/>
        </w:rPr>
        <w:t xml:space="preserve"> обработка на получената продукция, което включва сортировка, почистване и третиране на продукцията, пакетиране и етикиране. Тези елементи от </w:t>
      </w:r>
      <w:proofErr w:type="spellStart"/>
      <w:r w:rsidRPr="006B4005">
        <w:rPr>
          <w:sz w:val="24"/>
          <w:szCs w:val="24"/>
        </w:rPr>
        <w:t>следберитбения</w:t>
      </w:r>
      <w:proofErr w:type="spellEnd"/>
      <w:r w:rsidRPr="006B4005">
        <w:rPr>
          <w:sz w:val="24"/>
          <w:szCs w:val="24"/>
        </w:rPr>
        <w:t xml:space="preserve"> маркетинг на оранжерийната продукция стават все по-важни и в същото време изискват значителни капиталовложения и разходи. </w:t>
      </w:r>
      <w:r w:rsidR="00B2116D">
        <w:rPr>
          <w:sz w:val="24"/>
          <w:szCs w:val="24"/>
        </w:rPr>
        <w:t xml:space="preserve">Ниската степен на организираност </w:t>
      </w:r>
      <w:r w:rsidRPr="006B4005">
        <w:rPr>
          <w:sz w:val="24"/>
          <w:szCs w:val="24"/>
        </w:rPr>
        <w:t xml:space="preserve"> на производителите и слабостите при съвместни действия, </w:t>
      </w:r>
      <w:r w:rsidR="00B2116D">
        <w:rPr>
          <w:sz w:val="24"/>
          <w:szCs w:val="24"/>
        </w:rPr>
        <w:t xml:space="preserve">значително </w:t>
      </w:r>
      <w:r w:rsidR="00034C1E">
        <w:rPr>
          <w:sz w:val="24"/>
          <w:szCs w:val="24"/>
        </w:rPr>
        <w:t xml:space="preserve"> затрудняват </w:t>
      </w:r>
      <w:r w:rsidRPr="006B4005">
        <w:rPr>
          <w:sz w:val="24"/>
          <w:szCs w:val="24"/>
        </w:rPr>
        <w:t xml:space="preserve">постигането на по-високо качество в частта на маркетинга и отговарянето на изискванията, които са поставяни от търговските вериги по отношение на </w:t>
      </w:r>
      <w:proofErr w:type="spellStart"/>
      <w:r w:rsidRPr="006B4005">
        <w:rPr>
          <w:sz w:val="24"/>
          <w:szCs w:val="24"/>
        </w:rPr>
        <w:t>следберитбения</w:t>
      </w:r>
      <w:proofErr w:type="spellEnd"/>
      <w:r w:rsidRPr="006B4005">
        <w:rPr>
          <w:sz w:val="24"/>
          <w:szCs w:val="24"/>
        </w:rPr>
        <w:t xml:space="preserve"> маркетинг</w:t>
      </w:r>
      <w:r w:rsidR="00B2116D">
        <w:rPr>
          <w:sz w:val="24"/>
          <w:szCs w:val="24"/>
        </w:rPr>
        <w:t xml:space="preserve">. Това </w:t>
      </w:r>
      <w:r w:rsidRPr="006B4005">
        <w:rPr>
          <w:sz w:val="24"/>
          <w:szCs w:val="24"/>
        </w:rPr>
        <w:t xml:space="preserve"> предопределя</w:t>
      </w:r>
      <w:r w:rsidR="00B2116D">
        <w:rPr>
          <w:sz w:val="24"/>
          <w:szCs w:val="24"/>
        </w:rPr>
        <w:t xml:space="preserve"> </w:t>
      </w:r>
      <w:r w:rsidRPr="006B4005">
        <w:rPr>
          <w:sz w:val="24"/>
          <w:szCs w:val="24"/>
        </w:rPr>
        <w:t xml:space="preserve">недостъпността на малките производители до този основен канал </w:t>
      </w:r>
      <w:r w:rsidR="00B2116D">
        <w:rPr>
          <w:sz w:val="24"/>
          <w:szCs w:val="24"/>
        </w:rPr>
        <w:t>за дистрибуция.</w:t>
      </w:r>
    </w:p>
    <w:p w:rsidR="00B2116D" w:rsidRPr="00B41F33" w:rsidRDefault="00B2116D" w:rsidP="00B41F33">
      <w:pPr>
        <w:spacing w:line="360" w:lineRule="auto"/>
        <w:ind w:firstLine="720"/>
        <w:jc w:val="both"/>
        <w:rPr>
          <w:sz w:val="24"/>
          <w:szCs w:val="24"/>
        </w:rPr>
      </w:pPr>
    </w:p>
    <w:p w:rsidR="00C17970" w:rsidRPr="009813FF" w:rsidRDefault="00C17970" w:rsidP="00D02E84">
      <w:pPr>
        <w:spacing w:line="360" w:lineRule="auto"/>
        <w:ind w:firstLine="720"/>
        <w:jc w:val="both"/>
        <w:rPr>
          <w:b/>
          <w:sz w:val="28"/>
          <w:szCs w:val="28"/>
        </w:rPr>
      </w:pPr>
      <w:r w:rsidRPr="009813FF">
        <w:rPr>
          <w:b/>
          <w:sz w:val="28"/>
          <w:szCs w:val="28"/>
        </w:rPr>
        <w:t xml:space="preserve">Цени </w:t>
      </w:r>
    </w:p>
    <w:p w:rsidR="00C17970" w:rsidRPr="00C17970" w:rsidRDefault="00C17970" w:rsidP="00C17970">
      <w:pPr>
        <w:autoSpaceDE w:val="0"/>
        <w:autoSpaceDN w:val="0"/>
        <w:adjustRightInd w:val="0"/>
        <w:spacing w:before="62" w:line="360" w:lineRule="auto"/>
        <w:ind w:firstLine="922"/>
        <w:jc w:val="both"/>
        <w:rPr>
          <w:rFonts w:eastAsiaTheme="minorEastAsia" w:cs="Arial"/>
          <w:sz w:val="24"/>
          <w:szCs w:val="24"/>
          <w:lang w:eastAsia="bg-BG"/>
        </w:rPr>
      </w:pPr>
      <w:r>
        <w:rPr>
          <w:rFonts w:eastAsiaTheme="minorEastAsia" w:cs="Arial"/>
          <w:sz w:val="24"/>
          <w:szCs w:val="24"/>
          <w:lang w:eastAsia="bg-BG"/>
        </w:rPr>
        <w:t>Ц</w:t>
      </w:r>
      <w:r w:rsidRPr="00C17970">
        <w:rPr>
          <w:rFonts w:eastAsiaTheme="minorEastAsia" w:cs="Arial"/>
          <w:sz w:val="24"/>
          <w:szCs w:val="24"/>
          <w:lang w:eastAsia="bg-BG"/>
        </w:rPr>
        <w:t xml:space="preserve">ената на </w:t>
      </w:r>
      <w:r w:rsidRPr="00B2116D">
        <w:rPr>
          <w:rFonts w:eastAsiaTheme="minorEastAsia" w:cs="Arial"/>
          <w:b/>
          <w:sz w:val="24"/>
          <w:szCs w:val="24"/>
          <w:lang w:eastAsia="bg-BG"/>
        </w:rPr>
        <w:t>доматите</w:t>
      </w:r>
      <w:r w:rsidRPr="00C17970">
        <w:rPr>
          <w:rFonts w:eastAsiaTheme="minorEastAsia" w:cs="Arial"/>
          <w:sz w:val="24"/>
          <w:szCs w:val="24"/>
          <w:lang w:eastAsia="bg-BG"/>
        </w:rPr>
        <w:t xml:space="preserve"> през 2017 г. се доближава до характерните за сезона тенденции, наблюдавани </w:t>
      </w:r>
      <w:r w:rsidR="003F5907">
        <w:rPr>
          <w:rFonts w:eastAsiaTheme="minorEastAsia" w:cs="Arial"/>
          <w:sz w:val="24"/>
          <w:szCs w:val="24"/>
          <w:lang w:eastAsia="bg-BG"/>
        </w:rPr>
        <w:t xml:space="preserve"> и </w:t>
      </w:r>
      <w:r w:rsidRPr="00C17970">
        <w:rPr>
          <w:rFonts w:eastAsiaTheme="minorEastAsia" w:cs="Arial"/>
          <w:sz w:val="24"/>
          <w:szCs w:val="24"/>
          <w:lang w:eastAsia="bg-BG"/>
        </w:rPr>
        <w:t>през миналите години. Максималните регистрирани стойности са през април, а минималните в средата и края на м. август.</w:t>
      </w:r>
    </w:p>
    <w:p w:rsidR="005F4939" w:rsidRPr="003F5907" w:rsidRDefault="00C17970" w:rsidP="003F5907">
      <w:pPr>
        <w:autoSpaceDE w:val="0"/>
        <w:autoSpaceDN w:val="0"/>
        <w:adjustRightInd w:val="0"/>
        <w:spacing w:line="360" w:lineRule="auto"/>
        <w:ind w:firstLine="557"/>
        <w:jc w:val="both"/>
        <w:rPr>
          <w:rFonts w:eastAsiaTheme="minorEastAsia" w:cs="Arial"/>
          <w:sz w:val="24"/>
          <w:szCs w:val="24"/>
          <w:lang w:eastAsia="bg-BG"/>
        </w:rPr>
      </w:pPr>
      <w:r w:rsidRPr="00C17970">
        <w:rPr>
          <w:rFonts w:eastAsiaTheme="minorEastAsia" w:cs="Arial"/>
          <w:sz w:val="24"/>
          <w:szCs w:val="24"/>
          <w:lang w:eastAsia="bg-BG"/>
        </w:rPr>
        <w:t xml:space="preserve">В началото на 2017 г. цената на оранжерийните домати стартира от ниво 1.92 лв./кг. През януари стойностите се покачват до 2.52 лв./кг. Следва спад на цената, като низходящата тенденция продължава до м. март. Периодът април - юни се характеризира с бързо понижение на цената на оранжерийните домати. В този период на пазара излизат и първите домати от открити площи, като цената им е висока и стига до 2,30 лв./кг. През следващите месеци цената, както на оранжерийните, така и на полските има плавен и устойчив низходящ </w:t>
      </w:r>
      <w:proofErr w:type="spellStart"/>
      <w:r w:rsidRPr="00C17970">
        <w:rPr>
          <w:rFonts w:eastAsiaTheme="minorEastAsia" w:cs="Arial"/>
          <w:sz w:val="24"/>
          <w:szCs w:val="24"/>
          <w:lang w:eastAsia="bg-BG"/>
        </w:rPr>
        <w:t>тренд</w:t>
      </w:r>
      <w:proofErr w:type="spellEnd"/>
      <w:r w:rsidRPr="00C17970">
        <w:rPr>
          <w:rFonts w:eastAsiaTheme="minorEastAsia" w:cs="Arial"/>
          <w:sz w:val="24"/>
          <w:szCs w:val="24"/>
          <w:lang w:eastAsia="bg-BG"/>
        </w:rPr>
        <w:t xml:space="preserve">. Аналогично е движението на цената на вносните домати, като през по-голямата част от периода цената на вносните домати е по-ниска от тази на българските оранжерийни домати. Доближаване на цените има през юли, а през август и септември цената на вносните домати е по-висока от родното </w:t>
      </w:r>
      <w:r w:rsidRPr="00C17970">
        <w:rPr>
          <w:rFonts w:eastAsiaTheme="minorEastAsia" w:cs="Arial"/>
          <w:sz w:val="24"/>
          <w:szCs w:val="24"/>
          <w:lang w:eastAsia="bg-BG"/>
        </w:rPr>
        <w:lastRenderedPageBreak/>
        <w:t>производство. През м август количествата вносни домати са незначителни и предлагането е едва около 6%. Маржът в различните периоди на годината варира между 20% и 40%.</w:t>
      </w:r>
      <w:r w:rsidR="00B2116D">
        <w:rPr>
          <w:rFonts w:eastAsiaTheme="minorEastAsia" w:cs="Arial"/>
          <w:sz w:val="24"/>
          <w:szCs w:val="24"/>
          <w:lang w:eastAsia="bg-BG"/>
        </w:rPr>
        <w:t xml:space="preserve"> </w:t>
      </w:r>
      <w:r w:rsidR="00D02E84" w:rsidRPr="00D02E84">
        <w:rPr>
          <w:rFonts w:eastAsiaTheme="minorEastAsia" w:cs="Arial"/>
          <w:sz w:val="24"/>
          <w:szCs w:val="24"/>
          <w:lang w:eastAsia="bg-BG"/>
        </w:rPr>
        <w:t>Предлагането на вносни домати на българския пазар е целогодишно, а относителният им дял спрямо общите продажби на домати през годината е 52%, а през зимните месеци 90% от продажбите на дом</w:t>
      </w:r>
      <w:r w:rsidR="00D02E84">
        <w:rPr>
          <w:rFonts w:eastAsiaTheme="minorEastAsia" w:cs="Arial"/>
          <w:sz w:val="24"/>
          <w:szCs w:val="24"/>
          <w:lang w:eastAsia="bg-BG"/>
        </w:rPr>
        <w:t xml:space="preserve">ати са от внос. </w:t>
      </w:r>
    </w:p>
    <w:p w:rsidR="007B185F" w:rsidRDefault="007B185F" w:rsidP="005F4939">
      <w:pPr>
        <w:autoSpaceDE w:val="0"/>
        <w:autoSpaceDN w:val="0"/>
        <w:adjustRightInd w:val="0"/>
        <w:rPr>
          <w:rFonts w:ascii="Arial" w:eastAsiaTheme="minorEastAsia" w:hAnsi="Arial" w:cs="Arial"/>
          <w:b/>
          <w:lang w:eastAsia="bg-BG"/>
        </w:rPr>
      </w:pPr>
    </w:p>
    <w:p w:rsidR="003F5907" w:rsidRDefault="005F4939" w:rsidP="005F4939">
      <w:pPr>
        <w:autoSpaceDE w:val="0"/>
        <w:autoSpaceDN w:val="0"/>
        <w:adjustRightInd w:val="0"/>
        <w:rPr>
          <w:rFonts w:ascii="Arial" w:eastAsiaTheme="minorEastAsia" w:hAnsi="Arial" w:cs="Arial"/>
          <w:b/>
          <w:lang w:eastAsia="bg-BG"/>
        </w:rPr>
      </w:pPr>
      <w:r w:rsidRPr="00D02E84">
        <w:rPr>
          <w:rFonts w:ascii="Arial" w:eastAsiaTheme="minorEastAsia" w:hAnsi="Arial" w:cs="Arial"/>
          <w:b/>
          <w:noProof/>
          <w:lang w:eastAsia="bg-BG"/>
        </w:rPr>
        <w:drawing>
          <wp:anchor distT="0" distB="0" distL="114300" distR="114300" simplePos="0" relativeHeight="251664384" behindDoc="0" locked="0" layoutInCell="1" allowOverlap="1" wp14:anchorId="50CF8D16" wp14:editId="456470F7">
            <wp:simplePos x="0" y="0"/>
            <wp:positionH relativeFrom="column">
              <wp:posOffset>-154305</wp:posOffset>
            </wp:positionH>
            <wp:positionV relativeFrom="paragraph">
              <wp:posOffset>430530</wp:posOffset>
            </wp:positionV>
            <wp:extent cx="5794375" cy="2776220"/>
            <wp:effectExtent l="171450" t="171450" r="377825" b="367030"/>
            <wp:wrapTopAndBottom/>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94375" cy="27762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02E84" w:rsidRPr="00D02E84">
        <w:rPr>
          <w:rFonts w:ascii="Arial" w:eastAsiaTheme="minorEastAsia" w:hAnsi="Arial" w:cs="Arial"/>
          <w:b/>
          <w:lang w:eastAsia="bg-BG"/>
        </w:rPr>
        <w:t>Движение на цената на оранжерийни домати през 2017 г.</w:t>
      </w:r>
    </w:p>
    <w:p w:rsidR="007C0DA7" w:rsidRPr="00326C4D" w:rsidRDefault="007C0DA7" w:rsidP="005F4939">
      <w:pPr>
        <w:autoSpaceDE w:val="0"/>
        <w:autoSpaceDN w:val="0"/>
        <w:adjustRightInd w:val="0"/>
        <w:rPr>
          <w:rFonts w:eastAsiaTheme="minorEastAsia" w:cs="Arial"/>
          <w:sz w:val="20"/>
          <w:szCs w:val="20"/>
          <w:lang w:eastAsia="bg-BG"/>
        </w:rPr>
      </w:pPr>
      <w:r w:rsidRPr="00326C4D">
        <w:rPr>
          <w:rFonts w:eastAsiaTheme="minorEastAsia" w:cs="Arial"/>
          <w:sz w:val="20"/>
          <w:szCs w:val="20"/>
          <w:lang w:eastAsia="bg-BG"/>
        </w:rPr>
        <w:t>Източник</w:t>
      </w:r>
      <w:r w:rsidR="001D38D4" w:rsidRPr="00326C4D">
        <w:rPr>
          <w:rFonts w:eastAsiaTheme="minorEastAsia" w:cs="Arial"/>
          <w:sz w:val="20"/>
          <w:szCs w:val="20"/>
          <w:lang w:eastAsia="bg-BG"/>
        </w:rPr>
        <w:t xml:space="preserve">: </w:t>
      </w:r>
      <w:r w:rsidRPr="00326C4D">
        <w:rPr>
          <w:rFonts w:eastAsiaTheme="minorEastAsia" w:cs="Arial"/>
          <w:sz w:val="20"/>
          <w:szCs w:val="20"/>
          <w:lang w:eastAsia="bg-BG"/>
        </w:rPr>
        <w:t xml:space="preserve"> ДКСБТ</w:t>
      </w:r>
      <w:r w:rsidR="001D38D4" w:rsidRPr="00326C4D">
        <w:rPr>
          <w:rFonts w:eastAsiaTheme="minorEastAsia" w:cs="Arial"/>
          <w:sz w:val="20"/>
          <w:szCs w:val="20"/>
          <w:lang w:eastAsia="bg-BG"/>
        </w:rPr>
        <w:t xml:space="preserve">, </w:t>
      </w:r>
      <w:r w:rsidRPr="00326C4D">
        <w:rPr>
          <w:rFonts w:eastAsiaTheme="minorEastAsia" w:cs="Arial"/>
          <w:sz w:val="20"/>
          <w:szCs w:val="20"/>
          <w:lang w:eastAsia="bg-BG"/>
        </w:rPr>
        <w:t xml:space="preserve"> 2017</w:t>
      </w:r>
      <w:r w:rsidR="001D38D4" w:rsidRPr="00326C4D">
        <w:rPr>
          <w:rFonts w:eastAsiaTheme="minorEastAsia" w:cs="Arial"/>
          <w:sz w:val="20"/>
          <w:szCs w:val="20"/>
          <w:lang w:eastAsia="bg-BG"/>
        </w:rPr>
        <w:t xml:space="preserve"> - Г</w:t>
      </w:r>
      <w:r w:rsidRPr="00326C4D">
        <w:rPr>
          <w:rFonts w:eastAsiaTheme="minorEastAsia" w:cs="Arial"/>
          <w:sz w:val="20"/>
          <w:szCs w:val="20"/>
          <w:lang w:eastAsia="bg-BG"/>
        </w:rPr>
        <w:t xml:space="preserve">одишен бюлетин </w:t>
      </w:r>
    </w:p>
    <w:p w:rsidR="003F5907" w:rsidRPr="003F5907" w:rsidRDefault="003F5907" w:rsidP="005F4939">
      <w:pPr>
        <w:autoSpaceDE w:val="0"/>
        <w:autoSpaceDN w:val="0"/>
        <w:adjustRightInd w:val="0"/>
        <w:rPr>
          <w:rFonts w:ascii="Arial" w:eastAsiaTheme="minorEastAsia" w:hAnsi="Arial" w:cs="Arial"/>
          <w:b/>
          <w:lang w:eastAsia="bg-BG"/>
        </w:rPr>
      </w:pPr>
    </w:p>
    <w:p w:rsidR="007C0DA7" w:rsidRPr="007C0DA7" w:rsidRDefault="007C0DA7" w:rsidP="007C0DA7">
      <w:pPr>
        <w:spacing w:line="360" w:lineRule="auto"/>
        <w:ind w:firstLine="720"/>
        <w:jc w:val="both"/>
        <w:rPr>
          <w:rFonts w:eastAsiaTheme="minorEastAsia" w:cs="Arial"/>
          <w:sz w:val="24"/>
          <w:szCs w:val="24"/>
          <w:lang w:eastAsia="bg-BG"/>
        </w:rPr>
      </w:pPr>
      <w:r w:rsidRPr="007C0DA7">
        <w:rPr>
          <w:rFonts w:eastAsiaTheme="minorEastAsia" w:cs="Arial"/>
          <w:sz w:val="24"/>
          <w:szCs w:val="24"/>
          <w:lang w:eastAsia="bg-BG"/>
        </w:rPr>
        <w:t xml:space="preserve">През 2017 г. движението на кривата на цената на едро на оранжерийните </w:t>
      </w:r>
      <w:r w:rsidRPr="00B2116D">
        <w:rPr>
          <w:rFonts w:eastAsiaTheme="minorEastAsia" w:cs="Arial"/>
          <w:b/>
          <w:sz w:val="24"/>
          <w:szCs w:val="24"/>
          <w:lang w:eastAsia="bg-BG"/>
        </w:rPr>
        <w:t>краставици</w:t>
      </w:r>
      <w:r w:rsidRPr="007C0DA7">
        <w:rPr>
          <w:rFonts w:eastAsiaTheme="minorEastAsia" w:cs="Arial"/>
          <w:sz w:val="24"/>
          <w:szCs w:val="24"/>
          <w:lang w:eastAsia="bg-BG"/>
        </w:rPr>
        <w:t xml:space="preserve"> повтаря тенденциите от предходните години. Най-високите зимни стойности са отчетени през м. февруари - 3,64 лв./кг и те са по-високи спрямо предходната година, но са на по-ниско ниво спрямо зимата на 2015 г. </w:t>
      </w:r>
    </w:p>
    <w:p w:rsidR="007C0DA7" w:rsidRPr="007C0DA7" w:rsidRDefault="007C0DA7" w:rsidP="007F6E21">
      <w:pPr>
        <w:spacing w:line="360" w:lineRule="auto"/>
        <w:ind w:firstLine="720"/>
        <w:jc w:val="both"/>
        <w:rPr>
          <w:rFonts w:eastAsiaTheme="minorEastAsia" w:cs="Arial"/>
          <w:sz w:val="24"/>
          <w:szCs w:val="24"/>
          <w:lang w:eastAsia="bg-BG"/>
        </w:rPr>
      </w:pPr>
      <w:r w:rsidRPr="007C0DA7">
        <w:rPr>
          <w:rFonts w:eastAsiaTheme="minorEastAsia" w:cs="Arial"/>
          <w:sz w:val="24"/>
          <w:szCs w:val="24"/>
          <w:lang w:eastAsia="bg-BG"/>
        </w:rPr>
        <w:t xml:space="preserve">След достигане на този максимум цената на оранжерийните краставици бързо започва да пада. През май се наблюдава стабилизиране на цените, след което кривата отново възвръща низходящия си </w:t>
      </w:r>
      <w:proofErr w:type="spellStart"/>
      <w:r w:rsidRPr="007C0DA7">
        <w:rPr>
          <w:rFonts w:eastAsiaTheme="minorEastAsia" w:cs="Arial"/>
          <w:sz w:val="24"/>
          <w:szCs w:val="24"/>
          <w:lang w:eastAsia="bg-BG"/>
        </w:rPr>
        <w:t>тренд</w:t>
      </w:r>
      <w:proofErr w:type="spellEnd"/>
      <w:r w:rsidRPr="007C0DA7">
        <w:rPr>
          <w:rFonts w:eastAsiaTheme="minorEastAsia" w:cs="Arial"/>
          <w:sz w:val="24"/>
          <w:szCs w:val="24"/>
          <w:lang w:eastAsia="bg-BG"/>
        </w:rPr>
        <w:t xml:space="preserve">. През юни кривата се стабилизира на ниво от около 0,89 лв./кг. В началото на юли цената </w:t>
      </w:r>
      <w:r w:rsidR="00B2116D">
        <w:rPr>
          <w:rFonts w:eastAsiaTheme="minorEastAsia" w:cs="Arial"/>
          <w:sz w:val="24"/>
          <w:szCs w:val="24"/>
          <w:lang w:eastAsia="bg-BG"/>
        </w:rPr>
        <w:t>достига</w:t>
      </w:r>
      <w:r w:rsidRPr="007C0DA7">
        <w:rPr>
          <w:rFonts w:eastAsiaTheme="minorEastAsia" w:cs="Arial"/>
          <w:sz w:val="24"/>
          <w:szCs w:val="24"/>
          <w:lang w:eastAsia="bg-BG"/>
        </w:rPr>
        <w:t xml:space="preserve"> ниво от 1.00 лв./кг. Нетипично движение на кривата се наблюдава през юли и август, когато цената на оранжерийните краставици се покачва и в началото на септември стига до нивата от м. май. През септември има спад на цените, без да бъде достигнат минимума от началото на юли. От началото на октомври се заражда трайна възходяща тенденция, </w:t>
      </w:r>
      <w:r w:rsidRPr="007C0DA7">
        <w:rPr>
          <w:rFonts w:eastAsiaTheme="minorEastAsia" w:cs="Arial"/>
          <w:sz w:val="24"/>
          <w:szCs w:val="24"/>
          <w:lang w:eastAsia="bg-BG"/>
        </w:rPr>
        <w:lastRenderedPageBreak/>
        <w:t xml:space="preserve">която се запазва до края на годината. Есенно </w:t>
      </w:r>
      <w:r w:rsidR="00B2116D">
        <w:rPr>
          <w:rFonts w:eastAsiaTheme="minorEastAsia" w:cs="Arial"/>
          <w:sz w:val="24"/>
          <w:szCs w:val="24"/>
          <w:lang w:eastAsia="bg-BG"/>
        </w:rPr>
        <w:t xml:space="preserve">- </w:t>
      </w:r>
      <w:r w:rsidRPr="007C0DA7">
        <w:rPr>
          <w:rFonts w:eastAsiaTheme="minorEastAsia" w:cs="Arial"/>
          <w:sz w:val="24"/>
          <w:szCs w:val="24"/>
          <w:lang w:eastAsia="bg-BG"/>
        </w:rPr>
        <w:t>зимното покачване на цената на оранжерийните краставици е 58%.</w:t>
      </w:r>
      <w:r w:rsidR="006475CC">
        <w:rPr>
          <w:rFonts w:eastAsiaTheme="minorEastAsia" w:cs="Arial"/>
          <w:sz w:val="24"/>
          <w:szCs w:val="24"/>
          <w:lang w:eastAsia="bg-BG"/>
        </w:rPr>
        <w:t xml:space="preserve"> </w:t>
      </w:r>
      <w:r w:rsidR="007F6E21">
        <w:rPr>
          <w:rFonts w:eastAsiaTheme="minorEastAsia" w:cs="Arial"/>
          <w:sz w:val="24"/>
          <w:szCs w:val="24"/>
          <w:lang w:eastAsia="bg-BG"/>
        </w:rPr>
        <w:t xml:space="preserve"> </w:t>
      </w:r>
      <w:r w:rsidRPr="007C0DA7">
        <w:rPr>
          <w:rFonts w:eastAsiaTheme="minorEastAsia" w:cs="Arial"/>
          <w:sz w:val="24"/>
          <w:szCs w:val="24"/>
          <w:lang w:eastAsia="bg-BG"/>
        </w:rPr>
        <w:t>Движението на цената на вносните краставици е аналогично на движението на цената на българските оранжерийни краставици, но е стабилизирана през по-голяма част от годината на по-ниско ниво. През м. юли все още има предлагане на вносни краставици, но цените им са по-високи от цените на българската продукция. В периода август - септември на пазара почти няма предлагане на вносни краставици. Маржът между цената на българските краставици и на тези от внос е най-голям в периодите февруари -март и ноември - декември.</w:t>
      </w:r>
    </w:p>
    <w:p w:rsidR="00B56252" w:rsidRPr="0076070C" w:rsidRDefault="007C0DA7" w:rsidP="0076070C">
      <w:pPr>
        <w:spacing w:line="360" w:lineRule="auto"/>
        <w:ind w:firstLine="720"/>
        <w:jc w:val="both"/>
        <w:rPr>
          <w:rFonts w:eastAsiaTheme="minorEastAsia" w:cs="Arial"/>
          <w:sz w:val="24"/>
          <w:szCs w:val="24"/>
          <w:lang w:eastAsia="bg-BG"/>
        </w:rPr>
      </w:pPr>
      <w:r w:rsidRPr="007C0DA7">
        <w:rPr>
          <w:rFonts w:eastAsiaTheme="minorEastAsia" w:cs="Arial"/>
          <w:sz w:val="24"/>
          <w:szCs w:val="24"/>
          <w:lang w:eastAsia="bg-BG"/>
        </w:rPr>
        <w:t xml:space="preserve">Количествата български краставици, които са се търгували средногодишно са малко по-големи, като относителният им дял спрямо общите продажби е 57%, а през летните месеци достига почти до 100%. </w:t>
      </w:r>
    </w:p>
    <w:p w:rsidR="006475CC" w:rsidRDefault="006475CC" w:rsidP="006475CC">
      <w:pPr>
        <w:spacing w:line="360" w:lineRule="auto"/>
        <w:jc w:val="both"/>
        <w:rPr>
          <w:rFonts w:eastAsiaTheme="minorEastAsia" w:cs="Arial"/>
          <w:b/>
          <w:sz w:val="24"/>
          <w:szCs w:val="24"/>
          <w:lang w:eastAsia="bg-BG"/>
        </w:rPr>
      </w:pPr>
      <w:r w:rsidRPr="006475CC">
        <w:rPr>
          <w:rFonts w:eastAsiaTheme="minorEastAsia" w:cs="Arial"/>
          <w:b/>
          <w:sz w:val="24"/>
          <w:szCs w:val="24"/>
          <w:lang w:eastAsia="bg-BG"/>
        </w:rPr>
        <w:t>Динамика на цената на едро на краставици през 2017г.</w:t>
      </w:r>
      <w:r w:rsidR="00362622">
        <w:rPr>
          <w:rFonts w:eastAsiaTheme="minorEastAsia" w:cs="Arial"/>
          <w:b/>
          <w:sz w:val="24"/>
          <w:szCs w:val="24"/>
          <w:lang w:eastAsia="bg-BG"/>
        </w:rPr>
        <w:t xml:space="preserve"> и за периода 1999 – 2017г.</w:t>
      </w:r>
    </w:p>
    <w:p w:rsidR="007C0DA7" w:rsidRPr="007C0DA7" w:rsidRDefault="007F6E21" w:rsidP="007C0DA7">
      <w:pPr>
        <w:spacing w:line="360" w:lineRule="auto"/>
        <w:jc w:val="both"/>
        <w:rPr>
          <w:rFonts w:eastAsiaTheme="minorEastAsia" w:cs="Arial"/>
          <w:sz w:val="24"/>
          <w:szCs w:val="24"/>
          <w:lang w:eastAsia="bg-BG"/>
        </w:rPr>
      </w:pPr>
      <w:r>
        <w:rPr>
          <w:noProof/>
          <w:lang w:eastAsia="bg-BG"/>
        </w:rPr>
        <mc:AlternateContent>
          <mc:Choice Requires="wps">
            <w:drawing>
              <wp:anchor distT="0" distB="0" distL="114300" distR="114300" simplePos="0" relativeHeight="251666432" behindDoc="0" locked="0" layoutInCell="1" allowOverlap="1" wp14:anchorId="68117D9B" wp14:editId="020C7FB3">
                <wp:simplePos x="0" y="0"/>
                <wp:positionH relativeFrom="column">
                  <wp:posOffset>77118</wp:posOffset>
                </wp:positionH>
                <wp:positionV relativeFrom="paragraph">
                  <wp:posOffset>4693958</wp:posOffset>
                </wp:positionV>
                <wp:extent cx="6081311" cy="264404"/>
                <wp:effectExtent l="0" t="0" r="0" b="2540"/>
                <wp:wrapNone/>
                <wp:docPr id="16" name="Text Box 16"/>
                <wp:cNvGraphicFramePr/>
                <a:graphic xmlns:a="http://schemas.openxmlformats.org/drawingml/2006/main">
                  <a:graphicData uri="http://schemas.microsoft.com/office/word/2010/wordprocessingShape">
                    <wps:wsp>
                      <wps:cNvSpPr txBox="1"/>
                      <wps:spPr>
                        <a:xfrm>
                          <a:off x="0" y="0"/>
                          <a:ext cx="6081311" cy="2644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519C" w:rsidRDefault="00025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6.05pt;margin-top:369.6pt;width:478.85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" fillcolor="white [3201]" stroked="f" strokeweight=".5pt">
                <v:textbox>
                  <w:txbxContent>
                    <w:p w:rsidR="0002519C" w:rsidRDefault="0002519C"/>
                  </w:txbxContent>
                </v:textbox>
              </v:shape>
            </w:pict>
          </mc:Fallback>
        </mc:AlternateContent>
      </w:r>
      <w:r w:rsidR="0076070C">
        <w:rPr>
          <w:noProof/>
          <w:lang w:eastAsia="bg-BG"/>
        </w:rPr>
        <w:drawing>
          <wp:inline distT="0" distB="0" distL="0" distR="0" wp14:anchorId="5DB44DA2" wp14:editId="69132321">
            <wp:extent cx="6092328" cy="4616067"/>
            <wp:effectExtent l="171450" t="171450" r="384810" b="3562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32755" cy="4646698"/>
                    </a:xfrm>
                    <a:prstGeom prst="rect">
                      <a:avLst/>
                    </a:prstGeom>
                    <a:ln>
                      <a:noFill/>
                    </a:ln>
                    <a:effectLst>
                      <a:outerShdw blurRad="292100" dist="139700" dir="2700000" algn="tl" rotWithShape="0">
                        <a:srgbClr val="333333">
                          <a:alpha val="65000"/>
                        </a:srgbClr>
                      </a:outerShdw>
                    </a:effectLst>
                  </pic:spPr>
                </pic:pic>
              </a:graphicData>
            </a:graphic>
          </wp:inline>
        </w:drawing>
      </w:r>
      <w:r w:rsidR="007B185F">
        <w:rPr>
          <w:noProof/>
          <w:lang w:eastAsia="bg-BG"/>
        </w:rPr>
        <mc:AlternateContent>
          <mc:Choice Requires="wps">
            <w:drawing>
              <wp:anchor distT="0" distB="0" distL="114300" distR="114300" simplePos="0" relativeHeight="251667456" behindDoc="0" locked="0" layoutInCell="1" allowOverlap="1" wp14:anchorId="1E379CAE" wp14:editId="56828412">
                <wp:simplePos x="0" y="0"/>
                <wp:positionH relativeFrom="column">
                  <wp:posOffset>12700</wp:posOffset>
                </wp:positionH>
                <wp:positionV relativeFrom="paragraph">
                  <wp:posOffset>6191885</wp:posOffset>
                </wp:positionV>
                <wp:extent cx="3423920" cy="213995"/>
                <wp:effectExtent l="0" t="0" r="5080" b="0"/>
                <wp:wrapNone/>
                <wp:docPr id="18" name="Text Box 18"/>
                <wp:cNvGraphicFramePr/>
                <a:graphic xmlns:a="http://schemas.openxmlformats.org/drawingml/2006/main">
                  <a:graphicData uri="http://schemas.microsoft.com/office/word/2010/wordprocessingShape">
                    <wps:wsp>
                      <wps:cNvSpPr txBox="1"/>
                      <wps:spPr>
                        <a:xfrm>
                          <a:off x="0" y="0"/>
                          <a:ext cx="3423920" cy="213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2519C" w:rsidRDefault="000251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1pt;margin-top:487.55pt;width:269.6pt;height:1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" fillcolor="white [3201]" stroked="f" strokeweight=".5pt">
                <v:textbox>
                  <w:txbxContent>
                    <w:p w:rsidR="0002519C" w:rsidRDefault="0002519C"/>
                  </w:txbxContent>
                </v:textbox>
              </v:shape>
            </w:pict>
          </mc:Fallback>
        </mc:AlternateContent>
      </w:r>
    </w:p>
    <w:p w:rsidR="007F6E21" w:rsidRPr="00326C4D" w:rsidRDefault="007F6E21" w:rsidP="00326C4D">
      <w:pPr>
        <w:autoSpaceDE w:val="0"/>
        <w:autoSpaceDN w:val="0"/>
        <w:adjustRightInd w:val="0"/>
        <w:ind w:firstLine="706"/>
        <w:rPr>
          <w:rFonts w:eastAsiaTheme="minorEastAsia" w:cs="Arial"/>
          <w:sz w:val="20"/>
          <w:szCs w:val="20"/>
          <w:lang w:eastAsia="bg-BG"/>
        </w:rPr>
      </w:pPr>
      <w:r w:rsidRPr="00326C4D">
        <w:rPr>
          <w:rFonts w:eastAsiaTheme="minorEastAsia" w:cs="Arial"/>
          <w:sz w:val="20"/>
          <w:szCs w:val="20"/>
          <w:lang w:eastAsia="bg-BG"/>
        </w:rPr>
        <w:t xml:space="preserve">Източник:  ДКСБТ,  2017 - Годишен бюлетин </w:t>
      </w:r>
    </w:p>
    <w:p w:rsidR="007F6E21" w:rsidRDefault="007F6E21" w:rsidP="001D38D4">
      <w:pPr>
        <w:spacing w:line="360" w:lineRule="auto"/>
        <w:ind w:firstLine="706"/>
        <w:jc w:val="both"/>
        <w:rPr>
          <w:rFonts w:eastAsiaTheme="minorEastAsia" w:cs="Arial"/>
          <w:b/>
          <w:sz w:val="28"/>
          <w:szCs w:val="28"/>
          <w:lang w:eastAsia="bg-BG"/>
        </w:rPr>
      </w:pPr>
    </w:p>
    <w:p w:rsidR="007C0DA7" w:rsidRDefault="00362622" w:rsidP="001D38D4">
      <w:pPr>
        <w:spacing w:line="360" w:lineRule="auto"/>
        <w:ind w:firstLine="706"/>
        <w:jc w:val="both"/>
        <w:rPr>
          <w:rFonts w:eastAsiaTheme="minorEastAsia" w:cs="Arial"/>
          <w:b/>
          <w:sz w:val="28"/>
          <w:szCs w:val="28"/>
          <w:lang w:eastAsia="bg-BG"/>
        </w:rPr>
      </w:pPr>
      <w:r w:rsidRPr="00362622">
        <w:rPr>
          <w:rFonts w:eastAsiaTheme="minorEastAsia" w:cs="Arial"/>
          <w:b/>
          <w:sz w:val="28"/>
          <w:szCs w:val="28"/>
          <w:lang w:eastAsia="bg-BG"/>
        </w:rPr>
        <w:t>Потребление на зеленчуци в страната</w:t>
      </w:r>
    </w:p>
    <w:p w:rsidR="0076070C" w:rsidRPr="00362622" w:rsidRDefault="0076070C" w:rsidP="001D38D4">
      <w:pPr>
        <w:spacing w:line="360" w:lineRule="auto"/>
        <w:ind w:firstLine="706"/>
        <w:jc w:val="both"/>
        <w:rPr>
          <w:rFonts w:eastAsiaTheme="minorEastAsia" w:cs="Arial"/>
          <w:b/>
          <w:sz w:val="28"/>
          <w:szCs w:val="28"/>
          <w:lang w:eastAsia="bg-BG"/>
        </w:rPr>
      </w:pPr>
    </w:p>
    <w:p w:rsidR="004871CE" w:rsidRDefault="00362622" w:rsidP="004871CE">
      <w:pPr>
        <w:spacing w:line="360" w:lineRule="auto"/>
        <w:ind w:firstLine="706"/>
        <w:jc w:val="both"/>
        <w:rPr>
          <w:rStyle w:val="FontStyle67"/>
          <w:rFonts w:asciiTheme="minorHAnsi" w:hAnsiTheme="minorHAnsi"/>
          <w:sz w:val="24"/>
          <w:szCs w:val="24"/>
          <w:lang w:eastAsia="bg-BG"/>
        </w:rPr>
      </w:pPr>
      <w:r w:rsidRPr="00362622">
        <w:rPr>
          <w:rStyle w:val="FontStyle67"/>
          <w:rFonts w:asciiTheme="minorHAnsi" w:hAnsiTheme="minorHAnsi"/>
          <w:sz w:val="24"/>
          <w:szCs w:val="24"/>
          <w:lang w:eastAsia="bg-BG"/>
        </w:rPr>
        <w:t>Оранжерийното производство осигурява на българския консуматор зеленчуци през период от годината, когато няма предлагане на зеленчуци</w:t>
      </w:r>
      <w:r w:rsidR="00D62FCF">
        <w:rPr>
          <w:rStyle w:val="FontStyle67"/>
          <w:rFonts w:asciiTheme="minorHAnsi" w:hAnsiTheme="minorHAnsi"/>
          <w:sz w:val="24"/>
          <w:szCs w:val="24"/>
          <w:lang w:eastAsia="bg-BG"/>
        </w:rPr>
        <w:t>,</w:t>
      </w:r>
      <w:r w:rsidRPr="00362622">
        <w:rPr>
          <w:rStyle w:val="FontStyle67"/>
          <w:rFonts w:asciiTheme="minorHAnsi" w:hAnsiTheme="minorHAnsi"/>
          <w:sz w:val="24"/>
          <w:szCs w:val="24"/>
          <w:lang w:eastAsia="bg-BG"/>
        </w:rPr>
        <w:t xml:space="preserve"> произведени от полското производство. Наред с това, българското оранжерийно производство се среща на пазара с внос на по-ниски ценови нива. Ретроспективен преглед на средногодишното потребление на зеленчуци на глава от домакинствата през последните 15 години, според данни на НСИ показва положителна тенденция на увеличение с около 12 кг. Като цяло обаче</w:t>
      </w:r>
      <w:r>
        <w:rPr>
          <w:rStyle w:val="FontStyle67"/>
          <w:rFonts w:asciiTheme="minorHAnsi" w:hAnsiTheme="minorHAnsi"/>
          <w:sz w:val="24"/>
          <w:szCs w:val="24"/>
          <w:lang w:eastAsia="bg-BG"/>
        </w:rPr>
        <w:t xml:space="preserve"> в страната ни се консумира 297</w:t>
      </w:r>
      <w:r w:rsidR="001D38D4">
        <w:rPr>
          <w:rStyle w:val="FontStyle67"/>
          <w:rFonts w:asciiTheme="minorHAnsi" w:hAnsiTheme="minorHAnsi"/>
          <w:sz w:val="24"/>
          <w:szCs w:val="24"/>
          <w:lang w:eastAsia="bg-BG"/>
        </w:rPr>
        <w:t xml:space="preserve"> </w:t>
      </w:r>
      <w:r w:rsidRPr="00362622">
        <w:rPr>
          <w:rStyle w:val="FontStyle67"/>
          <w:rFonts w:asciiTheme="minorHAnsi" w:hAnsiTheme="minorHAnsi"/>
          <w:sz w:val="24"/>
          <w:szCs w:val="24"/>
          <w:lang w:eastAsia="bg-BG"/>
        </w:rPr>
        <w:t xml:space="preserve">гр. </w:t>
      </w:r>
      <w:r w:rsidR="00F418C1" w:rsidRPr="00362622">
        <w:rPr>
          <w:rStyle w:val="FontStyle67"/>
          <w:rFonts w:asciiTheme="minorHAnsi" w:hAnsiTheme="minorHAnsi"/>
          <w:sz w:val="24"/>
          <w:szCs w:val="24"/>
          <w:lang w:eastAsia="bg-BG"/>
        </w:rPr>
        <w:t xml:space="preserve">плодове и зеленчуци </w:t>
      </w:r>
      <w:r w:rsidRPr="00362622">
        <w:rPr>
          <w:rStyle w:val="FontStyle67"/>
          <w:rFonts w:asciiTheme="minorHAnsi" w:hAnsiTheme="minorHAnsi"/>
          <w:sz w:val="24"/>
          <w:szCs w:val="24"/>
          <w:lang w:eastAsia="bg-BG"/>
        </w:rPr>
        <w:t xml:space="preserve">дневно </w:t>
      </w:r>
      <w:r w:rsidR="00F418C1">
        <w:rPr>
          <w:rStyle w:val="FontStyle67"/>
          <w:rFonts w:asciiTheme="minorHAnsi" w:hAnsiTheme="minorHAnsi"/>
          <w:sz w:val="24"/>
          <w:szCs w:val="24"/>
          <w:lang w:eastAsia="bg-BG"/>
        </w:rPr>
        <w:t>на глава от домакинството</w:t>
      </w:r>
      <w:r w:rsidRPr="00362622">
        <w:rPr>
          <w:rStyle w:val="FontStyle67"/>
          <w:rFonts w:asciiTheme="minorHAnsi" w:hAnsiTheme="minorHAnsi"/>
          <w:sz w:val="24"/>
          <w:szCs w:val="24"/>
          <w:lang w:eastAsia="bg-BG"/>
        </w:rPr>
        <w:t xml:space="preserve">, което е доста под определената от Световната здравна организация нетна дневна здравословна дажба от 400 гр. плодове и зеленчуци. Съществува тясна връзка между ниските доходи, социалните фактори и недостатъчното приемане на плодове и зеленчуци. </w:t>
      </w:r>
    </w:p>
    <w:p w:rsidR="00577147" w:rsidRDefault="00577147" w:rsidP="004871CE">
      <w:pPr>
        <w:spacing w:line="360" w:lineRule="auto"/>
        <w:ind w:firstLine="706"/>
        <w:jc w:val="both"/>
        <w:rPr>
          <w:rStyle w:val="FontStyle67"/>
          <w:rFonts w:asciiTheme="minorHAnsi" w:hAnsiTheme="minorHAnsi"/>
          <w:sz w:val="24"/>
          <w:szCs w:val="24"/>
          <w:lang w:eastAsia="bg-BG"/>
        </w:rPr>
      </w:pPr>
    </w:p>
    <w:p w:rsidR="004871CE" w:rsidRPr="004871CE" w:rsidRDefault="004871CE" w:rsidP="004871CE">
      <w:pPr>
        <w:ind w:firstLine="706"/>
        <w:rPr>
          <w:rFonts w:eastAsia="Times New Roman" w:cs="Times New Roman"/>
          <w:b/>
          <w:bCs/>
          <w:sz w:val="28"/>
          <w:szCs w:val="28"/>
        </w:rPr>
      </w:pPr>
      <w:r w:rsidRPr="004871CE">
        <w:rPr>
          <w:rFonts w:eastAsia="Times New Roman" w:cs="Times New Roman"/>
          <w:b/>
          <w:bCs/>
          <w:sz w:val="28"/>
          <w:szCs w:val="28"/>
        </w:rPr>
        <w:t>Потребление на зеленчуци / пресни и замразени /  средно на лице от домакинството, кг. 2012-2016г.</w:t>
      </w:r>
    </w:p>
    <w:p w:rsidR="004871CE" w:rsidRPr="004871CE" w:rsidRDefault="004871CE" w:rsidP="004871CE">
      <w:pPr>
        <w:jc w:val="center"/>
        <w:rPr>
          <w:rFonts w:cs="Times New Roman"/>
          <w:b/>
          <w:sz w:val="28"/>
          <w:szCs w:val="28"/>
        </w:rPr>
      </w:pPr>
      <w:r w:rsidRPr="004871CE">
        <w:rPr>
          <w:noProof/>
          <w:lang w:eastAsia="bg-BG"/>
        </w:rPr>
        <w:drawing>
          <wp:inline distT="0" distB="0" distL="0" distR="0" wp14:anchorId="70DC2804" wp14:editId="48F81A76">
            <wp:extent cx="5797898" cy="3064748"/>
            <wp:effectExtent l="0" t="0" r="12700" b="2159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871CE" w:rsidRPr="009813FF" w:rsidRDefault="004871CE" w:rsidP="004871CE">
      <w:pPr>
        <w:rPr>
          <w:rFonts w:cs="Times New Roman"/>
          <w:i/>
          <w:sz w:val="20"/>
          <w:szCs w:val="20"/>
        </w:rPr>
      </w:pPr>
      <w:r w:rsidRPr="004871CE">
        <w:rPr>
          <w:rFonts w:cs="Times New Roman"/>
          <w:b/>
          <w:sz w:val="20"/>
          <w:szCs w:val="20"/>
        </w:rPr>
        <w:t xml:space="preserve">     </w:t>
      </w:r>
      <w:r w:rsidRPr="009813FF">
        <w:rPr>
          <w:rFonts w:cs="Times New Roman"/>
          <w:i/>
          <w:sz w:val="20"/>
          <w:szCs w:val="20"/>
        </w:rPr>
        <w:t>Източник: НСИ,  Потребление на домакинствата</w:t>
      </w:r>
    </w:p>
    <w:p w:rsidR="004871CE" w:rsidRDefault="004871CE" w:rsidP="00BD05B9">
      <w:pPr>
        <w:pStyle w:val="Style10"/>
        <w:widowControl/>
        <w:spacing w:before="226" w:line="355" w:lineRule="exact"/>
        <w:ind w:firstLine="706"/>
        <w:rPr>
          <w:rFonts w:asciiTheme="minorHAnsi" w:hAnsiTheme="minorHAnsi"/>
          <w:lang w:val="bg-BG" w:eastAsia="bg-BG"/>
        </w:rPr>
      </w:pPr>
    </w:p>
    <w:p w:rsidR="007F6E21" w:rsidRDefault="007F6E21" w:rsidP="00BD05B9">
      <w:pPr>
        <w:pStyle w:val="Style10"/>
        <w:widowControl/>
        <w:spacing w:before="226" w:line="355" w:lineRule="exact"/>
        <w:ind w:firstLine="706"/>
        <w:rPr>
          <w:rFonts w:asciiTheme="minorHAnsi" w:hAnsiTheme="minorHAnsi"/>
          <w:lang w:val="bg-BG" w:eastAsia="bg-BG"/>
        </w:rPr>
      </w:pPr>
    </w:p>
    <w:p w:rsidR="007F6E21" w:rsidRPr="00BD05B9" w:rsidRDefault="007F6E21" w:rsidP="00BD05B9">
      <w:pPr>
        <w:pStyle w:val="Style10"/>
        <w:widowControl/>
        <w:spacing w:before="226" w:line="355" w:lineRule="exact"/>
        <w:ind w:firstLine="706"/>
        <w:rPr>
          <w:rFonts w:asciiTheme="minorHAnsi" w:hAnsiTheme="minorHAnsi"/>
          <w:lang w:val="bg-BG" w:eastAsia="bg-BG"/>
        </w:rPr>
      </w:pPr>
    </w:p>
    <w:p w:rsidR="007F6E21" w:rsidRDefault="007F6E21" w:rsidP="003724AC">
      <w:pPr>
        <w:ind w:firstLine="706"/>
        <w:jc w:val="both"/>
        <w:rPr>
          <w:rFonts w:eastAsiaTheme="minorEastAsia" w:cs="Arial"/>
          <w:b/>
          <w:sz w:val="32"/>
          <w:szCs w:val="32"/>
          <w:lang w:eastAsia="bg-BG"/>
        </w:rPr>
      </w:pPr>
    </w:p>
    <w:p w:rsidR="00BD05B9" w:rsidRPr="0076070C" w:rsidRDefault="00BD05B9" w:rsidP="003724AC">
      <w:pPr>
        <w:ind w:firstLine="706"/>
        <w:jc w:val="both"/>
        <w:rPr>
          <w:rFonts w:eastAsiaTheme="minorEastAsia" w:cs="Arial"/>
          <w:b/>
          <w:sz w:val="32"/>
          <w:szCs w:val="32"/>
          <w:lang w:eastAsia="bg-BG"/>
        </w:rPr>
      </w:pPr>
      <w:r w:rsidRPr="0076070C">
        <w:rPr>
          <w:rFonts w:eastAsiaTheme="minorEastAsia" w:cs="Arial"/>
          <w:b/>
          <w:sz w:val="32"/>
          <w:szCs w:val="32"/>
          <w:lang w:val="en-US" w:eastAsia="bg-BG"/>
        </w:rPr>
        <w:t xml:space="preserve">SWOT </w:t>
      </w:r>
      <w:r w:rsidRPr="0076070C">
        <w:rPr>
          <w:rFonts w:eastAsiaTheme="minorEastAsia" w:cs="Arial"/>
          <w:b/>
          <w:sz w:val="32"/>
          <w:szCs w:val="32"/>
          <w:lang w:eastAsia="bg-BG"/>
        </w:rPr>
        <w:t>анализ на българския оранжериен сектор</w:t>
      </w:r>
    </w:p>
    <w:tbl>
      <w:tblPr>
        <w:tblW w:w="9498" w:type="dxa"/>
        <w:tblInd w:w="40" w:type="dxa"/>
        <w:tblLayout w:type="fixed"/>
        <w:tblCellMar>
          <w:left w:w="40" w:type="dxa"/>
          <w:right w:w="40" w:type="dxa"/>
        </w:tblCellMar>
        <w:tblLook w:val="0000" w:firstRow="0" w:lastRow="0" w:firstColumn="0" w:lastColumn="0" w:noHBand="0" w:noVBand="0"/>
      </w:tblPr>
      <w:tblGrid>
        <w:gridCol w:w="4536"/>
        <w:gridCol w:w="4962"/>
      </w:tblGrid>
      <w:tr w:rsidR="00BD05B9" w:rsidRPr="00BD05B9" w:rsidTr="00BD05B9">
        <w:tc>
          <w:tcPr>
            <w:tcW w:w="4536"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rsidR="00BD05B9" w:rsidRPr="00BD05B9" w:rsidRDefault="00BD05B9" w:rsidP="00BD05B9">
            <w:pPr>
              <w:autoSpaceDE w:val="0"/>
              <w:autoSpaceDN w:val="0"/>
              <w:adjustRightInd w:val="0"/>
              <w:rPr>
                <w:rFonts w:ascii="Times New Roman" w:eastAsiaTheme="minorEastAsia" w:hAnsi="Times New Roman" w:cs="Times New Roman"/>
                <w:b/>
                <w:bCs/>
                <w:sz w:val="20"/>
                <w:szCs w:val="20"/>
                <w:lang w:eastAsia="bg-BG"/>
              </w:rPr>
            </w:pPr>
            <w:r w:rsidRPr="00816079">
              <w:rPr>
                <w:rFonts w:eastAsiaTheme="minorEastAsia" w:cs="Times New Roman"/>
                <w:b/>
                <w:bCs/>
                <w:sz w:val="24"/>
                <w:szCs w:val="24"/>
                <w:lang w:eastAsia="bg-BG"/>
              </w:rPr>
              <w:t>Силни страни</w:t>
            </w:r>
          </w:p>
        </w:tc>
        <w:tc>
          <w:tcPr>
            <w:tcW w:w="496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BD05B9" w:rsidRPr="00BD05B9" w:rsidRDefault="00BD05B9" w:rsidP="00BD05B9">
            <w:pPr>
              <w:autoSpaceDE w:val="0"/>
              <w:autoSpaceDN w:val="0"/>
              <w:adjustRightInd w:val="0"/>
              <w:rPr>
                <w:rFonts w:ascii="Times New Roman" w:eastAsiaTheme="minorEastAsia" w:hAnsi="Times New Roman" w:cs="Times New Roman"/>
                <w:b/>
                <w:bCs/>
                <w:sz w:val="20"/>
                <w:szCs w:val="20"/>
                <w:lang w:eastAsia="bg-BG"/>
              </w:rPr>
            </w:pPr>
            <w:r w:rsidRPr="00816079">
              <w:rPr>
                <w:rFonts w:eastAsiaTheme="minorEastAsia" w:cs="Times New Roman"/>
                <w:b/>
                <w:bCs/>
                <w:sz w:val="24"/>
                <w:szCs w:val="24"/>
                <w:lang w:eastAsia="bg-BG"/>
              </w:rPr>
              <w:t>Слаби страни</w:t>
            </w:r>
          </w:p>
        </w:tc>
      </w:tr>
      <w:tr w:rsidR="00BD05B9" w:rsidRPr="00BD05B9" w:rsidTr="00BD05B9">
        <w:tc>
          <w:tcPr>
            <w:tcW w:w="4536"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rsidR="00BD05B9" w:rsidRPr="00963A1E" w:rsidRDefault="00BD05B9" w:rsidP="00BD05B9">
            <w:pPr>
              <w:tabs>
                <w:tab w:val="left" w:pos="754"/>
              </w:tabs>
              <w:autoSpaceDE w:val="0"/>
              <w:autoSpaceDN w:val="0"/>
              <w:adjustRightInd w:val="0"/>
              <w:ind w:left="638" w:hanging="336"/>
              <w:rPr>
                <w:rFonts w:eastAsiaTheme="minorEastAsia" w:cs="Times New Roman"/>
                <w:sz w:val="24"/>
                <w:szCs w:val="24"/>
                <w:lang w:val="en-US" w:eastAsia="bg-BG"/>
              </w:rPr>
            </w:pPr>
            <w:r w:rsidRPr="00BD05B9">
              <w:rPr>
                <w:rFonts w:eastAsiaTheme="minorEastAsia" w:cs="Times New Roman"/>
                <w:sz w:val="24"/>
                <w:szCs w:val="24"/>
                <w:lang w:eastAsia="bg-BG"/>
              </w:rPr>
              <w:t>•</w:t>
            </w:r>
            <w:r w:rsidRPr="00BD05B9">
              <w:rPr>
                <w:rFonts w:eastAsiaTheme="minorEastAsia" w:cs="Times New Roman"/>
                <w:sz w:val="24"/>
                <w:szCs w:val="24"/>
                <w:lang w:eastAsia="bg-BG"/>
              </w:rPr>
              <w:tab/>
              <w:t>Подходящи в повечето райони на страната климатични фактори за оранжерийно производство, доближаващи с</w:t>
            </w:r>
            <w:r w:rsidR="00963A1E">
              <w:rPr>
                <w:rFonts w:eastAsiaTheme="minorEastAsia" w:cs="Times New Roman"/>
                <w:sz w:val="24"/>
                <w:szCs w:val="24"/>
                <w:lang w:eastAsia="bg-BG"/>
              </w:rPr>
              <w:t>е до тези в субтропическия пояс</w:t>
            </w:r>
            <w:r w:rsidR="00963A1E">
              <w:rPr>
                <w:rFonts w:eastAsiaTheme="minorEastAsia" w:cs="Times New Roman"/>
                <w:sz w:val="24"/>
                <w:szCs w:val="24"/>
                <w:lang w:val="en-US" w:eastAsia="bg-BG"/>
              </w:rPr>
              <w:t>;</w:t>
            </w:r>
          </w:p>
          <w:p w:rsidR="00BD05B9" w:rsidRPr="00963A1E" w:rsidRDefault="002E263B" w:rsidP="00BD05B9">
            <w:pPr>
              <w:tabs>
                <w:tab w:val="left" w:pos="754"/>
              </w:tabs>
              <w:autoSpaceDE w:val="0"/>
              <w:autoSpaceDN w:val="0"/>
              <w:adjustRightInd w:val="0"/>
              <w:ind w:left="302"/>
              <w:rPr>
                <w:rFonts w:eastAsiaTheme="minorEastAsia" w:cs="Times New Roman"/>
                <w:sz w:val="24"/>
                <w:szCs w:val="24"/>
                <w:lang w:val="en-US" w:eastAsia="bg-BG"/>
              </w:rPr>
            </w:pPr>
            <w:r>
              <w:rPr>
                <w:rFonts w:eastAsiaTheme="minorEastAsia" w:cs="Times New Roman"/>
                <w:sz w:val="24"/>
                <w:szCs w:val="24"/>
                <w:lang w:eastAsia="bg-BG"/>
              </w:rPr>
              <w:t xml:space="preserve">•   </w:t>
            </w:r>
            <w:r w:rsidR="00BD05B9" w:rsidRPr="00BD05B9">
              <w:rPr>
                <w:rFonts w:eastAsiaTheme="minorEastAsia" w:cs="Times New Roman"/>
                <w:sz w:val="24"/>
                <w:szCs w:val="24"/>
                <w:lang w:eastAsia="bg-BG"/>
              </w:rPr>
              <w:t>Достатъчен експертен опит и научен потенциал</w:t>
            </w:r>
            <w:r w:rsidR="00963A1E">
              <w:rPr>
                <w:rFonts w:eastAsiaTheme="minorEastAsia" w:cs="Times New Roman"/>
                <w:sz w:val="24"/>
                <w:szCs w:val="24"/>
                <w:lang w:val="en-US" w:eastAsia="bg-BG"/>
              </w:rPr>
              <w:t>;</w:t>
            </w:r>
          </w:p>
          <w:p w:rsidR="00BD05B9" w:rsidRPr="00963A1E" w:rsidRDefault="002E263B" w:rsidP="00BD05B9">
            <w:pPr>
              <w:tabs>
                <w:tab w:val="left" w:pos="754"/>
              </w:tabs>
              <w:autoSpaceDE w:val="0"/>
              <w:autoSpaceDN w:val="0"/>
              <w:adjustRightInd w:val="0"/>
              <w:ind w:left="302"/>
              <w:rPr>
                <w:rFonts w:eastAsiaTheme="minorEastAsia" w:cs="Times New Roman"/>
                <w:sz w:val="24"/>
                <w:szCs w:val="24"/>
                <w:lang w:val="en-US" w:eastAsia="bg-BG"/>
              </w:rPr>
            </w:pPr>
            <w:r>
              <w:rPr>
                <w:rFonts w:eastAsiaTheme="minorEastAsia" w:cs="Times New Roman"/>
                <w:sz w:val="24"/>
                <w:szCs w:val="24"/>
                <w:lang w:eastAsia="bg-BG"/>
              </w:rPr>
              <w:t xml:space="preserve">•   </w:t>
            </w:r>
            <w:r w:rsidR="00BD05B9" w:rsidRPr="00BD05B9">
              <w:rPr>
                <w:rFonts w:eastAsiaTheme="minorEastAsia" w:cs="Times New Roman"/>
                <w:sz w:val="24"/>
                <w:szCs w:val="24"/>
                <w:lang w:eastAsia="bg-BG"/>
              </w:rPr>
              <w:t>Опит в отглеждането на оранжерийни култури</w:t>
            </w:r>
            <w:r w:rsidR="00963A1E">
              <w:rPr>
                <w:rFonts w:eastAsiaTheme="minorEastAsia" w:cs="Times New Roman"/>
                <w:sz w:val="24"/>
                <w:szCs w:val="24"/>
                <w:lang w:val="en-US" w:eastAsia="bg-BG"/>
              </w:rPr>
              <w:t>;</w:t>
            </w:r>
          </w:p>
          <w:p w:rsidR="00BD05B9" w:rsidRPr="00963A1E" w:rsidRDefault="00BD05B9" w:rsidP="00BD05B9">
            <w:pPr>
              <w:tabs>
                <w:tab w:val="left" w:pos="754"/>
              </w:tabs>
              <w:autoSpaceDE w:val="0"/>
              <w:autoSpaceDN w:val="0"/>
              <w:adjustRightInd w:val="0"/>
              <w:ind w:left="638" w:hanging="336"/>
              <w:rPr>
                <w:rFonts w:eastAsiaTheme="minorEastAsia" w:cs="Times New Roman"/>
                <w:sz w:val="24"/>
                <w:szCs w:val="24"/>
                <w:lang w:val="en-US" w:eastAsia="bg-BG"/>
              </w:rPr>
            </w:pPr>
            <w:r w:rsidRPr="00BD05B9">
              <w:rPr>
                <w:rFonts w:eastAsiaTheme="minorEastAsia" w:cs="Times New Roman"/>
                <w:sz w:val="24"/>
                <w:szCs w:val="24"/>
                <w:lang w:eastAsia="bg-BG"/>
              </w:rPr>
              <w:t>•</w:t>
            </w:r>
            <w:r w:rsidRPr="00BD05B9">
              <w:rPr>
                <w:rFonts w:eastAsiaTheme="minorEastAsia" w:cs="Times New Roman"/>
                <w:sz w:val="24"/>
                <w:szCs w:val="24"/>
                <w:lang w:eastAsia="bg-BG"/>
              </w:rPr>
              <w:tab/>
              <w:t>Съществуване на свободни, изградени, но неработещи оран</w:t>
            </w:r>
            <w:r w:rsidR="00963A1E">
              <w:rPr>
                <w:rFonts w:eastAsiaTheme="minorEastAsia" w:cs="Times New Roman"/>
                <w:sz w:val="24"/>
                <w:szCs w:val="24"/>
                <w:lang w:eastAsia="bg-BG"/>
              </w:rPr>
              <w:t>жерийни комплекси</w:t>
            </w:r>
            <w:r w:rsidR="00963A1E">
              <w:rPr>
                <w:rFonts w:eastAsiaTheme="minorEastAsia" w:cs="Times New Roman"/>
                <w:sz w:val="24"/>
                <w:szCs w:val="24"/>
                <w:lang w:val="en-US" w:eastAsia="bg-BG"/>
              </w:rPr>
              <w:t>;</w:t>
            </w:r>
          </w:p>
          <w:p w:rsidR="00BD05B9" w:rsidRPr="00963A1E" w:rsidRDefault="00BD05B9" w:rsidP="00BD05B9">
            <w:pPr>
              <w:tabs>
                <w:tab w:val="left" w:pos="754"/>
              </w:tabs>
              <w:autoSpaceDE w:val="0"/>
              <w:autoSpaceDN w:val="0"/>
              <w:adjustRightInd w:val="0"/>
              <w:ind w:left="638" w:hanging="336"/>
              <w:rPr>
                <w:rFonts w:eastAsiaTheme="minorEastAsia" w:cs="Times New Roman"/>
                <w:sz w:val="24"/>
                <w:szCs w:val="24"/>
                <w:lang w:val="en-US" w:eastAsia="bg-BG"/>
              </w:rPr>
            </w:pPr>
            <w:r w:rsidRPr="00BD05B9">
              <w:rPr>
                <w:rFonts w:eastAsiaTheme="minorEastAsia" w:cs="Times New Roman"/>
                <w:sz w:val="24"/>
                <w:szCs w:val="24"/>
                <w:lang w:eastAsia="bg-BG"/>
              </w:rPr>
              <w:t>•</w:t>
            </w:r>
            <w:r w:rsidRPr="00BD05B9">
              <w:rPr>
                <w:rFonts w:eastAsiaTheme="minorEastAsia" w:cs="Times New Roman"/>
                <w:sz w:val="24"/>
                <w:szCs w:val="24"/>
                <w:lang w:eastAsia="bg-BG"/>
              </w:rPr>
              <w:tab/>
              <w:t>По-ниско  заплащане   на  временната  работна  сила  в</w:t>
            </w:r>
            <w:r w:rsidR="00963A1E">
              <w:rPr>
                <w:rFonts w:eastAsiaTheme="minorEastAsia" w:cs="Times New Roman"/>
                <w:sz w:val="24"/>
                <w:szCs w:val="24"/>
                <w:lang w:eastAsia="bg-BG"/>
              </w:rPr>
              <w:t xml:space="preserve"> сравнение с други страни на ЕС</w:t>
            </w:r>
            <w:r w:rsidR="00963A1E">
              <w:rPr>
                <w:rFonts w:eastAsiaTheme="minorEastAsia" w:cs="Times New Roman"/>
                <w:sz w:val="24"/>
                <w:szCs w:val="24"/>
                <w:lang w:val="en-US" w:eastAsia="bg-BG"/>
              </w:rPr>
              <w:t>;</w:t>
            </w:r>
          </w:p>
          <w:p w:rsidR="00BD05B9" w:rsidRPr="00BD05B9" w:rsidRDefault="002E263B" w:rsidP="00BD05B9">
            <w:pPr>
              <w:tabs>
                <w:tab w:val="left" w:pos="754"/>
              </w:tabs>
              <w:autoSpaceDE w:val="0"/>
              <w:autoSpaceDN w:val="0"/>
              <w:adjustRightInd w:val="0"/>
              <w:ind w:left="302"/>
              <w:rPr>
                <w:rFonts w:eastAsiaTheme="minorEastAsia" w:cs="Times New Roman"/>
                <w:sz w:val="24"/>
                <w:szCs w:val="24"/>
                <w:lang w:eastAsia="bg-BG"/>
              </w:rPr>
            </w:pPr>
            <w:r>
              <w:rPr>
                <w:rFonts w:eastAsiaTheme="minorEastAsia" w:cs="Times New Roman"/>
                <w:sz w:val="24"/>
                <w:szCs w:val="24"/>
                <w:lang w:eastAsia="bg-BG"/>
              </w:rPr>
              <w:t xml:space="preserve">•    </w:t>
            </w:r>
            <w:r w:rsidR="00BD05B9" w:rsidRPr="00BD05B9">
              <w:rPr>
                <w:rFonts w:eastAsiaTheme="minorEastAsia" w:cs="Times New Roman"/>
                <w:sz w:val="24"/>
                <w:szCs w:val="24"/>
                <w:lang w:eastAsia="bg-BG"/>
              </w:rPr>
              <w:t>Добре организиран браншови съюз.</w:t>
            </w:r>
          </w:p>
        </w:tc>
        <w:tc>
          <w:tcPr>
            <w:tcW w:w="496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BD05B9" w:rsidRPr="00963A1E" w:rsidRDefault="00BD05B9" w:rsidP="00BD05B9">
            <w:pPr>
              <w:tabs>
                <w:tab w:val="left" w:pos="643"/>
              </w:tabs>
              <w:autoSpaceDE w:val="0"/>
              <w:autoSpaceDN w:val="0"/>
              <w:adjustRightInd w:val="0"/>
              <w:ind w:left="336" w:hanging="336"/>
              <w:rPr>
                <w:rFonts w:eastAsiaTheme="minorEastAsia" w:cs="Times New Roman"/>
                <w:sz w:val="24"/>
                <w:szCs w:val="24"/>
                <w:lang w:val="en-US" w:eastAsia="bg-BG"/>
              </w:rPr>
            </w:pPr>
            <w:r w:rsidRPr="00BD05B9">
              <w:rPr>
                <w:rFonts w:eastAsiaTheme="minorEastAsia" w:cs="Times New Roman"/>
                <w:sz w:val="24"/>
                <w:szCs w:val="24"/>
                <w:lang w:eastAsia="bg-BG"/>
              </w:rPr>
              <w:t>•</w:t>
            </w:r>
            <w:r w:rsidRPr="00BD05B9">
              <w:rPr>
                <w:rFonts w:eastAsiaTheme="minorEastAsia" w:cs="Times New Roman"/>
                <w:sz w:val="24"/>
                <w:szCs w:val="24"/>
                <w:lang w:eastAsia="bg-BG"/>
              </w:rPr>
              <w:tab/>
              <w:t>Наличие   на   стари   оранжерийни   комплекси,   което ограничава възможностите за използване на иновации</w:t>
            </w:r>
            <w:r w:rsidR="00963A1E">
              <w:rPr>
                <w:rFonts w:eastAsiaTheme="minorEastAsia" w:cs="Times New Roman"/>
                <w:sz w:val="24"/>
                <w:szCs w:val="24"/>
                <w:lang w:val="en-US" w:eastAsia="bg-BG"/>
              </w:rPr>
              <w:t>;</w:t>
            </w:r>
          </w:p>
          <w:p w:rsidR="00BD05B9" w:rsidRPr="00963A1E" w:rsidRDefault="002E263B" w:rsidP="00BD05B9">
            <w:pPr>
              <w:tabs>
                <w:tab w:val="left" w:pos="643"/>
              </w:tabs>
              <w:autoSpaceDE w:val="0"/>
              <w:autoSpaceDN w:val="0"/>
              <w:adjustRightInd w:val="0"/>
              <w:rPr>
                <w:rFonts w:eastAsiaTheme="minorEastAsia" w:cs="Times New Roman"/>
                <w:sz w:val="24"/>
                <w:szCs w:val="24"/>
                <w:lang w:val="en-US" w:eastAsia="bg-BG"/>
              </w:rPr>
            </w:pPr>
            <w:r>
              <w:rPr>
                <w:rFonts w:eastAsiaTheme="minorEastAsia" w:cs="Times New Roman"/>
                <w:sz w:val="24"/>
                <w:szCs w:val="24"/>
                <w:lang w:eastAsia="bg-BG"/>
              </w:rPr>
              <w:t xml:space="preserve">•    </w:t>
            </w:r>
            <w:r w:rsidR="00BD05B9" w:rsidRPr="00BD05B9">
              <w:rPr>
                <w:rFonts w:eastAsiaTheme="minorEastAsia" w:cs="Times New Roman"/>
                <w:sz w:val="24"/>
                <w:szCs w:val="24"/>
                <w:lang w:eastAsia="bg-BG"/>
              </w:rPr>
              <w:t>Висока цена на енергията, семената и другите препарати</w:t>
            </w:r>
            <w:r w:rsidR="00963A1E">
              <w:rPr>
                <w:rFonts w:eastAsiaTheme="minorEastAsia" w:cs="Times New Roman"/>
                <w:sz w:val="24"/>
                <w:szCs w:val="24"/>
                <w:lang w:val="en-US" w:eastAsia="bg-BG"/>
              </w:rPr>
              <w:t>;</w:t>
            </w:r>
          </w:p>
          <w:p w:rsidR="00BD05B9" w:rsidRPr="00963A1E" w:rsidRDefault="002E263B" w:rsidP="00BD05B9">
            <w:pPr>
              <w:tabs>
                <w:tab w:val="left" w:pos="643"/>
              </w:tabs>
              <w:autoSpaceDE w:val="0"/>
              <w:autoSpaceDN w:val="0"/>
              <w:adjustRightInd w:val="0"/>
              <w:rPr>
                <w:rFonts w:eastAsiaTheme="minorEastAsia" w:cs="Times New Roman"/>
                <w:sz w:val="24"/>
                <w:szCs w:val="24"/>
                <w:lang w:val="en-US" w:eastAsia="bg-BG"/>
              </w:rPr>
            </w:pPr>
            <w:r>
              <w:rPr>
                <w:rFonts w:eastAsiaTheme="minorEastAsia" w:cs="Times New Roman"/>
                <w:sz w:val="24"/>
                <w:szCs w:val="24"/>
                <w:lang w:eastAsia="bg-BG"/>
              </w:rPr>
              <w:t xml:space="preserve">•    </w:t>
            </w:r>
            <w:r w:rsidR="00BD05B9" w:rsidRPr="00BD05B9">
              <w:rPr>
                <w:rFonts w:eastAsiaTheme="minorEastAsia" w:cs="Times New Roman"/>
                <w:sz w:val="24"/>
                <w:szCs w:val="24"/>
                <w:lang w:eastAsia="bg-BG"/>
              </w:rPr>
              <w:t>Слаба интензивност на производството и ниски добиви</w:t>
            </w:r>
            <w:r w:rsidR="00963A1E">
              <w:rPr>
                <w:rFonts w:eastAsiaTheme="minorEastAsia" w:cs="Times New Roman"/>
                <w:sz w:val="24"/>
                <w:szCs w:val="24"/>
                <w:lang w:val="en-US" w:eastAsia="bg-BG"/>
              </w:rPr>
              <w:t>;</w:t>
            </w:r>
          </w:p>
          <w:p w:rsidR="00BD05B9" w:rsidRPr="00963A1E" w:rsidRDefault="002E263B" w:rsidP="00BD05B9">
            <w:pPr>
              <w:tabs>
                <w:tab w:val="left" w:pos="643"/>
              </w:tabs>
              <w:autoSpaceDE w:val="0"/>
              <w:autoSpaceDN w:val="0"/>
              <w:adjustRightInd w:val="0"/>
              <w:rPr>
                <w:rFonts w:eastAsiaTheme="minorEastAsia" w:cs="Times New Roman"/>
                <w:sz w:val="24"/>
                <w:szCs w:val="24"/>
                <w:lang w:val="en-US" w:eastAsia="bg-BG"/>
              </w:rPr>
            </w:pPr>
            <w:r>
              <w:rPr>
                <w:rFonts w:eastAsiaTheme="minorEastAsia" w:cs="Times New Roman"/>
                <w:sz w:val="24"/>
                <w:szCs w:val="24"/>
                <w:lang w:eastAsia="bg-BG"/>
              </w:rPr>
              <w:t xml:space="preserve">•   </w:t>
            </w:r>
            <w:r w:rsidR="00BD05B9" w:rsidRPr="00BD05B9">
              <w:rPr>
                <w:rFonts w:eastAsiaTheme="minorEastAsia" w:cs="Times New Roman"/>
                <w:sz w:val="24"/>
                <w:szCs w:val="24"/>
                <w:lang w:eastAsia="bg-BG"/>
              </w:rPr>
              <w:t>Ограничен асортимент и липса на търговски марки</w:t>
            </w:r>
            <w:r w:rsidR="00963A1E">
              <w:rPr>
                <w:rFonts w:eastAsiaTheme="minorEastAsia" w:cs="Times New Roman"/>
                <w:sz w:val="24"/>
                <w:szCs w:val="24"/>
                <w:lang w:val="en-US" w:eastAsia="bg-BG"/>
              </w:rPr>
              <w:t>;</w:t>
            </w:r>
          </w:p>
          <w:p w:rsidR="00BD05B9" w:rsidRPr="00963A1E" w:rsidRDefault="00BD05B9" w:rsidP="00BD05B9">
            <w:pPr>
              <w:tabs>
                <w:tab w:val="left" w:pos="643"/>
              </w:tabs>
              <w:autoSpaceDE w:val="0"/>
              <w:autoSpaceDN w:val="0"/>
              <w:adjustRightInd w:val="0"/>
              <w:ind w:left="336" w:hanging="336"/>
              <w:rPr>
                <w:rFonts w:eastAsiaTheme="minorEastAsia" w:cs="Times New Roman"/>
                <w:sz w:val="24"/>
                <w:szCs w:val="24"/>
                <w:lang w:val="en-US" w:eastAsia="bg-BG"/>
              </w:rPr>
            </w:pPr>
            <w:r w:rsidRPr="00BD05B9">
              <w:rPr>
                <w:rFonts w:eastAsiaTheme="minorEastAsia" w:cs="Times New Roman"/>
                <w:sz w:val="24"/>
                <w:szCs w:val="24"/>
                <w:lang w:eastAsia="bg-BG"/>
              </w:rPr>
              <w:t>•</w:t>
            </w:r>
            <w:r w:rsidRPr="00BD05B9">
              <w:rPr>
                <w:rFonts w:eastAsiaTheme="minorEastAsia" w:cs="Times New Roman"/>
                <w:sz w:val="24"/>
                <w:szCs w:val="24"/>
                <w:lang w:eastAsia="bg-BG"/>
              </w:rPr>
              <w:tab/>
              <w:t>Влошена възрастова структура на заетите в сектора и критичен дефицит от намирането на квалифи</w:t>
            </w:r>
            <w:r w:rsidR="00963A1E">
              <w:rPr>
                <w:rFonts w:eastAsiaTheme="minorEastAsia" w:cs="Times New Roman"/>
                <w:sz w:val="24"/>
                <w:szCs w:val="24"/>
                <w:lang w:eastAsia="bg-BG"/>
              </w:rPr>
              <w:t>цирана и отговорна работна ръка</w:t>
            </w:r>
            <w:r w:rsidR="00963A1E">
              <w:rPr>
                <w:rFonts w:eastAsiaTheme="minorEastAsia" w:cs="Times New Roman"/>
                <w:sz w:val="24"/>
                <w:szCs w:val="24"/>
                <w:lang w:val="en-US" w:eastAsia="bg-BG"/>
              </w:rPr>
              <w:t>;</w:t>
            </w:r>
          </w:p>
          <w:p w:rsidR="00BD05B9" w:rsidRPr="00963A1E" w:rsidRDefault="00BD05B9" w:rsidP="00BD05B9">
            <w:pPr>
              <w:tabs>
                <w:tab w:val="left" w:pos="643"/>
              </w:tabs>
              <w:autoSpaceDE w:val="0"/>
              <w:autoSpaceDN w:val="0"/>
              <w:adjustRightInd w:val="0"/>
              <w:ind w:left="336" w:hanging="336"/>
              <w:rPr>
                <w:rFonts w:eastAsiaTheme="minorEastAsia" w:cs="Times New Roman"/>
                <w:sz w:val="24"/>
                <w:szCs w:val="24"/>
                <w:lang w:val="en-US" w:eastAsia="bg-BG"/>
              </w:rPr>
            </w:pPr>
            <w:r w:rsidRPr="00BD05B9">
              <w:rPr>
                <w:rFonts w:eastAsiaTheme="minorEastAsia" w:cs="Times New Roman"/>
                <w:sz w:val="24"/>
                <w:szCs w:val="24"/>
                <w:lang w:eastAsia="bg-BG"/>
              </w:rPr>
              <w:t>•</w:t>
            </w:r>
            <w:r w:rsidRPr="00BD05B9">
              <w:rPr>
                <w:rFonts w:eastAsiaTheme="minorEastAsia" w:cs="Times New Roman"/>
                <w:sz w:val="24"/>
                <w:szCs w:val="24"/>
                <w:lang w:eastAsia="bg-BG"/>
              </w:rPr>
              <w:tab/>
              <w:t>Ниски нива на организираност на производителите в сектора, особено н</w:t>
            </w:r>
            <w:r w:rsidR="00963A1E">
              <w:rPr>
                <w:rFonts w:eastAsiaTheme="minorEastAsia" w:cs="Times New Roman"/>
                <w:sz w:val="24"/>
                <w:szCs w:val="24"/>
                <w:lang w:eastAsia="bg-BG"/>
              </w:rPr>
              <w:t>а фона на голямата раздробеност</w:t>
            </w:r>
            <w:r w:rsidR="00963A1E">
              <w:rPr>
                <w:rFonts w:eastAsiaTheme="minorEastAsia" w:cs="Times New Roman"/>
                <w:sz w:val="24"/>
                <w:szCs w:val="24"/>
                <w:lang w:val="en-US" w:eastAsia="bg-BG"/>
              </w:rPr>
              <w:t>;</w:t>
            </w:r>
          </w:p>
          <w:p w:rsidR="00BD05B9" w:rsidRPr="00BD05B9" w:rsidRDefault="002E263B" w:rsidP="00BD05B9">
            <w:pPr>
              <w:autoSpaceDE w:val="0"/>
              <w:autoSpaceDN w:val="0"/>
              <w:adjustRightInd w:val="0"/>
              <w:rPr>
                <w:rFonts w:eastAsiaTheme="minorEastAsia" w:cs="Times New Roman"/>
                <w:sz w:val="24"/>
                <w:szCs w:val="24"/>
                <w:lang w:eastAsia="bg-BG"/>
              </w:rPr>
            </w:pPr>
            <w:r>
              <w:rPr>
                <w:rFonts w:eastAsiaTheme="minorEastAsia" w:cs="Times New Roman"/>
                <w:sz w:val="24"/>
                <w:szCs w:val="24"/>
                <w:lang w:eastAsia="bg-BG"/>
              </w:rPr>
              <w:t xml:space="preserve">•    </w:t>
            </w:r>
            <w:r w:rsidR="00BD05B9" w:rsidRPr="00BD05B9">
              <w:rPr>
                <w:rFonts w:eastAsiaTheme="minorEastAsia" w:cs="Times New Roman"/>
                <w:sz w:val="24"/>
                <w:szCs w:val="24"/>
                <w:lang w:eastAsia="bg-BG"/>
              </w:rPr>
              <w:t>Недостатъчен финансов капацитет за инвестиране.</w:t>
            </w:r>
          </w:p>
        </w:tc>
      </w:tr>
      <w:tr w:rsidR="00BD05B9" w:rsidRPr="00BD05B9" w:rsidTr="00BD05B9">
        <w:tc>
          <w:tcPr>
            <w:tcW w:w="4536"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rsidR="00BD05B9" w:rsidRPr="00BD05B9" w:rsidRDefault="00BD05B9" w:rsidP="00BD05B9">
            <w:pPr>
              <w:autoSpaceDE w:val="0"/>
              <w:autoSpaceDN w:val="0"/>
              <w:adjustRightInd w:val="0"/>
              <w:rPr>
                <w:rFonts w:eastAsiaTheme="minorEastAsia" w:cs="Times New Roman"/>
                <w:b/>
                <w:bCs/>
                <w:sz w:val="24"/>
                <w:szCs w:val="24"/>
                <w:lang w:eastAsia="bg-BG"/>
              </w:rPr>
            </w:pPr>
            <w:r w:rsidRPr="00BD05B9">
              <w:rPr>
                <w:rFonts w:eastAsiaTheme="minorEastAsia" w:cs="Times New Roman"/>
                <w:b/>
                <w:bCs/>
                <w:sz w:val="24"/>
                <w:szCs w:val="24"/>
                <w:lang w:eastAsia="bg-BG"/>
              </w:rPr>
              <w:t>Възможности</w:t>
            </w:r>
          </w:p>
        </w:tc>
        <w:tc>
          <w:tcPr>
            <w:tcW w:w="496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BD05B9" w:rsidRPr="00BD05B9" w:rsidRDefault="00BD05B9" w:rsidP="00BD05B9">
            <w:pPr>
              <w:autoSpaceDE w:val="0"/>
              <w:autoSpaceDN w:val="0"/>
              <w:adjustRightInd w:val="0"/>
              <w:rPr>
                <w:rFonts w:eastAsiaTheme="minorEastAsia" w:cs="Times New Roman"/>
                <w:b/>
                <w:bCs/>
                <w:sz w:val="24"/>
                <w:szCs w:val="24"/>
                <w:lang w:eastAsia="bg-BG"/>
              </w:rPr>
            </w:pPr>
            <w:r w:rsidRPr="00BD05B9">
              <w:rPr>
                <w:rFonts w:eastAsiaTheme="minorEastAsia" w:cs="Times New Roman"/>
                <w:b/>
                <w:bCs/>
                <w:sz w:val="24"/>
                <w:szCs w:val="24"/>
                <w:lang w:eastAsia="bg-BG"/>
              </w:rPr>
              <w:t>Заплахи</w:t>
            </w:r>
          </w:p>
        </w:tc>
      </w:tr>
      <w:tr w:rsidR="00BD05B9" w:rsidRPr="00BD05B9" w:rsidTr="00BD05B9">
        <w:tc>
          <w:tcPr>
            <w:tcW w:w="4536" w:type="dxa"/>
            <w:tcBorders>
              <w:top w:val="single" w:sz="6" w:space="0" w:color="auto"/>
              <w:left w:val="single" w:sz="6" w:space="0" w:color="auto"/>
              <w:bottom w:val="single" w:sz="6" w:space="0" w:color="auto"/>
              <w:right w:val="single" w:sz="6" w:space="0" w:color="auto"/>
            </w:tcBorders>
            <w:shd w:val="clear" w:color="auto" w:fill="C2D69B" w:themeFill="accent3" w:themeFillTint="99"/>
          </w:tcPr>
          <w:p w:rsidR="00BD05B9" w:rsidRPr="00963A1E" w:rsidRDefault="00BD05B9" w:rsidP="00BD05B9">
            <w:pPr>
              <w:tabs>
                <w:tab w:val="left" w:pos="643"/>
              </w:tabs>
              <w:autoSpaceDE w:val="0"/>
              <w:autoSpaceDN w:val="0"/>
              <w:adjustRightInd w:val="0"/>
              <w:ind w:left="336" w:hanging="336"/>
              <w:rPr>
                <w:rFonts w:eastAsiaTheme="minorEastAsia" w:cs="Times New Roman"/>
                <w:sz w:val="24"/>
                <w:szCs w:val="24"/>
                <w:lang w:val="en-US" w:eastAsia="bg-BG"/>
              </w:rPr>
            </w:pPr>
            <w:r w:rsidRPr="00BD05B9">
              <w:rPr>
                <w:rFonts w:eastAsiaTheme="minorEastAsia" w:cs="Times New Roman"/>
                <w:sz w:val="24"/>
                <w:szCs w:val="24"/>
                <w:lang w:eastAsia="bg-BG"/>
              </w:rPr>
              <w:t>•</w:t>
            </w:r>
            <w:r w:rsidRPr="00BD05B9">
              <w:rPr>
                <w:rFonts w:eastAsiaTheme="minorEastAsia" w:cs="Times New Roman"/>
                <w:sz w:val="24"/>
                <w:szCs w:val="24"/>
                <w:lang w:eastAsia="bg-BG"/>
              </w:rPr>
              <w:tab/>
              <w:t>Успешното   прилагане   на   всички   възможни   мерки предвидени от ОСП 2014-2020 в сектора за увеличение на инвестициите и навлизането на по-високо производителни технологии и иновации</w:t>
            </w:r>
            <w:r w:rsidR="00963A1E">
              <w:rPr>
                <w:rFonts w:eastAsiaTheme="minorEastAsia" w:cs="Times New Roman"/>
                <w:sz w:val="24"/>
                <w:szCs w:val="24"/>
                <w:lang w:val="en-US" w:eastAsia="bg-BG"/>
              </w:rPr>
              <w:t>;</w:t>
            </w:r>
          </w:p>
          <w:p w:rsidR="00BD05B9" w:rsidRPr="00BD05B9" w:rsidRDefault="00BD05B9" w:rsidP="00BD05B9">
            <w:pPr>
              <w:tabs>
                <w:tab w:val="left" w:pos="643"/>
              </w:tabs>
              <w:autoSpaceDE w:val="0"/>
              <w:autoSpaceDN w:val="0"/>
              <w:adjustRightInd w:val="0"/>
              <w:ind w:left="336" w:hanging="336"/>
              <w:rPr>
                <w:rFonts w:eastAsiaTheme="minorEastAsia" w:cs="Times New Roman"/>
                <w:sz w:val="24"/>
                <w:szCs w:val="24"/>
                <w:lang w:eastAsia="bg-BG"/>
              </w:rPr>
            </w:pPr>
            <w:r w:rsidRPr="00BD05B9">
              <w:rPr>
                <w:rFonts w:eastAsiaTheme="minorEastAsia" w:cs="Times New Roman"/>
                <w:sz w:val="24"/>
                <w:szCs w:val="24"/>
                <w:lang w:eastAsia="bg-BG"/>
              </w:rPr>
              <w:t>•</w:t>
            </w:r>
            <w:r w:rsidRPr="00BD05B9">
              <w:rPr>
                <w:rFonts w:eastAsiaTheme="minorEastAsia" w:cs="Times New Roman"/>
                <w:sz w:val="24"/>
                <w:szCs w:val="24"/>
                <w:lang w:eastAsia="bg-BG"/>
              </w:rPr>
              <w:tab/>
              <w:t>Интегрирането на страната на пазара в ЕС и създадени взаимоотношения  с  такива  партньори,   както  и  чрез използване дистрибуторските канали</w:t>
            </w:r>
            <w:r w:rsidR="00963A1E">
              <w:rPr>
                <w:rFonts w:eastAsiaTheme="minorEastAsia" w:cs="Times New Roman"/>
                <w:sz w:val="24"/>
                <w:szCs w:val="24"/>
                <w:lang w:val="en-US" w:eastAsia="bg-BG"/>
              </w:rPr>
              <w:t>;</w:t>
            </w:r>
            <w:r w:rsidRPr="00BD05B9">
              <w:rPr>
                <w:rFonts w:eastAsiaTheme="minorEastAsia" w:cs="Times New Roman"/>
                <w:sz w:val="24"/>
                <w:szCs w:val="24"/>
                <w:lang w:eastAsia="bg-BG"/>
              </w:rPr>
              <w:t xml:space="preserve"> </w:t>
            </w:r>
          </w:p>
          <w:p w:rsidR="00BD05B9" w:rsidRPr="00963A1E" w:rsidRDefault="00BD05B9" w:rsidP="00BD05B9">
            <w:pPr>
              <w:tabs>
                <w:tab w:val="left" w:pos="643"/>
              </w:tabs>
              <w:autoSpaceDE w:val="0"/>
              <w:autoSpaceDN w:val="0"/>
              <w:adjustRightInd w:val="0"/>
              <w:ind w:left="336" w:hanging="336"/>
              <w:rPr>
                <w:rFonts w:eastAsiaTheme="minorEastAsia" w:cs="Times New Roman"/>
                <w:sz w:val="24"/>
                <w:szCs w:val="24"/>
                <w:lang w:val="en-US" w:eastAsia="bg-BG"/>
              </w:rPr>
            </w:pPr>
            <w:r w:rsidRPr="00BD05B9">
              <w:rPr>
                <w:rFonts w:eastAsiaTheme="minorEastAsia" w:cs="Times New Roman"/>
                <w:sz w:val="24"/>
                <w:szCs w:val="24"/>
                <w:lang w:eastAsia="bg-BG"/>
              </w:rPr>
              <w:t>•</w:t>
            </w:r>
            <w:r w:rsidRPr="00BD05B9">
              <w:rPr>
                <w:rFonts w:eastAsiaTheme="minorEastAsia" w:cs="Times New Roman"/>
                <w:sz w:val="24"/>
                <w:szCs w:val="24"/>
                <w:lang w:eastAsia="bg-BG"/>
              </w:rPr>
              <w:tab/>
              <w:t xml:space="preserve">Стимулиране     на     използването     на     </w:t>
            </w:r>
            <w:proofErr w:type="spellStart"/>
            <w:r w:rsidRPr="00BD05B9">
              <w:rPr>
                <w:rFonts w:eastAsiaTheme="minorEastAsia" w:cs="Times New Roman"/>
                <w:sz w:val="24"/>
                <w:szCs w:val="24"/>
                <w:lang w:eastAsia="bg-BG"/>
              </w:rPr>
              <w:t>възобновяеми</w:t>
            </w:r>
            <w:proofErr w:type="spellEnd"/>
            <w:r w:rsidRPr="00BD05B9">
              <w:rPr>
                <w:rFonts w:eastAsiaTheme="minorEastAsia" w:cs="Times New Roman"/>
                <w:sz w:val="24"/>
                <w:szCs w:val="24"/>
                <w:lang w:eastAsia="bg-BG"/>
              </w:rPr>
              <w:t xml:space="preserve"> алтернативни енергийни източници, както и по-ниските очаквани ценови нива на енергоизточниците</w:t>
            </w:r>
            <w:r w:rsidR="00963A1E">
              <w:rPr>
                <w:rFonts w:eastAsiaTheme="minorEastAsia" w:cs="Times New Roman"/>
                <w:sz w:val="24"/>
                <w:szCs w:val="24"/>
                <w:lang w:val="en-US" w:eastAsia="bg-BG"/>
              </w:rPr>
              <w:t>;</w:t>
            </w:r>
          </w:p>
          <w:p w:rsidR="00BD05B9" w:rsidRPr="00963A1E" w:rsidRDefault="00816079" w:rsidP="00816079">
            <w:pPr>
              <w:tabs>
                <w:tab w:val="left" w:pos="643"/>
              </w:tabs>
              <w:autoSpaceDE w:val="0"/>
              <w:autoSpaceDN w:val="0"/>
              <w:adjustRightInd w:val="0"/>
              <w:rPr>
                <w:rFonts w:eastAsiaTheme="minorEastAsia" w:cs="Times New Roman"/>
                <w:sz w:val="24"/>
                <w:szCs w:val="24"/>
                <w:lang w:val="en-US" w:eastAsia="bg-BG"/>
              </w:rPr>
            </w:pPr>
            <w:r>
              <w:rPr>
                <w:rFonts w:eastAsiaTheme="minorEastAsia" w:cs="Times New Roman"/>
                <w:sz w:val="24"/>
                <w:szCs w:val="24"/>
                <w:lang w:eastAsia="bg-BG"/>
              </w:rPr>
              <w:t>•</w:t>
            </w:r>
            <w:r>
              <w:rPr>
                <w:rFonts w:eastAsiaTheme="minorEastAsia" w:cs="Times New Roman"/>
                <w:sz w:val="24"/>
                <w:szCs w:val="24"/>
                <w:lang w:val="en-US" w:eastAsia="bg-BG"/>
              </w:rPr>
              <w:t xml:space="preserve">    </w:t>
            </w:r>
            <w:r w:rsidR="00BD05B9" w:rsidRPr="00BD05B9">
              <w:rPr>
                <w:rFonts w:eastAsiaTheme="minorEastAsia" w:cs="Times New Roman"/>
                <w:sz w:val="24"/>
                <w:szCs w:val="24"/>
                <w:lang w:eastAsia="bg-BG"/>
              </w:rPr>
              <w:t>Създаване на организации</w:t>
            </w:r>
            <w:r>
              <w:rPr>
                <w:rFonts w:eastAsiaTheme="minorEastAsia" w:cs="Times New Roman"/>
                <w:sz w:val="24"/>
                <w:szCs w:val="24"/>
                <w:lang w:val="en-US" w:eastAsia="bg-BG"/>
              </w:rPr>
              <w:t xml:space="preserve">      </w:t>
            </w:r>
            <w:r w:rsidR="00BD05B9" w:rsidRPr="00BD05B9">
              <w:rPr>
                <w:rFonts w:eastAsiaTheme="minorEastAsia" w:cs="Times New Roman"/>
                <w:sz w:val="24"/>
                <w:szCs w:val="24"/>
                <w:lang w:eastAsia="bg-BG"/>
              </w:rPr>
              <w:t>производители</w:t>
            </w:r>
            <w:r w:rsidR="00963A1E">
              <w:rPr>
                <w:rFonts w:eastAsiaTheme="minorEastAsia" w:cs="Times New Roman"/>
                <w:sz w:val="24"/>
                <w:szCs w:val="24"/>
                <w:lang w:val="en-US" w:eastAsia="bg-BG"/>
              </w:rPr>
              <w:t>.</w:t>
            </w:r>
          </w:p>
        </w:tc>
        <w:tc>
          <w:tcPr>
            <w:tcW w:w="4962" w:type="dxa"/>
            <w:tcBorders>
              <w:top w:val="single" w:sz="6" w:space="0" w:color="auto"/>
              <w:left w:val="single" w:sz="6" w:space="0" w:color="auto"/>
              <w:bottom w:val="single" w:sz="6" w:space="0" w:color="auto"/>
              <w:right w:val="single" w:sz="6" w:space="0" w:color="auto"/>
            </w:tcBorders>
            <w:shd w:val="clear" w:color="auto" w:fill="E5B8B7" w:themeFill="accent2" w:themeFillTint="66"/>
          </w:tcPr>
          <w:p w:rsidR="00BD05B9" w:rsidRPr="00963A1E" w:rsidRDefault="00BD05B9" w:rsidP="00F418C1">
            <w:pPr>
              <w:tabs>
                <w:tab w:val="left" w:pos="643"/>
              </w:tabs>
              <w:autoSpaceDE w:val="0"/>
              <w:autoSpaceDN w:val="0"/>
              <w:adjustRightInd w:val="0"/>
              <w:ind w:left="336" w:hanging="336"/>
              <w:rPr>
                <w:rFonts w:eastAsiaTheme="minorEastAsia" w:cs="Times New Roman"/>
                <w:sz w:val="24"/>
                <w:szCs w:val="24"/>
                <w:lang w:val="en-US" w:eastAsia="bg-BG"/>
              </w:rPr>
            </w:pPr>
            <w:r w:rsidRPr="00BD05B9">
              <w:rPr>
                <w:rFonts w:eastAsiaTheme="minorEastAsia" w:cs="Times New Roman"/>
                <w:sz w:val="24"/>
                <w:szCs w:val="24"/>
                <w:lang w:eastAsia="bg-BG"/>
              </w:rPr>
              <w:t>•</w:t>
            </w:r>
            <w:r w:rsidRPr="00BD05B9">
              <w:rPr>
                <w:rFonts w:eastAsiaTheme="minorEastAsia" w:cs="Times New Roman"/>
                <w:sz w:val="24"/>
                <w:szCs w:val="24"/>
                <w:lang w:eastAsia="bg-BG"/>
              </w:rPr>
              <w:tab/>
              <w:t xml:space="preserve">Голяма конкуренция на пазара на ЕС. Пазарът е наситен от    предлагане    на    оранжерийна    продукция    </w:t>
            </w:r>
            <w:r w:rsidR="00963A1E">
              <w:rPr>
                <w:rFonts w:eastAsiaTheme="minorEastAsia" w:cs="Times New Roman"/>
                <w:sz w:val="24"/>
                <w:szCs w:val="24"/>
                <w:lang w:eastAsia="bg-BG"/>
              </w:rPr>
              <w:t>на сравнително ниски цени</w:t>
            </w:r>
            <w:r w:rsidR="00963A1E">
              <w:rPr>
                <w:rFonts w:eastAsiaTheme="minorEastAsia" w:cs="Times New Roman"/>
                <w:sz w:val="24"/>
                <w:szCs w:val="24"/>
                <w:lang w:val="en-US" w:eastAsia="bg-BG"/>
              </w:rPr>
              <w:t>;</w:t>
            </w:r>
          </w:p>
          <w:p w:rsidR="00BD05B9" w:rsidRPr="00963A1E" w:rsidRDefault="002E263B" w:rsidP="00BD05B9">
            <w:pPr>
              <w:tabs>
                <w:tab w:val="left" w:pos="643"/>
              </w:tabs>
              <w:autoSpaceDE w:val="0"/>
              <w:autoSpaceDN w:val="0"/>
              <w:adjustRightInd w:val="0"/>
              <w:rPr>
                <w:rFonts w:eastAsiaTheme="minorEastAsia" w:cs="Times New Roman"/>
                <w:sz w:val="24"/>
                <w:szCs w:val="24"/>
                <w:lang w:val="en-US" w:eastAsia="bg-BG"/>
              </w:rPr>
            </w:pPr>
            <w:r>
              <w:rPr>
                <w:rFonts w:eastAsiaTheme="minorEastAsia" w:cs="Times New Roman"/>
                <w:sz w:val="24"/>
                <w:szCs w:val="24"/>
                <w:lang w:eastAsia="bg-BG"/>
              </w:rPr>
              <w:t xml:space="preserve">•     </w:t>
            </w:r>
            <w:r w:rsidR="00963A1E">
              <w:rPr>
                <w:rFonts w:eastAsiaTheme="minorEastAsia" w:cs="Times New Roman"/>
                <w:sz w:val="24"/>
                <w:szCs w:val="24"/>
                <w:lang w:eastAsia="bg-BG"/>
              </w:rPr>
              <w:t>Липса на инвестиционен климат</w:t>
            </w:r>
            <w:r w:rsidR="00963A1E">
              <w:rPr>
                <w:rFonts w:eastAsiaTheme="minorEastAsia" w:cs="Times New Roman"/>
                <w:sz w:val="24"/>
                <w:szCs w:val="24"/>
                <w:lang w:val="en-US" w:eastAsia="bg-BG"/>
              </w:rPr>
              <w:t>;</w:t>
            </w:r>
          </w:p>
          <w:p w:rsidR="00BD05B9" w:rsidRPr="00963A1E" w:rsidRDefault="00BD05B9" w:rsidP="00BD05B9">
            <w:pPr>
              <w:tabs>
                <w:tab w:val="left" w:pos="643"/>
              </w:tabs>
              <w:autoSpaceDE w:val="0"/>
              <w:autoSpaceDN w:val="0"/>
              <w:adjustRightInd w:val="0"/>
              <w:ind w:left="336" w:hanging="336"/>
              <w:rPr>
                <w:rFonts w:eastAsiaTheme="minorEastAsia" w:cs="Times New Roman"/>
                <w:sz w:val="24"/>
                <w:szCs w:val="24"/>
                <w:lang w:val="en-US" w:eastAsia="bg-BG"/>
              </w:rPr>
            </w:pPr>
            <w:r w:rsidRPr="00BD05B9">
              <w:rPr>
                <w:rFonts w:eastAsiaTheme="minorEastAsia" w:cs="Times New Roman"/>
                <w:sz w:val="24"/>
                <w:szCs w:val="24"/>
                <w:lang w:eastAsia="bg-BG"/>
              </w:rPr>
              <w:t>•</w:t>
            </w:r>
            <w:r w:rsidRPr="00BD05B9">
              <w:rPr>
                <w:rFonts w:eastAsiaTheme="minorEastAsia" w:cs="Times New Roman"/>
                <w:sz w:val="24"/>
                <w:szCs w:val="24"/>
                <w:lang w:eastAsia="bg-BG"/>
              </w:rPr>
              <w:tab/>
              <w:t>Ниско ниво на сдружаване от страна на производителите в сектора и невъзможност на държавата да подходи към този проблем</w:t>
            </w:r>
            <w:r w:rsidR="00963A1E">
              <w:rPr>
                <w:rFonts w:eastAsiaTheme="minorEastAsia" w:cs="Times New Roman"/>
                <w:sz w:val="24"/>
                <w:szCs w:val="24"/>
                <w:lang w:val="en-US" w:eastAsia="bg-BG"/>
              </w:rPr>
              <w:t>;</w:t>
            </w:r>
          </w:p>
          <w:p w:rsidR="00BD05B9" w:rsidRPr="00963A1E" w:rsidRDefault="002E263B" w:rsidP="00BD05B9">
            <w:pPr>
              <w:tabs>
                <w:tab w:val="left" w:pos="643"/>
              </w:tabs>
              <w:autoSpaceDE w:val="0"/>
              <w:autoSpaceDN w:val="0"/>
              <w:adjustRightInd w:val="0"/>
              <w:rPr>
                <w:rFonts w:eastAsiaTheme="minorEastAsia" w:cs="Times New Roman"/>
                <w:sz w:val="24"/>
                <w:szCs w:val="24"/>
                <w:lang w:val="en-US" w:eastAsia="bg-BG"/>
              </w:rPr>
            </w:pPr>
            <w:r>
              <w:rPr>
                <w:rFonts w:eastAsiaTheme="minorEastAsia" w:cs="Times New Roman"/>
                <w:sz w:val="24"/>
                <w:szCs w:val="24"/>
                <w:lang w:eastAsia="bg-BG"/>
              </w:rPr>
              <w:t xml:space="preserve">•    </w:t>
            </w:r>
            <w:r w:rsidR="00963A1E">
              <w:rPr>
                <w:rFonts w:eastAsiaTheme="minorEastAsia" w:cs="Times New Roman"/>
                <w:sz w:val="24"/>
                <w:szCs w:val="24"/>
                <w:lang w:eastAsia="bg-BG"/>
              </w:rPr>
              <w:t>Наличие на нелегален внос</w:t>
            </w:r>
            <w:r w:rsidR="00963A1E">
              <w:rPr>
                <w:rFonts w:eastAsiaTheme="minorEastAsia" w:cs="Times New Roman"/>
                <w:sz w:val="24"/>
                <w:szCs w:val="24"/>
                <w:lang w:val="en-US" w:eastAsia="bg-BG"/>
              </w:rPr>
              <w:t>;</w:t>
            </w:r>
          </w:p>
          <w:p w:rsidR="00BD05B9" w:rsidRPr="00963A1E" w:rsidRDefault="00BD05B9" w:rsidP="00BD05B9">
            <w:pPr>
              <w:autoSpaceDE w:val="0"/>
              <w:autoSpaceDN w:val="0"/>
              <w:adjustRightInd w:val="0"/>
              <w:rPr>
                <w:rFonts w:eastAsiaTheme="minorEastAsia" w:cs="Times New Roman"/>
                <w:sz w:val="24"/>
                <w:szCs w:val="24"/>
                <w:lang w:val="en-US" w:eastAsia="bg-BG"/>
              </w:rPr>
            </w:pPr>
            <w:r w:rsidRPr="00BD05B9">
              <w:rPr>
                <w:rFonts w:eastAsiaTheme="minorEastAsia" w:cs="Times New Roman"/>
                <w:sz w:val="24"/>
                <w:szCs w:val="24"/>
                <w:lang w:eastAsia="bg-BG"/>
              </w:rPr>
              <w:t>•      Липса    на    добра    интеграция    между    науката, образование и практика</w:t>
            </w:r>
            <w:r w:rsidR="00963A1E">
              <w:rPr>
                <w:rFonts w:eastAsiaTheme="minorEastAsia" w:cs="Times New Roman"/>
                <w:sz w:val="24"/>
                <w:szCs w:val="24"/>
                <w:lang w:val="en-US" w:eastAsia="bg-BG"/>
              </w:rPr>
              <w:t>.</w:t>
            </w:r>
          </w:p>
        </w:tc>
      </w:tr>
    </w:tbl>
    <w:p w:rsidR="00BD05B9" w:rsidRDefault="00BD05B9" w:rsidP="00BD05B9">
      <w:pPr>
        <w:jc w:val="both"/>
        <w:rPr>
          <w:rFonts w:eastAsiaTheme="minorEastAsia" w:cs="Arial"/>
          <w:b/>
          <w:sz w:val="24"/>
          <w:szCs w:val="24"/>
          <w:lang w:eastAsia="bg-BG"/>
        </w:rPr>
      </w:pPr>
    </w:p>
    <w:p w:rsidR="004871CE" w:rsidRDefault="004871CE" w:rsidP="00BD05B9">
      <w:pPr>
        <w:jc w:val="both"/>
        <w:rPr>
          <w:rFonts w:eastAsiaTheme="minorEastAsia" w:cs="Arial"/>
          <w:b/>
          <w:sz w:val="28"/>
          <w:szCs w:val="28"/>
          <w:lang w:eastAsia="bg-BG"/>
        </w:rPr>
      </w:pPr>
    </w:p>
    <w:p w:rsidR="004871CE" w:rsidRDefault="004871CE" w:rsidP="00BD05B9">
      <w:pPr>
        <w:jc w:val="both"/>
        <w:rPr>
          <w:rFonts w:eastAsiaTheme="minorEastAsia" w:cs="Arial"/>
          <w:b/>
          <w:sz w:val="28"/>
          <w:szCs w:val="28"/>
          <w:lang w:eastAsia="bg-BG"/>
        </w:rPr>
      </w:pPr>
    </w:p>
    <w:p w:rsidR="004871CE" w:rsidRDefault="004871CE" w:rsidP="00BD05B9">
      <w:pPr>
        <w:jc w:val="both"/>
        <w:rPr>
          <w:rFonts w:eastAsiaTheme="minorEastAsia" w:cs="Arial"/>
          <w:b/>
          <w:sz w:val="28"/>
          <w:szCs w:val="28"/>
          <w:lang w:eastAsia="bg-BG"/>
        </w:rPr>
      </w:pPr>
    </w:p>
    <w:p w:rsidR="007F6E21" w:rsidRDefault="007F6E21" w:rsidP="00BD05B9">
      <w:pPr>
        <w:jc w:val="both"/>
        <w:rPr>
          <w:rFonts w:eastAsiaTheme="minorEastAsia" w:cs="Arial"/>
          <w:b/>
          <w:sz w:val="28"/>
          <w:szCs w:val="28"/>
          <w:lang w:eastAsia="bg-BG"/>
        </w:rPr>
      </w:pPr>
    </w:p>
    <w:p w:rsidR="0076070C" w:rsidRDefault="0076070C" w:rsidP="00BD05B9">
      <w:pPr>
        <w:jc w:val="both"/>
        <w:rPr>
          <w:rFonts w:eastAsiaTheme="minorEastAsia" w:cs="Arial"/>
          <w:b/>
          <w:sz w:val="28"/>
          <w:szCs w:val="28"/>
          <w:lang w:eastAsia="bg-BG"/>
        </w:rPr>
      </w:pPr>
    </w:p>
    <w:p w:rsidR="00BD05B9" w:rsidRPr="008D5E25" w:rsidRDefault="00DD5B8E" w:rsidP="00BD05B9">
      <w:pPr>
        <w:jc w:val="both"/>
        <w:rPr>
          <w:rFonts w:eastAsiaTheme="minorEastAsia" w:cs="Arial"/>
          <w:b/>
          <w:sz w:val="28"/>
          <w:szCs w:val="28"/>
          <w:lang w:eastAsia="bg-BG"/>
        </w:rPr>
      </w:pPr>
      <w:r w:rsidRPr="008D5E25">
        <w:rPr>
          <w:rFonts w:eastAsiaTheme="minorEastAsia" w:cs="Arial"/>
          <w:b/>
          <w:sz w:val="28"/>
          <w:szCs w:val="28"/>
          <w:lang w:eastAsia="bg-BG"/>
        </w:rPr>
        <w:t xml:space="preserve">Външна търговия с оранжерийни зеленчуци </w:t>
      </w:r>
    </w:p>
    <w:p w:rsidR="008D5E25" w:rsidRDefault="008D5E25" w:rsidP="00BD05B9">
      <w:pPr>
        <w:jc w:val="both"/>
        <w:rPr>
          <w:rFonts w:eastAsiaTheme="minorEastAsia" w:cs="Arial"/>
          <w:b/>
          <w:sz w:val="24"/>
          <w:szCs w:val="24"/>
          <w:lang w:eastAsia="bg-BG"/>
        </w:rPr>
      </w:pPr>
    </w:p>
    <w:p w:rsidR="008D5E25" w:rsidRPr="008D5E25" w:rsidRDefault="008D5E25" w:rsidP="004871CE">
      <w:pPr>
        <w:spacing w:line="360" w:lineRule="auto"/>
        <w:ind w:firstLine="720"/>
        <w:jc w:val="both"/>
        <w:rPr>
          <w:rFonts w:eastAsiaTheme="minorEastAsia" w:cs="Arial"/>
          <w:sz w:val="24"/>
          <w:szCs w:val="24"/>
          <w:lang w:eastAsia="bg-BG"/>
        </w:rPr>
      </w:pPr>
      <w:r w:rsidRPr="008D5E25">
        <w:rPr>
          <w:rFonts w:eastAsiaTheme="minorEastAsia" w:cs="Arial"/>
          <w:sz w:val="24"/>
          <w:szCs w:val="24"/>
          <w:lang w:eastAsia="bg-BG"/>
        </w:rPr>
        <w:t xml:space="preserve">България продължава да бъде нетен вносител на зеленчуци, </w:t>
      </w:r>
      <w:r w:rsidR="00F418C1">
        <w:rPr>
          <w:rFonts w:eastAsiaTheme="minorEastAsia" w:cs="Arial"/>
          <w:sz w:val="24"/>
          <w:szCs w:val="24"/>
          <w:lang w:eastAsia="bg-BG"/>
        </w:rPr>
        <w:t>но през 2016 и 2017 г</w:t>
      </w:r>
      <w:r w:rsidR="00963A1E">
        <w:rPr>
          <w:rFonts w:eastAsiaTheme="minorEastAsia" w:cs="Arial"/>
          <w:sz w:val="24"/>
          <w:szCs w:val="24"/>
          <w:lang w:eastAsia="bg-BG"/>
        </w:rPr>
        <w:t>одини</w:t>
      </w:r>
      <w:r w:rsidR="00F418C1">
        <w:rPr>
          <w:rFonts w:eastAsiaTheme="minorEastAsia" w:cs="Arial"/>
          <w:sz w:val="24"/>
          <w:szCs w:val="24"/>
          <w:lang w:eastAsia="bg-BG"/>
        </w:rPr>
        <w:t xml:space="preserve"> </w:t>
      </w:r>
      <w:r>
        <w:rPr>
          <w:rFonts w:eastAsiaTheme="minorEastAsia" w:cs="Arial"/>
          <w:sz w:val="24"/>
          <w:szCs w:val="24"/>
          <w:lang w:eastAsia="bg-BG"/>
        </w:rPr>
        <w:t>за отбелязване е факта, че</w:t>
      </w:r>
      <w:r w:rsidRPr="008D5E25">
        <w:rPr>
          <w:rFonts w:eastAsiaTheme="minorEastAsia" w:cs="Arial"/>
          <w:sz w:val="24"/>
          <w:szCs w:val="24"/>
          <w:lang w:eastAsia="bg-BG"/>
        </w:rPr>
        <w:t xml:space="preserve"> </w:t>
      </w:r>
      <w:r w:rsidR="00BF18AE">
        <w:rPr>
          <w:rFonts w:eastAsiaTheme="minorEastAsia" w:cs="Arial"/>
          <w:sz w:val="24"/>
          <w:szCs w:val="24"/>
          <w:lang w:eastAsia="bg-BG"/>
        </w:rPr>
        <w:t>разликата в стойността на внесените зеленчуци и</w:t>
      </w:r>
      <w:r w:rsidRPr="008D5E25">
        <w:rPr>
          <w:rFonts w:eastAsiaTheme="minorEastAsia" w:cs="Arial"/>
          <w:sz w:val="24"/>
          <w:szCs w:val="24"/>
          <w:lang w:eastAsia="bg-BG"/>
        </w:rPr>
        <w:t xml:space="preserve"> стойността на </w:t>
      </w:r>
      <w:r w:rsidR="00BF18AE">
        <w:rPr>
          <w:rFonts w:eastAsiaTheme="minorEastAsia" w:cs="Arial"/>
          <w:sz w:val="24"/>
          <w:szCs w:val="24"/>
          <w:lang w:eastAsia="bg-BG"/>
        </w:rPr>
        <w:t xml:space="preserve">износа и </w:t>
      </w:r>
      <w:proofErr w:type="spellStart"/>
      <w:r w:rsidR="00BF18AE">
        <w:rPr>
          <w:rFonts w:eastAsiaTheme="minorEastAsia" w:cs="Arial"/>
          <w:sz w:val="24"/>
          <w:szCs w:val="24"/>
          <w:lang w:eastAsia="bg-BG"/>
        </w:rPr>
        <w:t>вътреобщностните</w:t>
      </w:r>
      <w:proofErr w:type="spellEnd"/>
      <w:r w:rsidR="00BF18AE">
        <w:rPr>
          <w:rFonts w:eastAsiaTheme="minorEastAsia" w:cs="Arial"/>
          <w:sz w:val="24"/>
          <w:szCs w:val="24"/>
          <w:lang w:eastAsia="bg-BG"/>
        </w:rPr>
        <w:t xml:space="preserve"> доставки</w:t>
      </w:r>
      <w:r w:rsidRPr="008D5E25">
        <w:rPr>
          <w:rFonts w:eastAsiaTheme="minorEastAsia" w:cs="Arial"/>
          <w:sz w:val="24"/>
          <w:szCs w:val="24"/>
          <w:lang w:eastAsia="bg-BG"/>
        </w:rPr>
        <w:t xml:space="preserve"> </w:t>
      </w:r>
      <w:r w:rsidR="00BF18AE">
        <w:rPr>
          <w:rFonts w:eastAsiaTheme="minorEastAsia" w:cs="Arial"/>
          <w:sz w:val="24"/>
          <w:szCs w:val="24"/>
          <w:lang w:eastAsia="bg-BG"/>
        </w:rPr>
        <w:t xml:space="preserve">постепенно намалява. </w:t>
      </w:r>
    </w:p>
    <w:p w:rsidR="00DD5B8E" w:rsidRPr="004E4F74" w:rsidRDefault="00BF18AE" w:rsidP="004871CE">
      <w:pPr>
        <w:spacing w:line="360" w:lineRule="auto"/>
        <w:jc w:val="both"/>
        <w:rPr>
          <w:rFonts w:eastAsiaTheme="minorEastAsia" w:cs="Arial"/>
          <w:sz w:val="24"/>
          <w:szCs w:val="24"/>
          <w:lang w:eastAsia="bg-BG"/>
        </w:rPr>
      </w:pPr>
      <w:r w:rsidRPr="004E4F74">
        <w:rPr>
          <w:rFonts w:eastAsiaTheme="minorEastAsia" w:cs="Arial"/>
          <w:sz w:val="24"/>
          <w:szCs w:val="24"/>
          <w:lang w:eastAsia="bg-BG"/>
        </w:rPr>
        <w:t xml:space="preserve"> </w:t>
      </w:r>
      <w:r w:rsidR="004E4F74">
        <w:rPr>
          <w:rFonts w:eastAsiaTheme="minorEastAsia" w:cs="Arial"/>
          <w:sz w:val="24"/>
          <w:szCs w:val="24"/>
          <w:lang w:eastAsia="bg-BG"/>
        </w:rPr>
        <w:tab/>
      </w:r>
      <w:r w:rsidR="00F418C1">
        <w:rPr>
          <w:rFonts w:eastAsiaTheme="minorEastAsia" w:cs="Arial"/>
          <w:sz w:val="24"/>
          <w:szCs w:val="24"/>
          <w:lang w:eastAsia="bg-BG"/>
        </w:rPr>
        <w:t xml:space="preserve">В структурата на външната търговия, </w:t>
      </w:r>
      <w:r w:rsidRPr="004E4F74">
        <w:rPr>
          <w:rFonts w:eastAsiaTheme="minorEastAsia" w:cs="Arial"/>
          <w:sz w:val="24"/>
          <w:szCs w:val="24"/>
          <w:lang w:eastAsia="bg-BG"/>
        </w:rPr>
        <w:t xml:space="preserve"> както на доматите, така и на краставиците </w:t>
      </w:r>
      <w:r w:rsidR="004E4F74" w:rsidRPr="004E4F74">
        <w:rPr>
          <w:rFonts w:eastAsiaTheme="minorEastAsia" w:cs="Arial"/>
          <w:sz w:val="24"/>
          <w:szCs w:val="24"/>
          <w:lang w:eastAsia="bg-BG"/>
        </w:rPr>
        <w:t>експорт</w:t>
      </w:r>
      <w:r w:rsidR="00963A1E">
        <w:rPr>
          <w:rFonts w:eastAsiaTheme="minorEastAsia" w:cs="Arial"/>
          <w:sz w:val="24"/>
          <w:szCs w:val="24"/>
          <w:lang w:eastAsia="bg-BG"/>
        </w:rPr>
        <w:t>ът</w:t>
      </w:r>
      <w:r w:rsidRPr="004E4F74">
        <w:rPr>
          <w:rFonts w:eastAsiaTheme="minorEastAsia" w:cs="Arial"/>
          <w:sz w:val="24"/>
          <w:szCs w:val="24"/>
          <w:lang w:eastAsia="bg-BG"/>
        </w:rPr>
        <w:t xml:space="preserve"> е насочен </w:t>
      </w:r>
      <w:r w:rsidR="004E4F74">
        <w:rPr>
          <w:rFonts w:eastAsiaTheme="minorEastAsia" w:cs="Arial"/>
          <w:sz w:val="24"/>
          <w:szCs w:val="24"/>
          <w:lang w:eastAsia="bg-BG"/>
        </w:rPr>
        <w:t xml:space="preserve">на </w:t>
      </w:r>
      <w:r w:rsidRPr="004E4F74">
        <w:rPr>
          <w:rFonts w:eastAsiaTheme="minorEastAsia" w:cs="Arial"/>
          <w:sz w:val="24"/>
          <w:szCs w:val="24"/>
          <w:lang w:eastAsia="bg-BG"/>
        </w:rPr>
        <w:t xml:space="preserve">100% за ЕС. </w:t>
      </w:r>
      <w:r w:rsidR="00577147">
        <w:rPr>
          <w:rFonts w:eastAsiaTheme="minorEastAsia" w:cs="Arial"/>
          <w:sz w:val="24"/>
          <w:szCs w:val="24"/>
          <w:lang w:eastAsia="bg-BG"/>
        </w:rPr>
        <w:t xml:space="preserve">През 2017г., най - </w:t>
      </w:r>
      <w:r w:rsidR="004E4F74" w:rsidRPr="004E4F74">
        <w:rPr>
          <w:rFonts w:eastAsiaTheme="minorEastAsia" w:cs="Arial"/>
          <w:sz w:val="24"/>
          <w:szCs w:val="24"/>
          <w:lang w:eastAsia="bg-BG"/>
        </w:rPr>
        <w:t xml:space="preserve">много домати са </w:t>
      </w:r>
      <w:r w:rsidR="004E4F74">
        <w:rPr>
          <w:rFonts w:eastAsiaTheme="minorEastAsia" w:cs="Arial"/>
          <w:sz w:val="24"/>
          <w:szCs w:val="24"/>
          <w:lang w:eastAsia="bg-BG"/>
        </w:rPr>
        <w:t>експортирани</w:t>
      </w:r>
      <w:r w:rsidR="004E4F74" w:rsidRPr="004E4F74">
        <w:rPr>
          <w:rFonts w:eastAsiaTheme="minorEastAsia" w:cs="Arial"/>
          <w:sz w:val="24"/>
          <w:szCs w:val="24"/>
          <w:lang w:eastAsia="bg-BG"/>
        </w:rPr>
        <w:t xml:space="preserve"> за Румъния – 3 080 тона, Унгария</w:t>
      </w:r>
      <w:r w:rsidR="00F418C1">
        <w:rPr>
          <w:rFonts w:eastAsiaTheme="minorEastAsia" w:cs="Arial"/>
          <w:sz w:val="24"/>
          <w:szCs w:val="24"/>
          <w:lang w:eastAsia="bg-BG"/>
        </w:rPr>
        <w:t xml:space="preserve"> – 769 тона</w:t>
      </w:r>
      <w:r w:rsidR="004E4F74" w:rsidRPr="004E4F74">
        <w:rPr>
          <w:rFonts w:eastAsiaTheme="minorEastAsia" w:cs="Arial"/>
          <w:sz w:val="24"/>
          <w:szCs w:val="24"/>
          <w:lang w:eastAsia="bg-BG"/>
        </w:rPr>
        <w:t>, Чехия</w:t>
      </w:r>
      <w:r w:rsidR="00F418C1">
        <w:rPr>
          <w:rFonts w:eastAsiaTheme="minorEastAsia" w:cs="Arial"/>
          <w:sz w:val="24"/>
          <w:szCs w:val="24"/>
          <w:lang w:eastAsia="bg-BG"/>
        </w:rPr>
        <w:t xml:space="preserve"> 507 тона </w:t>
      </w:r>
      <w:r w:rsidR="004E4F74" w:rsidRPr="004E4F74">
        <w:rPr>
          <w:rFonts w:eastAsiaTheme="minorEastAsia" w:cs="Arial"/>
          <w:sz w:val="24"/>
          <w:szCs w:val="24"/>
          <w:lang w:eastAsia="bg-BG"/>
        </w:rPr>
        <w:t xml:space="preserve"> и др. страни от общността. </w:t>
      </w:r>
    </w:p>
    <w:p w:rsidR="00C726FE" w:rsidRDefault="00C726FE" w:rsidP="00BD05B9">
      <w:pPr>
        <w:jc w:val="both"/>
        <w:rPr>
          <w:rFonts w:eastAsiaTheme="minorEastAsia" w:cs="Arial"/>
          <w:b/>
          <w:sz w:val="24"/>
          <w:szCs w:val="24"/>
          <w:lang w:eastAsia="bg-BG"/>
        </w:rPr>
      </w:pPr>
    </w:p>
    <w:p w:rsidR="00BD05B9" w:rsidRDefault="00226ADE" w:rsidP="00226ADE">
      <w:pPr>
        <w:ind w:firstLine="720"/>
        <w:jc w:val="both"/>
        <w:rPr>
          <w:rFonts w:eastAsiaTheme="minorEastAsia" w:cs="Arial"/>
          <w:b/>
          <w:sz w:val="24"/>
          <w:szCs w:val="24"/>
          <w:lang w:eastAsia="bg-BG"/>
        </w:rPr>
      </w:pPr>
      <w:r w:rsidRPr="00226ADE">
        <w:rPr>
          <w:rFonts w:eastAsiaTheme="minorEastAsia" w:cs="Arial"/>
          <w:b/>
          <w:sz w:val="24"/>
          <w:szCs w:val="24"/>
          <w:lang w:eastAsia="bg-BG"/>
        </w:rPr>
        <w:t>Експорт на оранжерийни  домати през 201</w:t>
      </w:r>
      <w:r>
        <w:rPr>
          <w:rFonts w:eastAsiaTheme="minorEastAsia" w:cs="Arial"/>
          <w:b/>
          <w:sz w:val="24"/>
          <w:szCs w:val="24"/>
          <w:lang w:eastAsia="bg-BG"/>
        </w:rPr>
        <w:t>7</w:t>
      </w:r>
      <w:r w:rsidRPr="00226ADE">
        <w:rPr>
          <w:rFonts w:eastAsiaTheme="minorEastAsia" w:cs="Arial"/>
          <w:b/>
          <w:sz w:val="24"/>
          <w:szCs w:val="24"/>
          <w:lang w:eastAsia="bg-BG"/>
        </w:rPr>
        <w:t>г.</w:t>
      </w:r>
    </w:p>
    <w:tbl>
      <w:tblPr>
        <w:tblW w:w="8848" w:type="dxa"/>
        <w:jc w:val="center"/>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1648"/>
        <w:gridCol w:w="1540"/>
        <w:gridCol w:w="1780"/>
      </w:tblGrid>
      <w:tr w:rsidR="00981513" w:rsidRPr="00981513" w:rsidTr="005A63BD">
        <w:trPr>
          <w:trHeight w:val="264"/>
          <w:jc w:val="center"/>
        </w:trPr>
        <w:tc>
          <w:tcPr>
            <w:tcW w:w="3880" w:type="dxa"/>
            <w:shd w:val="clear" w:color="auto" w:fill="EAF1DD" w:themeFill="accent3" w:themeFillTint="33"/>
            <w:noWrap/>
            <w:vAlign w:val="bottom"/>
            <w:hideMark/>
          </w:tcPr>
          <w:p w:rsidR="00981513" w:rsidRPr="00981513" w:rsidRDefault="00981513" w:rsidP="00981513">
            <w:pPr>
              <w:jc w:val="center"/>
              <w:rPr>
                <w:rFonts w:ascii="Arial" w:eastAsia="Times New Roman" w:hAnsi="Arial" w:cs="Arial"/>
                <w:b/>
                <w:sz w:val="20"/>
                <w:szCs w:val="20"/>
              </w:rPr>
            </w:pPr>
            <w:r w:rsidRPr="00981513">
              <w:rPr>
                <w:rFonts w:ascii="Arial" w:eastAsia="Times New Roman" w:hAnsi="Arial" w:cs="Arial"/>
                <w:b/>
                <w:sz w:val="20"/>
                <w:szCs w:val="20"/>
              </w:rPr>
              <w:t>Държава</w:t>
            </w:r>
          </w:p>
        </w:tc>
        <w:tc>
          <w:tcPr>
            <w:tcW w:w="1648" w:type="dxa"/>
            <w:shd w:val="clear" w:color="auto" w:fill="EAF1DD" w:themeFill="accent3" w:themeFillTint="33"/>
            <w:noWrap/>
            <w:vAlign w:val="bottom"/>
            <w:hideMark/>
          </w:tcPr>
          <w:p w:rsidR="00981513" w:rsidRPr="00981513" w:rsidRDefault="00981513" w:rsidP="00981513">
            <w:pPr>
              <w:jc w:val="center"/>
              <w:rPr>
                <w:rFonts w:ascii="Arial" w:eastAsia="Times New Roman" w:hAnsi="Arial" w:cs="Arial"/>
                <w:b/>
                <w:sz w:val="20"/>
                <w:szCs w:val="20"/>
              </w:rPr>
            </w:pPr>
            <w:r w:rsidRPr="00981513">
              <w:rPr>
                <w:rFonts w:ascii="Arial" w:eastAsia="Times New Roman" w:hAnsi="Arial" w:cs="Arial"/>
                <w:b/>
                <w:sz w:val="20"/>
                <w:szCs w:val="20"/>
              </w:rPr>
              <w:t>Общо тона за 2017</w:t>
            </w:r>
          </w:p>
        </w:tc>
        <w:tc>
          <w:tcPr>
            <w:tcW w:w="1540" w:type="dxa"/>
            <w:shd w:val="clear" w:color="auto" w:fill="EAF1DD" w:themeFill="accent3" w:themeFillTint="33"/>
            <w:noWrap/>
            <w:vAlign w:val="bottom"/>
            <w:hideMark/>
          </w:tcPr>
          <w:p w:rsidR="00981513" w:rsidRPr="00981513" w:rsidRDefault="00981513" w:rsidP="00981513">
            <w:pPr>
              <w:jc w:val="center"/>
              <w:rPr>
                <w:rFonts w:ascii="Arial" w:eastAsia="Times New Roman" w:hAnsi="Arial" w:cs="Arial"/>
                <w:b/>
                <w:sz w:val="20"/>
                <w:szCs w:val="20"/>
              </w:rPr>
            </w:pPr>
            <w:r w:rsidRPr="00981513">
              <w:rPr>
                <w:rFonts w:ascii="Arial" w:eastAsia="Times New Roman" w:hAnsi="Arial" w:cs="Arial"/>
                <w:b/>
                <w:sz w:val="20"/>
                <w:szCs w:val="20"/>
              </w:rPr>
              <w:t>Общо USD за 2017</w:t>
            </w:r>
          </w:p>
        </w:tc>
        <w:tc>
          <w:tcPr>
            <w:tcW w:w="1780" w:type="dxa"/>
            <w:shd w:val="clear" w:color="auto" w:fill="EAF1DD" w:themeFill="accent3" w:themeFillTint="33"/>
            <w:noWrap/>
            <w:vAlign w:val="bottom"/>
            <w:hideMark/>
          </w:tcPr>
          <w:p w:rsidR="00981513" w:rsidRPr="00981513" w:rsidRDefault="00981513" w:rsidP="00981513">
            <w:pPr>
              <w:jc w:val="center"/>
              <w:rPr>
                <w:rFonts w:ascii="Arial" w:eastAsia="Times New Roman" w:hAnsi="Arial" w:cs="Arial"/>
                <w:b/>
                <w:sz w:val="20"/>
                <w:szCs w:val="20"/>
              </w:rPr>
            </w:pPr>
            <w:r w:rsidRPr="00981513">
              <w:rPr>
                <w:rFonts w:ascii="Arial" w:eastAsia="Times New Roman" w:hAnsi="Arial" w:cs="Arial"/>
                <w:b/>
                <w:sz w:val="20"/>
                <w:szCs w:val="20"/>
              </w:rPr>
              <w:t>Ср. USD/тон за 2017</w:t>
            </w:r>
          </w:p>
        </w:tc>
      </w:tr>
      <w:tr w:rsidR="00C726FE" w:rsidRPr="00981513" w:rsidTr="005A63BD">
        <w:trPr>
          <w:trHeight w:val="264"/>
          <w:jc w:val="center"/>
        </w:trPr>
        <w:tc>
          <w:tcPr>
            <w:tcW w:w="3880" w:type="dxa"/>
            <w:shd w:val="clear" w:color="auto" w:fill="auto"/>
            <w:noWrap/>
            <w:vAlign w:val="bottom"/>
            <w:hideMark/>
          </w:tcPr>
          <w:p w:rsidR="00981513" w:rsidRPr="00981513" w:rsidRDefault="00981513" w:rsidP="00981513">
            <w:pPr>
              <w:rPr>
                <w:rFonts w:ascii="Arial" w:eastAsia="Times New Roman" w:hAnsi="Arial" w:cs="Arial"/>
                <w:b/>
                <w:sz w:val="20"/>
                <w:szCs w:val="20"/>
              </w:rPr>
            </w:pPr>
            <w:r w:rsidRPr="00981513">
              <w:rPr>
                <w:rFonts w:ascii="Arial" w:eastAsia="Times New Roman" w:hAnsi="Arial" w:cs="Arial"/>
                <w:b/>
                <w:sz w:val="20"/>
                <w:szCs w:val="20"/>
              </w:rPr>
              <w:t>Румъния</w:t>
            </w:r>
          </w:p>
        </w:tc>
        <w:tc>
          <w:tcPr>
            <w:tcW w:w="1648"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3080,1</w:t>
            </w:r>
          </w:p>
        </w:tc>
        <w:tc>
          <w:tcPr>
            <w:tcW w:w="154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3</w:t>
            </w:r>
            <w:r w:rsidR="00226ADE">
              <w:rPr>
                <w:rFonts w:ascii="Arial" w:eastAsia="Times New Roman" w:hAnsi="Arial" w:cs="Arial"/>
                <w:b/>
                <w:sz w:val="20"/>
                <w:szCs w:val="20"/>
              </w:rPr>
              <w:t> </w:t>
            </w:r>
            <w:r w:rsidRPr="00981513">
              <w:rPr>
                <w:rFonts w:ascii="Arial" w:eastAsia="Times New Roman" w:hAnsi="Arial" w:cs="Arial"/>
                <w:b/>
                <w:sz w:val="20"/>
                <w:szCs w:val="20"/>
                <w:lang w:val="en-US"/>
              </w:rPr>
              <w:t>562</w:t>
            </w:r>
            <w:r w:rsidR="00226ADE">
              <w:rPr>
                <w:rFonts w:ascii="Arial" w:eastAsia="Times New Roman" w:hAnsi="Arial" w:cs="Arial"/>
                <w:b/>
                <w:sz w:val="20"/>
                <w:szCs w:val="20"/>
              </w:rPr>
              <w:t xml:space="preserve"> </w:t>
            </w:r>
            <w:r w:rsidRPr="00981513">
              <w:rPr>
                <w:rFonts w:ascii="Arial" w:eastAsia="Times New Roman" w:hAnsi="Arial" w:cs="Arial"/>
                <w:b/>
                <w:sz w:val="20"/>
                <w:szCs w:val="20"/>
                <w:lang w:val="en-US"/>
              </w:rPr>
              <w:t>148</w:t>
            </w:r>
          </w:p>
        </w:tc>
        <w:tc>
          <w:tcPr>
            <w:tcW w:w="178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1</w:t>
            </w:r>
            <w:r w:rsidR="00226ADE">
              <w:rPr>
                <w:rFonts w:ascii="Arial" w:eastAsia="Times New Roman" w:hAnsi="Arial" w:cs="Arial"/>
                <w:b/>
                <w:sz w:val="20"/>
                <w:szCs w:val="20"/>
              </w:rPr>
              <w:t xml:space="preserve"> </w:t>
            </w:r>
            <w:r w:rsidRPr="00981513">
              <w:rPr>
                <w:rFonts w:ascii="Arial" w:eastAsia="Times New Roman" w:hAnsi="Arial" w:cs="Arial"/>
                <w:b/>
                <w:sz w:val="20"/>
                <w:szCs w:val="20"/>
                <w:lang w:val="en-US"/>
              </w:rPr>
              <w:t>156,52</w:t>
            </w:r>
          </w:p>
        </w:tc>
      </w:tr>
      <w:tr w:rsidR="00C726FE" w:rsidRPr="00981513" w:rsidTr="005A63BD">
        <w:trPr>
          <w:trHeight w:val="264"/>
          <w:jc w:val="center"/>
        </w:trPr>
        <w:tc>
          <w:tcPr>
            <w:tcW w:w="3880" w:type="dxa"/>
            <w:shd w:val="clear" w:color="auto" w:fill="auto"/>
            <w:noWrap/>
            <w:vAlign w:val="bottom"/>
            <w:hideMark/>
          </w:tcPr>
          <w:p w:rsidR="00981513" w:rsidRPr="00981513" w:rsidRDefault="00981513" w:rsidP="00981513">
            <w:pPr>
              <w:rPr>
                <w:rFonts w:ascii="Arial" w:eastAsia="Times New Roman" w:hAnsi="Arial" w:cs="Arial"/>
                <w:b/>
                <w:sz w:val="20"/>
                <w:szCs w:val="20"/>
              </w:rPr>
            </w:pPr>
            <w:r w:rsidRPr="00981513">
              <w:rPr>
                <w:rFonts w:ascii="Arial" w:eastAsia="Times New Roman" w:hAnsi="Arial" w:cs="Arial"/>
                <w:b/>
                <w:sz w:val="20"/>
                <w:szCs w:val="20"/>
              </w:rPr>
              <w:t>Унгария</w:t>
            </w:r>
          </w:p>
        </w:tc>
        <w:tc>
          <w:tcPr>
            <w:tcW w:w="1648"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769,3</w:t>
            </w:r>
          </w:p>
        </w:tc>
        <w:tc>
          <w:tcPr>
            <w:tcW w:w="154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1</w:t>
            </w:r>
            <w:r w:rsidR="00226ADE">
              <w:rPr>
                <w:rFonts w:ascii="Arial" w:eastAsia="Times New Roman" w:hAnsi="Arial" w:cs="Arial"/>
                <w:b/>
                <w:sz w:val="20"/>
                <w:szCs w:val="20"/>
              </w:rPr>
              <w:t> </w:t>
            </w:r>
            <w:r w:rsidRPr="00981513">
              <w:rPr>
                <w:rFonts w:ascii="Arial" w:eastAsia="Times New Roman" w:hAnsi="Arial" w:cs="Arial"/>
                <w:b/>
                <w:sz w:val="20"/>
                <w:szCs w:val="20"/>
                <w:lang w:val="en-US"/>
              </w:rPr>
              <w:t>074</w:t>
            </w:r>
            <w:r w:rsidR="00226ADE">
              <w:rPr>
                <w:rFonts w:ascii="Arial" w:eastAsia="Times New Roman" w:hAnsi="Arial" w:cs="Arial"/>
                <w:b/>
                <w:sz w:val="20"/>
                <w:szCs w:val="20"/>
              </w:rPr>
              <w:t xml:space="preserve"> </w:t>
            </w:r>
            <w:r w:rsidRPr="00981513">
              <w:rPr>
                <w:rFonts w:ascii="Arial" w:eastAsia="Times New Roman" w:hAnsi="Arial" w:cs="Arial"/>
                <w:b/>
                <w:sz w:val="20"/>
                <w:szCs w:val="20"/>
                <w:lang w:val="en-US"/>
              </w:rPr>
              <w:t>727</w:t>
            </w:r>
          </w:p>
        </w:tc>
        <w:tc>
          <w:tcPr>
            <w:tcW w:w="178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1</w:t>
            </w:r>
            <w:r w:rsidR="00226ADE">
              <w:rPr>
                <w:rFonts w:ascii="Arial" w:eastAsia="Times New Roman" w:hAnsi="Arial" w:cs="Arial"/>
                <w:b/>
                <w:sz w:val="20"/>
                <w:szCs w:val="20"/>
              </w:rPr>
              <w:t xml:space="preserve"> </w:t>
            </w:r>
            <w:r w:rsidRPr="00981513">
              <w:rPr>
                <w:rFonts w:ascii="Arial" w:eastAsia="Times New Roman" w:hAnsi="Arial" w:cs="Arial"/>
                <w:b/>
                <w:sz w:val="20"/>
                <w:szCs w:val="20"/>
                <w:lang w:val="en-US"/>
              </w:rPr>
              <w:t>396,98</w:t>
            </w:r>
          </w:p>
        </w:tc>
      </w:tr>
      <w:tr w:rsidR="00C726FE" w:rsidRPr="00981513" w:rsidTr="005A63BD">
        <w:trPr>
          <w:trHeight w:val="264"/>
          <w:jc w:val="center"/>
        </w:trPr>
        <w:tc>
          <w:tcPr>
            <w:tcW w:w="3880" w:type="dxa"/>
            <w:shd w:val="clear" w:color="auto" w:fill="auto"/>
            <w:noWrap/>
            <w:vAlign w:val="bottom"/>
            <w:hideMark/>
          </w:tcPr>
          <w:p w:rsidR="00981513" w:rsidRPr="00981513" w:rsidRDefault="00981513" w:rsidP="00981513">
            <w:pPr>
              <w:rPr>
                <w:rFonts w:ascii="Arial" w:eastAsia="Times New Roman" w:hAnsi="Arial" w:cs="Arial"/>
                <w:b/>
                <w:sz w:val="20"/>
                <w:szCs w:val="20"/>
              </w:rPr>
            </w:pPr>
            <w:r w:rsidRPr="00981513">
              <w:rPr>
                <w:rFonts w:ascii="Arial" w:eastAsia="Times New Roman" w:hAnsi="Arial" w:cs="Arial"/>
                <w:b/>
                <w:sz w:val="20"/>
                <w:szCs w:val="20"/>
              </w:rPr>
              <w:t>Чешка република</w:t>
            </w:r>
          </w:p>
        </w:tc>
        <w:tc>
          <w:tcPr>
            <w:tcW w:w="1648"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507,2</w:t>
            </w:r>
          </w:p>
        </w:tc>
        <w:tc>
          <w:tcPr>
            <w:tcW w:w="154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749</w:t>
            </w:r>
            <w:r w:rsidR="00226ADE">
              <w:rPr>
                <w:rFonts w:ascii="Arial" w:eastAsia="Times New Roman" w:hAnsi="Arial" w:cs="Arial"/>
                <w:b/>
                <w:sz w:val="20"/>
                <w:szCs w:val="20"/>
              </w:rPr>
              <w:t xml:space="preserve"> </w:t>
            </w:r>
            <w:r w:rsidRPr="00981513">
              <w:rPr>
                <w:rFonts w:ascii="Arial" w:eastAsia="Times New Roman" w:hAnsi="Arial" w:cs="Arial"/>
                <w:b/>
                <w:sz w:val="20"/>
                <w:szCs w:val="20"/>
                <w:lang w:val="en-US"/>
              </w:rPr>
              <w:t>500</w:t>
            </w:r>
          </w:p>
        </w:tc>
        <w:tc>
          <w:tcPr>
            <w:tcW w:w="1780" w:type="dxa"/>
            <w:shd w:val="clear" w:color="auto" w:fill="auto"/>
            <w:noWrap/>
            <w:vAlign w:val="bottom"/>
            <w:hideMark/>
          </w:tcPr>
          <w:p w:rsidR="00981513" w:rsidRPr="00981513" w:rsidRDefault="00226ADE" w:rsidP="00981513">
            <w:pPr>
              <w:jc w:val="center"/>
              <w:rPr>
                <w:rFonts w:ascii="Arial" w:eastAsia="Times New Roman" w:hAnsi="Arial" w:cs="Arial"/>
                <w:b/>
                <w:sz w:val="20"/>
                <w:szCs w:val="20"/>
                <w:lang w:val="en-US"/>
              </w:rPr>
            </w:pPr>
            <w:r>
              <w:rPr>
                <w:rFonts w:ascii="Arial" w:eastAsia="Times New Roman" w:hAnsi="Arial" w:cs="Arial"/>
                <w:b/>
                <w:sz w:val="20"/>
                <w:szCs w:val="20"/>
              </w:rPr>
              <w:t xml:space="preserve"> </w:t>
            </w:r>
            <w:r w:rsidR="00981513" w:rsidRPr="00981513">
              <w:rPr>
                <w:rFonts w:ascii="Arial" w:eastAsia="Times New Roman" w:hAnsi="Arial" w:cs="Arial"/>
                <w:b/>
                <w:sz w:val="20"/>
                <w:szCs w:val="20"/>
                <w:lang w:val="en-US"/>
              </w:rPr>
              <w:t>1</w:t>
            </w:r>
            <w:r>
              <w:rPr>
                <w:rFonts w:ascii="Arial" w:eastAsia="Times New Roman" w:hAnsi="Arial" w:cs="Arial"/>
                <w:b/>
                <w:sz w:val="20"/>
                <w:szCs w:val="20"/>
              </w:rPr>
              <w:t xml:space="preserve"> </w:t>
            </w:r>
            <w:r w:rsidR="00981513" w:rsidRPr="00981513">
              <w:rPr>
                <w:rFonts w:ascii="Arial" w:eastAsia="Times New Roman" w:hAnsi="Arial" w:cs="Arial"/>
                <w:b/>
                <w:sz w:val="20"/>
                <w:szCs w:val="20"/>
                <w:lang w:val="en-US"/>
              </w:rPr>
              <w:t>477,65</w:t>
            </w:r>
          </w:p>
        </w:tc>
      </w:tr>
      <w:tr w:rsidR="00C726FE" w:rsidRPr="00981513" w:rsidTr="005A63BD">
        <w:trPr>
          <w:trHeight w:val="264"/>
          <w:jc w:val="center"/>
        </w:trPr>
        <w:tc>
          <w:tcPr>
            <w:tcW w:w="3880" w:type="dxa"/>
            <w:shd w:val="clear" w:color="auto" w:fill="auto"/>
            <w:noWrap/>
            <w:vAlign w:val="bottom"/>
            <w:hideMark/>
          </w:tcPr>
          <w:p w:rsidR="00981513" w:rsidRPr="00981513" w:rsidRDefault="00981513" w:rsidP="00981513">
            <w:pPr>
              <w:rPr>
                <w:rFonts w:ascii="Arial" w:eastAsia="Times New Roman" w:hAnsi="Arial" w:cs="Arial"/>
                <w:b/>
                <w:sz w:val="20"/>
                <w:szCs w:val="20"/>
              </w:rPr>
            </w:pPr>
            <w:r w:rsidRPr="00981513">
              <w:rPr>
                <w:rFonts w:ascii="Arial" w:eastAsia="Times New Roman" w:hAnsi="Arial" w:cs="Arial"/>
                <w:b/>
                <w:sz w:val="20"/>
                <w:szCs w:val="20"/>
              </w:rPr>
              <w:t>Литва</w:t>
            </w:r>
          </w:p>
        </w:tc>
        <w:tc>
          <w:tcPr>
            <w:tcW w:w="1648"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175,8</w:t>
            </w:r>
          </w:p>
        </w:tc>
        <w:tc>
          <w:tcPr>
            <w:tcW w:w="154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200</w:t>
            </w:r>
            <w:r w:rsidR="00226ADE">
              <w:rPr>
                <w:rFonts w:ascii="Arial" w:eastAsia="Times New Roman" w:hAnsi="Arial" w:cs="Arial"/>
                <w:b/>
                <w:sz w:val="20"/>
                <w:szCs w:val="20"/>
              </w:rPr>
              <w:t xml:space="preserve"> </w:t>
            </w:r>
            <w:r w:rsidRPr="00981513">
              <w:rPr>
                <w:rFonts w:ascii="Arial" w:eastAsia="Times New Roman" w:hAnsi="Arial" w:cs="Arial"/>
                <w:b/>
                <w:sz w:val="20"/>
                <w:szCs w:val="20"/>
                <w:lang w:val="en-US"/>
              </w:rPr>
              <w:t>249</w:t>
            </w:r>
          </w:p>
        </w:tc>
        <w:tc>
          <w:tcPr>
            <w:tcW w:w="1780" w:type="dxa"/>
            <w:shd w:val="clear" w:color="auto" w:fill="auto"/>
            <w:noWrap/>
            <w:vAlign w:val="bottom"/>
            <w:hideMark/>
          </w:tcPr>
          <w:p w:rsidR="00981513" w:rsidRPr="00981513" w:rsidRDefault="00226ADE" w:rsidP="00981513">
            <w:pPr>
              <w:jc w:val="center"/>
              <w:rPr>
                <w:rFonts w:ascii="Arial" w:eastAsia="Times New Roman" w:hAnsi="Arial" w:cs="Arial"/>
                <w:b/>
                <w:sz w:val="20"/>
                <w:szCs w:val="20"/>
                <w:lang w:val="en-US"/>
              </w:rPr>
            </w:pPr>
            <w:r>
              <w:rPr>
                <w:rFonts w:ascii="Arial" w:eastAsia="Times New Roman" w:hAnsi="Arial" w:cs="Arial"/>
                <w:b/>
                <w:sz w:val="20"/>
                <w:szCs w:val="20"/>
              </w:rPr>
              <w:t xml:space="preserve"> </w:t>
            </w:r>
            <w:r w:rsidR="00981513" w:rsidRPr="00981513">
              <w:rPr>
                <w:rFonts w:ascii="Arial" w:eastAsia="Times New Roman" w:hAnsi="Arial" w:cs="Arial"/>
                <w:b/>
                <w:sz w:val="20"/>
                <w:szCs w:val="20"/>
                <w:lang w:val="en-US"/>
              </w:rPr>
              <w:t>1</w:t>
            </w:r>
            <w:r>
              <w:rPr>
                <w:rFonts w:ascii="Arial" w:eastAsia="Times New Roman" w:hAnsi="Arial" w:cs="Arial"/>
                <w:b/>
                <w:sz w:val="20"/>
                <w:szCs w:val="20"/>
              </w:rPr>
              <w:t xml:space="preserve"> </w:t>
            </w:r>
            <w:r w:rsidR="00981513" w:rsidRPr="00981513">
              <w:rPr>
                <w:rFonts w:ascii="Arial" w:eastAsia="Times New Roman" w:hAnsi="Arial" w:cs="Arial"/>
                <w:b/>
                <w:sz w:val="20"/>
                <w:szCs w:val="20"/>
                <w:lang w:val="en-US"/>
              </w:rPr>
              <w:t>139,07</w:t>
            </w:r>
          </w:p>
        </w:tc>
      </w:tr>
      <w:tr w:rsidR="00C726FE" w:rsidRPr="00981513" w:rsidTr="005A63BD">
        <w:trPr>
          <w:trHeight w:val="264"/>
          <w:jc w:val="center"/>
        </w:trPr>
        <w:tc>
          <w:tcPr>
            <w:tcW w:w="3880" w:type="dxa"/>
            <w:shd w:val="clear" w:color="auto" w:fill="auto"/>
            <w:noWrap/>
            <w:vAlign w:val="bottom"/>
            <w:hideMark/>
          </w:tcPr>
          <w:p w:rsidR="00981513" w:rsidRPr="00981513" w:rsidRDefault="00981513" w:rsidP="00981513">
            <w:pPr>
              <w:rPr>
                <w:rFonts w:ascii="Arial" w:eastAsia="Times New Roman" w:hAnsi="Arial" w:cs="Arial"/>
                <w:b/>
                <w:sz w:val="20"/>
                <w:szCs w:val="20"/>
              </w:rPr>
            </w:pPr>
            <w:r w:rsidRPr="00981513">
              <w:rPr>
                <w:rFonts w:ascii="Arial" w:eastAsia="Times New Roman" w:hAnsi="Arial" w:cs="Arial"/>
                <w:b/>
                <w:sz w:val="20"/>
                <w:szCs w:val="20"/>
              </w:rPr>
              <w:t>Германия</w:t>
            </w:r>
          </w:p>
        </w:tc>
        <w:tc>
          <w:tcPr>
            <w:tcW w:w="1648"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55,9</w:t>
            </w:r>
          </w:p>
        </w:tc>
        <w:tc>
          <w:tcPr>
            <w:tcW w:w="154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100</w:t>
            </w:r>
            <w:r w:rsidR="00226ADE">
              <w:rPr>
                <w:rFonts w:ascii="Arial" w:eastAsia="Times New Roman" w:hAnsi="Arial" w:cs="Arial"/>
                <w:b/>
                <w:sz w:val="20"/>
                <w:szCs w:val="20"/>
              </w:rPr>
              <w:t xml:space="preserve"> </w:t>
            </w:r>
            <w:r w:rsidRPr="00981513">
              <w:rPr>
                <w:rFonts w:ascii="Arial" w:eastAsia="Times New Roman" w:hAnsi="Arial" w:cs="Arial"/>
                <w:b/>
                <w:sz w:val="20"/>
                <w:szCs w:val="20"/>
                <w:lang w:val="en-US"/>
              </w:rPr>
              <w:t>301</w:t>
            </w:r>
          </w:p>
        </w:tc>
        <w:tc>
          <w:tcPr>
            <w:tcW w:w="1780" w:type="dxa"/>
            <w:shd w:val="clear" w:color="auto" w:fill="auto"/>
            <w:noWrap/>
            <w:vAlign w:val="bottom"/>
            <w:hideMark/>
          </w:tcPr>
          <w:p w:rsidR="00981513" w:rsidRPr="00981513" w:rsidRDefault="00226ADE" w:rsidP="00981513">
            <w:pPr>
              <w:jc w:val="center"/>
              <w:rPr>
                <w:rFonts w:ascii="Arial" w:eastAsia="Times New Roman" w:hAnsi="Arial" w:cs="Arial"/>
                <w:b/>
                <w:sz w:val="20"/>
                <w:szCs w:val="20"/>
                <w:lang w:val="en-US"/>
              </w:rPr>
            </w:pPr>
            <w:r>
              <w:rPr>
                <w:rFonts w:ascii="Arial" w:eastAsia="Times New Roman" w:hAnsi="Arial" w:cs="Arial"/>
                <w:b/>
                <w:sz w:val="20"/>
                <w:szCs w:val="20"/>
              </w:rPr>
              <w:t xml:space="preserve"> </w:t>
            </w:r>
            <w:r w:rsidR="00981513" w:rsidRPr="00981513">
              <w:rPr>
                <w:rFonts w:ascii="Arial" w:eastAsia="Times New Roman" w:hAnsi="Arial" w:cs="Arial"/>
                <w:b/>
                <w:sz w:val="20"/>
                <w:szCs w:val="20"/>
                <w:lang w:val="en-US"/>
              </w:rPr>
              <w:t>1</w:t>
            </w:r>
            <w:r>
              <w:rPr>
                <w:rFonts w:ascii="Arial" w:eastAsia="Times New Roman" w:hAnsi="Arial" w:cs="Arial"/>
                <w:b/>
                <w:sz w:val="20"/>
                <w:szCs w:val="20"/>
              </w:rPr>
              <w:t xml:space="preserve"> </w:t>
            </w:r>
            <w:r w:rsidR="00981513" w:rsidRPr="00981513">
              <w:rPr>
                <w:rFonts w:ascii="Arial" w:eastAsia="Times New Roman" w:hAnsi="Arial" w:cs="Arial"/>
                <w:b/>
                <w:sz w:val="20"/>
                <w:szCs w:val="20"/>
                <w:lang w:val="en-US"/>
              </w:rPr>
              <w:t>795,67</w:t>
            </w:r>
          </w:p>
        </w:tc>
      </w:tr>
      <w:tr w:rsidR="00C726FE" w:rsidRPr="00981513" w:rsidTr="005A63BD">
        <w:trPr>
          <w:trHeight w:val="264"/>
          <w:jc w:val="center"/>
        </w:trPr>
        <w:tc>
          <w:tcPr>
            <w:tcW w:w="3880" w:type="dxa"/>
            <w:shd w:val="clear" w:color="auto" w:fill="auto"/>
            <w:noWrap/>
            <w:vAlign w:val="bottom"/>
            <w:hideMark/>
          </w:tcPr>
          <w:p w:rsidR="00981513" w:rsidRPr="00981513" w:rsidRDefault="00981513" w:rsidP="00981513">
            <w:pPr>
              <w:rPr>
                <w:rFonts w:ascii="Arial" w:eastAsia="Times New Roman" w:hAnsi="Arial" w:cs="Arial"/>
                <w:b/>
                <w:sz w:val="20"/>
                <w:szCs w:val="20"/>
              </w:rPr>
            </w:pPr>
            <w:r w:rsidRPr="00981513">
              <w:rPr>
                <w:rFonts w:ascii="Arial" w:eastAsia="Times New Roman" w:hAnsi="Arial" w:cs="Arial"/>
                <w:b/>
                <w:sz w:val="20"/>
                <w:szCs w:val="20"/>
              </w:rPr>
              <w:t>Словакия</w:t>
            </w:r>
          </w:p>
        </w:tc>
        <w:tc>
          <w:tcPr>
            <w:tcW w:w="1648"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48,8</w:t>
            </w:r>
          </w:p>
        </w:tc>
        <w:tc>
          <w:tcPr>
            <w:tcW w:w="154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74</w:t>
            </w:r>
            <w:r w:rsidR="00226ADE">
              <w:rPr>
                <w:rFonts w:ascii="Arial" w:eastAsia="Times New Roman" w:hAnsi="Arial" w:cs="Arial"/>
                <w:b/>
                <w:sz w:val="20"/>
                <w:szCs w:val="20"/>
              </w:rPr>
              <w:t xml:space="preserve"> </w:t>
            </w:r>
            <w:r w:rsidRPr="00981513">
              <w:rPr>
                <w:rFonts w:ascii="Arial" w:eastAsia="Times New Roman" w:hAnsi="Arial" w:cs="Arial"/>
                <w:b/>
                <w:sz w:val="20"/>
                <w:szCs w:val="20"/>
                <w:lang w:val="en-US"/>
              </w:rPr>
              <w:t>852</w:t>
            </w:r>
          </w:p>
        </w:tc>
        <w:tc>
          <w:tcPr>
            <w:tcW w:w="178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1</w:t>
            </w:r>
            <w:r w:rsidR="00226ADE">
              <w:rPr>
                <w:rFonts w:ascii="Arial" w:eastAsia="Times New Roman" w:hAnsi="Arial" w:cs="Arial"/>
                <w:b/>
                <w:sz w:val="20"/>
                <w:szCs w:val="20"/>
              </w:rPr>
              <w:t xml:space="preserve"> </w:t>
            </w:r>
            <w:r w:rsidRPr="00981513">
              <w:rPr>
                <w:rFonts w:ascii="Arial" w:eastAsia="Times New Roman" w:hAnsi="Arial" w:cs="Arial"/>
                <w:b/>
                <w:sz w:val="20"/>
                <w:szCs w:val="20"/>
                <w:lang w:val="en-US"/>
              </w:rPr>
              <w:t>533,7</w:t>
            </w:r>
          </w:p>
        </w:tc>
      </w:tr>
      <w:tr w:rsidR="00C726FE" w:rsidRPr="00981513" w:rsidTr="005A63BD">
        <w:trPr>
          <w:trHeight w:val="264"/>
          <w:jc w:val="center"/>
        </w:trPr>
        <w:tc>
          <w:tcPr>
            <w:tcW w:w="3880" w:type="dxa"/>
            <w:shd w:val="clear" w:color="auto" w:fill="auto"/>
            <w:noWrap/>
            <w:vAlign w:val="bottom"/>
            <w:hideMark/>
          </w:tcPr>
          <w:p w:rsidR="00981513" w:rsidRPr="00981513" w:rsidRDefault="00981513" w:rsidP="00981513">
            <w:pPr>
              <w:rPr>
                <w:rFonts w:ascii="Arial" w:eastAsia="Times New Roman" w:hAnsi="Arial" w:cs="Arial"/>
                <w:b/>
                <w:sz w:val="20"/>
                <w:szCs w:val="20"/>
              </w:rPr>
            </w:pPr>
            <w:r w:rsidRPr="00981513">
              <w:rPr>
                <w:rFonts w:ascii="Arial" w:eastAsia="Times New Roman" w:hAnsi="Arial" w:cs="Arial"/>
                <w:b/>
                <w:sz w:val="20"/>
                <w:szCs w:val="20"/>
              </w:rPr>
              <w:t>Обединено кралство</w:t>
            </w:r>
          </w:p>
        </w:tc>
        <w:tc>
          <w:tcPr>
            <w:tcW w:w="1648"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21,1</w:t>
            </w:r>
          </w:p>
        </w:tc>
        <w:tc>
          <w:tcPr>
            <w:tcW w:w="154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33</w:t>
            </w:r>
            <w:r w:rsidR="00226ADE">
              <w:rPr>
                <w:rFonts w:ascii="Arial" w:eastAsia="Times New Roman" w:hAnsi="Arial" w:cs="Arial"/>
                <w:b/>
                <w:sz w:val="20"/>
                <w:szCs w:val="20"/>
              </w:rPr>
              <w:t xml:space="preserve"> </w:t>
            </w:r>
            <w:r w:rsidRPr="00981513">
              <w:rPr>
                <w:rFonts w:ascii="Arial" w:eastAsia="Times New Roman" w:hAnsi="Arial" w:cs="Arial"/>
                <w:b/>
                <w:sz w:val="20"/>
                <w:szCs w:val="20"/>
                <w:lang w:val="en-US"/>
              </w:rPr>
              <w:t>890</w:t>
            </w:r>
          </w:p>
        </w:tc>
        <w:tc>
          <w:tcPr>
            <w:tcW w:w="178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1</w:t>
            </w:r>
            <w:r w:rsidR="00226ADE">
              <w:rPr>
                <w:rFonts w:ascii="Arial" w:eastAsia="Times New Roman" w:hAnsi="Arial" w:cs="Arial"/>
                <w:b/>
                <w:sz w:val="20"/>
                <w:szCs w:val="20"/>
              </w:rPr>
              <w:t xml:space="preserve"> </w:t>
            </w:r>
            <w:r w:rsidRPr="00981513">
              <w:rPr>
                <w:rFonts w:ascii="Arial" w:eastAsia="Times New Roman" w:hAnsi="Arial" w:cs="Arial"/>
                <w:b/>
                <w:sz w:val="20"/>
                <w:szCs w:val="20"/>
                <w:lang w:val="en-US"/>
              </w:rPr>
              <w:t>603,2</w:t>
            </w:r>
          </w:p>
        </w:tc>
      </w:tr>
      <w:tr w:rsidR="00C726FE" w:rsidRPr="00981513" w:rsidTr="005A63BD">
        <w:trPr>
          <w:trHeight w:val="264"/>
          <w:jc w:val="center"/>
        </w:trPr>
        <w:tc>
          <w:tcPr>
            <w:tcW w:w="3880" w:type="dxa"/>
            <w:shd w:val="clear" w:color="auto" w:fill="auto"/>
            <w:noWrap/>
            <w:vAlign w:val="bottom"/>
            <w:hideMark/>
          </w:tcPr>
          <w:p w:rsidR="00981513" w:rsidRPr="00981513" w:rsidRDefault="00981513" w:rsidP="00981513">
            <w:pPr>
              <w:rPr>
                <w:rFonts w:ascii="Arial" w:eastAsia="Times New Roman" w:hAnsi="Arial" w:cs="Arial"/>
                <w:b/>
                <w:sz w:val="20"/>
                <w:szCs w:val="20"/>
              </w:rPr>
            </w:pPr>
            <w:r w:rsidRPr="00981513">
              <w:rPr>
                <w:rFonts w:ascii="Arial" w:eastAsia="Times New Roman" w:hAnsi="Arial" w:cs="Arial"/>
                <w:b/>
                <w:sz w:val="20"/>
                <w:szCs w:val="20"/>
              </w:rPr>
              <w:t>Гърция</w:t>
            </w:r>
          </w:p>
        </w:tc>
        <w:tc>
          <w:tcPr>
            <w:tcW w:w="1648"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2,6</w:t>
            </w:r>
          </w:p>
        </w:tc>
        <w:tc>
          <w:tcPr>
            <w:tcW w:w="154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2</w:t>
            </w:r>
            <w:r w:rsidR="00226ADE">
              <w:rPr>
                <w:rFonts w:ascii="Arial" w:eastAsia="Times New Roman" w:hAnsi="Arial" w:cs="Arial"/>
                <w:b/>
                <w:sz w:val="20"/>
                <w:szCs w:val="20"/>
              </w:rPr>
              <w:t xml:space="preserve"> </w:t>
            </w:r>
            <w:r w:rsidRPr="00981513">
              <w:rPr>
                <w:rFonts w:ascii="Arial" w:eastAsia="Times New Roman" w:hAnsi="Arial" w:cs="Arial"/>
                <w:b/>
                <w:sz w:val="20"/>
                <w:szCs w:val="20"/>
                <w:lang w:val="en-US"/>
              </w:rPr>
              <w:t>764</w:t>
            </w:r>
          </w:p>
        </w:tc>
        <w:tc>
          <w:tcPr>
            <w:tcW w:w="1780" w:type="dxa"/>
            <w:shd w:val="clear" w:color="auto" w:fill="auto"/>
            <w:noWrap/>
            <w:vAlign w:val="bottom"/>
            <w:hideMark/>
          </w:tcPr>
          <w:p w:rsidR="00981513" w:rsidRPr="00981513" w:rsidRDefault="00226ADE" w:rsidP="00981513">
            <w:pPr>
              <w:jc w:val="center"/>
              <w:rPr>
                <w:rFonts w:ascii="Arial" w:eastAsia="Times New Roman" w:hAnsi="Arial" w:cs="Arial"/>
                <w:b/>
                <w:sz w:val="20"/>
                <w:szCs w:val="20"/>
                <w:lang w:val="en-US"/>
              </w:rPr>
            </w:pPr>
            <w:r>
              <w:rPr>
                <w:rFonts w:ascii="Arial" w:eastAsia="Times New Roman" w:hAnsi="Arial" w:cs="Arial"/>
                <w:b/>
                <w:sz w:val="20"/>
                <w:szCs w:val="20"/>
              </w:rPr>
              <w:t xml:space="preserve">  </w:t>
            </w:r>
            <w:r w:rsidR="00981513" w:rsidRPr="00981513">
              <w:rPr>
                <w:rFonts w:ascii="Arial" w:eastAsia="Times New Roman" w:hAnsi="Arial" w:cs="Arial"/>
                <w:b/>
                <w:sz w:val="20"/>
                <w:szCs w:val="20"/>
                <w:lang w:val="en-US"/>
              </w:rPr>
              <w:t>1</w:t>
            </w:r>
            <w:r>
              <w:rPr>
                <w:rFonts w:ascii="Arial" w:eastAsia="Times New Roman" w:hAnsi="Arial" w:cs="Arial"/>
                <w:b/>
                <w:sz w:val="20"/>
                <w:szCs w:val="20"/>
              </w:rPr>
              <w:t xml:space="preserve"> </w:t>
            </w:r>
            <w:r w:rsidR="00981513" w:rsidRPr="00981513">
              <w:rPr>
                <w:rFonts w:ascii="Arial" w:eastAsia="Times New Roman" w:hAnsi="Arial" w:cs="Arial"/>
                <w:b/>
                <w:sz w:val="20"/>
                <w:szCs w:val="20"/>
                <w:lang w:val="en-US"/>
              </w:rPr>
              <w:t>047,76</w:t>
            </w:r>
          </w:p>
        </w:tc>
      </w:tr>
      <w:tr w:rsidR="00C726FE" w:rsidRPr="00981513" w:rsidTr="005A63BD">
        <w:trPr>
          <w:trHeight w:val="264"/>
          <w:jc w:val="center"/>
        </w:trPr>
        <w:tc>
          <w:tcPr>
            <w:tcW w:w="3880" w:type="dxa"/>
            <w:shd w:val="clear" w:color="auto" w:fill="auto"/>
            <w:noWrap/>
            <w:vAlign w:val="bottom"/>
            <w:hideMark/>
          </w:tcPr>
          <w:p w:rsidR="00981513" w:rsidRPr="00981513" w:rsidRDefault="00981513" w:rsidP="00981513">
            <w:pPr>
              <w:rPr>
                <w:rFonts w:ascii="Arial" w:eastAsia="Times New Roman" w:hAnsi="Arial" w:cs="Arial"/>
                <w:b/>
                <w:sz w:val="20"/>
                <w:szCs w:val="20"/>
              </w:rPr>
            </w:pPr>
            <w:r w:rsidRPr="00981513">
              <w:rPr>
                <w:rFonts w:ascii="Arial" w:eastAsia="Times New Roman" w:hAnsi="Arial" w:cs="Arial"/>
                <w:b/>
                <w:sz w:val="20"/>
                <w:szCs w:val="20"/>
              </w:rPr>
              <w:t>Белгия</w:t>
            </w:r>
          </w:p>
        </w:tc>
        <w:tc>
          <w:tcPr>
            <w:tcW w:w="1648"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1,8</w:t>
            </w:r>
          </w:p>
        </w:tc>
        <w:tc>
          <w:tcPr>
            <w:tcW w:w="154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1612</w:t>
            </w:r>
          </w:p>
        </w:tc>
        <w:tc>
          <w:tcPr>
            <w:tcW w:w="178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918</w:t>
            </w:r>
          </w:p>
        </w:tc>
      </w:tr>
      <w:tr w:rsidR="00C726FE" w:rsidRPr="00981513" w:rsidTr="005A63BD">
        <w:trPr>
          <w:trHeight w:val="264"/>
          <w:jc w:val="center"/>
        </w:trPr>
        <w:tc>
          <w:tcPr>
            <w:tcW w:w="3880" w:type="dxa"/>
            <w:shd w:val="clear" w:color="auto" w:fill="auto"/>
            <w:noWrap/>
            <w:vAlign w:val="bottom"/>
            <w:hideMark/>
          </w:tcPr>
          <w:p w:rsidR="00981513" w:rsidRPr="00981513" w:rsidRDefault="00981513" w:rsidP="00981513">
            <w:pPr>
              <w:rPr>
                <w:rFonts w:ascii="Arial" w:eastAsia="Times New Roman" w:hAnsi="Arial" w:cs="Arial"/>
                <w:b/>
                <w:sz w:val="20"/>
                <w:szCs w:val="20"/>
              </w:rPr>
            </w:pPr>
            <w:r w:rsidRPr="00981513">
              <w:rPr>
                <w:rFonts w:ascii="Arial" w:eastAsia="Times New Roman" w:hAnsi="Arial" w:cs="Arial"/>
                <w:b/>
                <w:sz w:val="20"/>
                <w:szCs w:val="20"/>
              </w:rPr>
              <w:t>Нидерландия</w:t>
            </w:r>
          </w:p>
        </w:tc>
        <w:tc>
          <w:tcPr>
            <w:tcW w:w="1648"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1,8</w:t>
            </w:r>
          </w:p>
        </w:tc>
        <w:tc>
          <w:tcPr>
            <w:tcW w:w="154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3170</w:t>
            </w:r>
          </w:p>
        </w:tc>
        <w:tc>
          <w:tcPr>
            <w:tcW w:w="178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1</w:t>
            </w:r>
            <w:r w:rsidR="00226ADE">
              <w:rPr>
                <w:rFonts w:ascii="Arial" w:eastAsia="Times New Roman" w:hAnsi="Arial" w:cs="Arial"/>
                <w:b/>
                <w:sz w:val="20"/>
                <w:szCs w:val="20"/>
              </w:rPr>
              <w:t xml:space="preserve"> </w:t>
            </w:r>
            <w:r w:rsidRPr="00981513">
              <w:rPr>
                <w:rFonts w:ascii="Arial" w:eastAsia="Times New Roman" w:hAnsi="Arial" w:cs="Arial"/>
                <w:b/>
                <w:sz w:val="20"/>
                <w:szCs w:val="20"/>
                <w:lang w:val="en-US"/>
              </w:rPr>
              <w:t>728,46</w:t>
            </w:r>
          </w:p>
        </w:tc>
      </w:tr>
      <w:tr w:rsidR="00C726FE" w:rsidRPr="00981513" w:rsidTr="005A63BD">
        <w:trPr>
          <w:trHeight w:val="264"/>
          <w:jc w:val="center"/>
        </w:trPr>
        <w:tc>
          <w:tcPr>
            <w:tcW w:w="3880" w:type="dxa"/>
            <w:shd w:val="clear" w:color="auto" w:fill="auto"/>
            <w:noWrap/>
            <w:vAlign w:val="bottom"/>
            <w:hideMark/>
          </w:tcPr>
          <w:p w:rsidR="00981513" w:rsidRPr="00981513" w:rsidRDefault="00981513" w:rsidP="00981513">
            <w:pPr>
              <w:rPr>
                <w:rFonts w:ascii="Arial" w:eastAsia="Times New Roman" w:hAnsi="Arial" w:cs="Arial"/>
                <w:b/>
                <w:sz w:val="20"/>
                <w:szCs w:val="20"/>
              </w:rPr>
            </w:pPr>
            <w:r w:rsidRPr="00981513">
              <w:rPr>
                <w:rFonts w:ascii="Arial" w:eastAsia="Times New Roman" w:hAnsi="Arial" w:cs="Arial"/>
                <w:b/>
                <w:sz w:val="20"/>
                <w:szCs w:val="20"/>
              </w:rPr>
              <w:t>Словения</w:t>
            </w:r>
          </w:p>
        </w:tc>
        <w:tc>
          <w:tcPr>
            <w:tcW w:w="1648"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1,6</w:t>
            </w:r>
          </w:p>
        </w:tc>
        <w:tc>
          <w:tcPr>
            <w:tcW w:w="1540" w:type="dxa"/>
            <w:shd w:val="clear" w:color="auto" w:fill="auto"/>
            <w:noWrap/>
            <w:vAlign w:val="bottom"/>
            <w:hideMark/>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1469</w:t>
            </w:r>
          </w:p>
        </w:tc>
        <w:tc>
          <w:tcPr>
            <w:tcW w:w="1780" w:type="dxa"/>
            <w:shd w:val="clear" w:color="auto" w:fill="auto"/>
            <w:noWrap/>
            <w:vAlign w:val="bottom"/>
            <w:hideMark/>
          </w:tcPr>
          <w:p w:rsidR="00981513" w:rsidRPr="00981513" w:rsidRDefault="00226ADE" w:rsidP="00981513">
            <w:pPr>
              <w:jc w:val="center"/>
              <w:rPr>
                <w:rFonts w:ascii="Arial" w:eastAsia="Times New Roman" w:hAnsi="Arial" w:cs="Arial"/>
                <w:b/>
                <w:sz w:val="20"/>
                <w:szCs w:val="20"/>
                <w:lang w:val="en-US"/>
              </w:rPr>
            </w:pPr>
            <w:r>
              <w:rPr>
                <w:rFonts w:ascii="Arial" w:eastAsia="Times New Roman" w:hAnsi="Arial" w:cs="Arial"/>
                <w:b/>
                <w:sz w:val="20"/>
                <w:szCs w:val="20"/>
              </w:rPr>
              <w:t xml:space="preserve">  </w:t>
            </w:r>
            <w:r w:rsidR="00981513" w:rsidRPr="00981513">
              <w:rPr>
                <w:rFonts w:ascii="Arial" w:eastAsia="Times New Roman" w:hAnsi="Arial" w:cs="Arial"/>
                <w:b/>
                <w:sz w:val="20"/>
                <w:szCs w:val="20"/>
                <w:lang w:val="en-US"/>
              </w:rPr>
              <w:t>915,84</w:t>
            </w:r>
          </w:p>
        </w:tc>
      </w:tr>
      <w:tr w:rsidR="00981513" w:rsidRPr="00981513" w:rsidTr="005A63BD">
        <w:trPr>
          <w:trHeight w:val="264"/>
          <w:jc w:val="center"/>
        </w:trPr>
        <w:tc>
          <w:tcPr>
            <w:tcW w:w="3880" w:type="dxa"/>
            <w:shd w:val="clear" w:color="auto" w:fill="auto"/>
            <w:noWrap/>
            <w:vAlign w:val="bottom"/>
          </w:tcPr>
          <w:p w:rsidR="00981513" w:rsidRPr="00981513" w:rsidRDefault="00981513" w:rsidP="00981513">
            <w:pPr>
              <w:rPr>
                <w:rFonts w:ascii="Arial" w:eastAsia="Times New Roman" w:hAnsi="Arial" w:cs="Arial"/>
                <w:b/>
                <w:sz w:val="20"/>
                <w:szCs w:val="20"/>
              </w:rPr>
            </w:pPr>
            <w:r w:rsidRPr="00981513">
              <w:rPr>
                <w:rFonts w:ascii="Arial" w:eastAsia="Times New Roman" w:hAnsi="Arial" w:cs="Arial"/>
                <w:b/>
                <w:sz w:val="20"/>
                <w:szCs w:val="20"/>
              </w:rPr>
              <w:t>ОБЩО</w:t>
            </w:r>
            <w:r w:rsidRPr="00981513">
              <w:rPr>
                <w:rFonts w:ascii="Arial" w:eastAsia="Times New Roman" w:hAnsi="Arial" w:cs="Arial"/>
                <w:b/>
                <w:sz w:val="20"/>
                <w:szCs w:val="20"/>
              </w:rPr>
              <w:tab/>
            </w:r>
            <w:r w:rsidRPr="00981513">
              <w:rPr>
                <w:rFonts w:ascii="Arial" w:eastAsia="Times New Roman" w:hAnsi="Arial" w:cs="Arial"/>
                <w:b/>
                <w:sz w:val="20"/>
                <w:szCs w:val="20"/>
              </w:rPr>
              <w:tab/>
            </w:r>
            <w:r w:rsidRPr="00981513">
              <w:rPr>
                <w:rFonts w:ascii="Arial" w:eastAsia="Times New Roman" w:hAnsi="Arial" w:cs="Arial"/>
                <w:b/>
                <w:sz w:val="20"/>
                <w:szCs w:val="20"/>
              </w:rPr>
              <w:tab/>
            </w:r>
          </w:p>
        </w:tc>
        <w:tc>
          <w:tcPr>
            <w:tcW w:w="1648" w:type="dxa"/>
            <w:shd w:val="clear" w:color="auto" w:fill="auto"/>
            <w:noWrap/>
            <w:vAlign w:val="bottom"/>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4</w:t>
            </w:r>
            <w:r>
              <w:rPr>
                <w:rFonts w:ascii="Arial" w:eastAsia="Times New Roman" w:hAnsi="Arial" w:cs="Arial"/>
                <w:b/>
                <w:sz w:val="20"/>
                <w:szCs w:val="20"/>
              </w:rPr>
              <w:t xml:space="preserve"> </w:t>
            </w:r>
            <w:r w:rsidRPr="00981513">
              <w:rPr>
                <w:rFonts w:ascii="Arial" w:eastAsia="Times New Roman" w:hAnsi="Arial" w:cs="Arial"/>
                <w:b/>
                <w:sz w:val="20"/>
                <w:szCs w:val="20"/>
                <w:lang w:val="en-US"/>
              </w:rPr>
              <w:t>666,5</w:t>
            </w:r>
          </w:p>
        </w:tc>
        <w:tc>
          <w:tcPr>
            <w:tcW w:w="1540" w:type="dxa"/>
            <w:shd w:val="clear" w:color="auto" w:fill="auto"/>
            <w:noWrap/>
            <w:vAlign w:val="bottom"/>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5</w:t>
            </w:r>
            <w:r>
              <w:rPr>
                <w:rFonts w:ascii="Arial" w:eastAsia="Times New Roman" w:hAnsi="Arial" w:cs="Arial"/>
                <w:b/>
                <w:sz w:val="20"/>
                <w:szCs w:val="20"/>
              </w:rPr>
              <w:t> </w:t>
            </w:r>
            <w:r w:rsidRPr="00981513">
              <w:rPr>
                <w:rFonts w:ascii="Arial" w:eastAsia="Times New Roman" w:hAnsi="Arial" w:cs="Arial"/>
                <w:b/>
                <w:sz w:val="20"/>
                <w:szCs w:val="20"/>
                <w:lang w:val="en-US"/>
              </w:rPr>
              <w:t>805</w:t>
            </w:r>
            <w:r>
              <w:rPr>
                <w:rFonts w:ascii="Arial" w:eastAsia="Times New Roman" w:hAnsi="Arial" w:cs="Arial"/>
                <w:b/>
                <w:sz w:val="20"/>
                <w:szCs w:val="20"/>
              </w:rPr>
              <w:t xml:space="preserve"> </w:t>
            </w:r>
            <w:r w:rsidRPr="00981513">
              <w:rPr>
                <w:rFonts w:ascii="Arial" w:eastAsia="Times New Roman" w:hAnsi="Arial" w:cs="Arial"/>
                <w:b/>
                <w:sz w:val="20"/>
                <w:szCs w:val="20"/>
                <w:lang w:val="en-US"/>
              </w:rPr>
              <w:t>290</w:t>
            </w:r>
          </w:p>
        </w:tc>
        <w:tc>
          <w:tcPr>
            <w:tcW w:w="1780" w:type="dxa"/>
            <w:shd w:val="clear" w:color="auto" w:fill="auto"/>
            <w:noWrap/>
            <w:vAlign w:val="bottom"/>
          </w:tcPr>
          <w:p w:rsidR="00981513" w:rsidRPr="00981513" w:rsidRDefault="00981513" w:rsidP="00981513">
            <w:pPr>
              <w:jc w:val="center"/>
              <w:rPr>
                <w:rFonts w:ascii="Arial" w:eastAsia="Times New Roman" w:hAnsi="Arial" w:cs="Arial"/>
                <w:b/>
                <w:sz w:val="20"/>
                <w:szCs w:val="20"/>
                <w:lang w:val="en-US"/>
              </w:rPr>
            </w:pPr>
            <w:r w:rsidRPr="00981513">
              <w:rPr>
                <w:rFonts w:ascii="Arial" w:eastAsia="Times New Roman" w:hAnsi="Arial" w:cs="Arial"/>
                <w:b/>
                <w:sz w:val="20"/>
                <w:szCs w:val="20"/>
                <w:lang w:val="en-US"/>
              </w:rPr>
              <w:t>1</w:t>
            </w:r>
            <w:r w:rsidR="00226ADE">
              <w:rPr>
                <w:rFonts w:ascii="Arial" w:eastAsia="Times New Roman" w:hAnsi="Arial" w:cs="Arial"/>
                <w:b/>
                <w:sz w:val="20"/>
                <w:szCs w:val="20"/>
              </w:rPr>
              <w:t xml:space="preserve"> </w:t>
            </w:r>
            <w:r w:rsidRPr="00981513">
              <w:rPr>
                <w:rFonts w:ascii="Arial" w:eastAsia="Times New Roman" w:hAnsi="Arial" w:cs="Arial"/>
                <w:b/>
                <w:sz w:val="20"/>
                <w:szCs w:val="20"/>
                <w:lang w:val="en-US"/>
              </w:rPr>
              <w:t>244</w:t>
            </w:r>
          </w:p>
        </w:tc>
      </w:tr>
    </w:tbl>
    <w:p w:rsidR="00B41F33" w:rsidRDefault="007F6E21" w:rsidP="007B185F">
      <w:pPr>
        <w:spacing w:line="360" w:lineRule="auto"/>
        <w:ind w:firstLine="720"/>
        <w:jc w:val="both"/>
        <w:rPr>
          <w:sz w:val="24"/>
          <w:szCs w:val="24"/>
        </w:rPr>
      </w:pPr>
      <w:r>
        <w:rPr>
          <w:sz w:val="24"/>
          <w:szCs w:val="24"/>
        </w:rPr>
        <w:t>Източник НСИ 2017</w:t>
      </w:r>
    </w:p>
    <w:p w:rsidR="00DD5B8E" w:rsidRDefault="004E4F74" w:rsidP="007B185F">
      <w:pPr>
        <w:spacing w:line="360" w:lineRule="auto"/>
        <w:ind w:firstLine="720"/>
        <w:jc w:val="both"/>
        <w:rPr>
          <w:sz w:val="24"/>
          <w:szCs w:val="24"/>
        </w:rPr>
      </w:pPr>
      <w:r>
        <w:rPr>
          <w:sz w:val="24"/>
          <w:szCs w:val="24"/>
        </w:rPr>
        <w:t xml:space="preserve">Оранжерийните краставици в общ размер на 5 678 тона са реализирани </w:t>
      </w:r>
      <w:r w:rsidR="00F418C1">
        <w:rPr>
          <w:sz w:val="24"/>
          <w:szCs w:val="24"/>
        </w:rPr>
        <w:t xml:space="preserve">също </w:t>
      </w:r>
      <w:r>
        <w:rPr>
          <w:sz w:val="24"/>
          <w:szCs w:val="24"/>
        </w:rPr>
        <w:t>само на пазара на ЕС. Германия и Румъния заемат 60% от българския износ на краставици.</w:t>
      </w:r>
      <w:r w:rsidR="00963A1E">
        <w:rPr>
          <w:sz w:val="24"/>
          <w:szCs w:val="24"/>
        </w:rPr>
        <w:t xml:space="preserve"> </w:t>
      </w:r>
      <w:r>
        <w:rPr>
          <w:sz w:val="24"/>
          <w:szCs w:val="24"/>
        </w:rPr>
        <w:t>Средната износна цена на българските краставици е 1 061 долара/тон и превишава средната</w:t>
      </w:r>
      <w:r w:rsidR="00CE6A2B">
        <w:rPr>
          <w:sz w:val="24"/>
          <w:szCs w:val="24"/>
        </w:rPr>
        <w:t xml:space="preserve"> стойност на</w:t>
      </w:r>
      <w:r w:rsidR="00577147">
        <w:rPr>
          <w:sz w:val="24"/>
          <w:szCs w:val="24"/>
        </w:rPr>
        <w:t xml:space="preserve"> вносната цена.</w:t>
      </w:r>
      <w:r w:rsidR="00CE6A2B">
        <w:rPr>
          <w:sz w:val="24"/>
          <w:szCs w:val="24"/>
        </w:rPr>
        <w:t xml:space="preserve"> </w:t>
      </w:r>
    </w:p>
    <w:p w:rsidR="00CE6A2B" w:rsidRDefault="00CE6A2B" w:rsidP="0076070C">
      <w:pPr>
        <w:spacing w:line="360" w:lineRule="auto"/>
        <w:ind w:firstLine="720"/>
        <w:jc w:val="both"/>
        <w:rPr>
          <w:sz w:val="24"/>
          <w:szCs w:val="24"/>
        </w:rPr>
      </w:pPr>
      <w:r>
        <w:rPr>
          <w:sz w:val="24"/>
          <w:szCs w:val="24"/>
        </w:rPr>
        <w:t>През 2017</w:t>
      </w:r>
      <w:r w:rsidR="00963A1E">
        <w:rPr>
          <w:sz w:val="24"/>
          <w:szCs w:val="24"/>
        </w:rPr>
        <w:t xml:space="preserve"> </w:t>
      </w:r>
      <w:r>
        <w:rPr>
          <w:sz w:val="24"/>
          <w:szCs w:val="24"/>
        </w:rPr>
        <w:t>г. в страната е реализиран импорт на 17 876 тона краставици и 73 340 тона домати. От тези количества не всички са оранжерийни, но през летните месеци интензивността на вноса в страната на пресни краставици и домати значително намалява. Основно при краставиците, внос</w:t>
      </w:r>
      <w:r w:rsidR="00963A1E">
        <w:rPr>
          <w:sz w:val="24"/>
          <w:szCs w:val="24"/>
        </w:rPr>
        <w:t>ът</w:t>
      </w:r>
      <w:r>
        <w:rPr>
          <w:sz w:val="24"/>
          <w:szCs w:val="24"/>
        </w:rPr>
        <w:t xml:space="preserve"> се реализира от Турция – 4 250 тона или –24 % от всички количества, следван от вноса от Албания – 2 708 тона и Македония с 1 310 тона.</w:t>
      </w:r>
      <w:r w:rsidR="0076070C">
        <w:rPr>
          <w:sz w:val="24"/>
          <w:szCs w:val="24"/>
        </w:rPr>
        <w:t xml:space="preserve"> </w:t>
      </w:r>
      <w:r>
        <w:rPr>
          <w:sz w:val="24"/>
          <w:szCs w:val="24"/>
        </w:rPr>
        <w:t xml:space="preserve">В страната се внасят значително повече домати, като в структурата на вноса по географски критерии </w:t>
      </w:r>
      <w:r w:rsidR="004871CE">
        <w:rPr>
          <w:sz w:val="24"/>
          <w:szCs w:val="24"/>
        </w:rPr>
        <w:t>преобладават доматите с произход от Гърция – 30 148 тона, Турция – 20 131 тона, Македония – 3 225 тона.</w:t>
      </w:r>
    </w:p>
    <w:p w:rsidR="00DD5B8E" w:rsidRPr="00DD5B8E" w:rsidRDefault="00DD5B8E" w:rsidP="007B185F">
      <w:pPr>
        <w:spacing w:line="360" w:lineRule="auto"/>
        <w:ind w:firstLine="720"/>
        <w:jc w:val="both"/>
        <w:rPr>
          <w:b/>
          <w:sz w:val="24"/>
          <w:szCs w:val="24"/>
        </w:rPr>
      </w:pPr>
      <w:r w:rsidRPr="00DD5B8E">
        <w:rPr>
          <w:b/>
          <w:sz w:val="24"/>
          <w:szCs w:val="24"/>
        </w:rPr>
        <w:lastRenderedPageBreak/>
        <w:t xml:space="preserve">Експорт на оранжерийни  </w:t>
      </w:r>
      <w:r w:rsidR="003B1BF4">
        <w:rPr>
          <w:b/>
          <w:sz w:val="24"/>
          <w:szCs w:val="24"/>
        </w:rPr>
        <w:t>краставици</w:t>
      </w:r>
      <w:r w:rsidRPr="00DD5B8E">
        <w:rPr>
          <w:b/>
          <w:sz w:val="24"/>
          <w:szCs w:val="24"/>
        </w:rPr>
        <w:t xml:space="preserve"> през 2017г.</w:t>
      </w:r>
    </w:p>
    <w:tbl>
      <w:tblPr>
        <w:tblW w:w="8848" w:type="dxa"/>
        <w:jc w:val="center"/>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9"/>
        <w:gridCol w:w="1769"/>
        <w:gridCol w:w="1560"/>
        <w:gridCol w:w="1780"/>
      </w:tblGrid>
      <w:tr w:rsidR="003B1BF4" w:rsidRPr="00DD5B8E" w:rsidTr="005A63BD">
        <w:trPr>
          <w:trHeight w:val="264"/>
          <w:jc w:val="center"/>
        </w:trPr>
        <w:tc>
          <w:tcPr>
            <w:tcW w:w="3739" w:type="dxa"/>
            <w:shd w:val="clear" w:color="auto" w:fill="EAF1DD" w:themeFill="accent3" w:themeFillTint="33"/>
            <w:noWrap/>
            <w:vAlign w:val="bottom"/>
            <w:hideMark/>
          </w:tcPr>
          <w:p w:rsidR="00DD5B8E" w:rsidRPr="00DD5B8E" w:rsidRDefault="00DD5B8E" w:rsidP="00DD5B8E">
            <w:pPr>
              <w:rPr>
                <w:rFonts w:ascii="Arial" w:eastAsia="Times New Roman" w:hAnsi="Arial" w:cs="Arial"/>
                <w:b/>
                <w:sz w:val="20"/>
                <w:szCs w:val="20"/>
              </w:rPr>
            </w:pPr>
            <w:r w:rsidRPr="00DD5B8E">
              <w:rPr>
                <w:rFonts w:ascii="Arial" w:eastAsia="Times New Roman" w:hAnsi="Arial" w:cs="Arial"/>
                <w:b/>
                <w:sz w:val="20"/>
                <w:szCs w:val="20"/>
              </w:rPr>
              <w:t>Държава</w:t>
            </w:r>
          </w:p>
        </w:tc>
        <w:tc>
          <w:tcPr>
            <w:tcW w:w="1769" w:type="dxa"/>
            <w:shd w:val="clear" w:color="auto" w:fill="EAF1DD" w:themeFill="accent3" w:themeFillTint="33"/>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Общо тона за 2017</w:t>
            </w:r>
          </w:p>
        </w:tc>
        <w:tc>
          <w:tcPr>
            <w:tcW w:w="1560" w:type="dxa"/>
            <w:shd w:val="clear" w:color="auto" w:fill="EAF1DD" w:themeFill="accent3" w:themeFillTint="33"/>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Общо USD за 2017</w:t>
            </w:r>
          </w:p>
        </w:tc>
        <w:tc>
          <w:tcPr>
            <w:tcW w:w="1780" w:type="dxa"/>
            <w:shd w:val="clear" w:color="auto" w:fill="EAF1DD" w:themeFill="accent3" w:themeFillTint="33"/>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Ср. USD/тон за 2017</w:t>
            </w:r>
          </w:p>
        </w:tc>
      </w:tr>
      <w:tr w:rsidR="00DD5B8E" w:rsidRPr="00DD5B8E" w:rsidTr="005A63BD">
        <w:trPr>
          <w:trHeight w:val="264"/>
          <w:jc w:val="center"/>
        </w:trPr>
        <w:tc>
          <w:tcPr>
            <w:tcW w:w="3739" w:type="dxa"/>
            <w:shd w:val="clear" w:color="auto" w:fill="auto"/>
            <w:noWrap/>
            <w:vAlign w:val="bottom"/>
            <w:hideMark/>
          </w:tcPr>
          <w:p w:rsidR="00DD5B8E" w:rsidRPr="00DD5B8E" w:rsidRDefault="00DD5B8E" w:rsidP="00DD5B8E">
            <w:pPr>
              <w:rPr>
                <w:rFonts w:ascii="Arial" w:eastAsia="Times New Roman" w:hAnsi="Arial" w:cs="Arial"/>
                <w:b/>
                <w:sz w:val="20"/>
                <w:szCs w:val="20"/>
              </w:rPr>
            </w:pPr>
            <w:r w:rsidRPr="00DD5B8E">
              <w:rPr>
                <w:rFonts w:ascii="Arial" w:eastAsia="Times New Roman" w:hAnsi="Arial" w:cs="Arial"/>
                <w:b/>
                <w:sz w:val="20"/>
                <w:szCs w:val="20"/>
              </w:rPr>
              <w:t>Германия</w:t>
            </w:r>
          </w:p>
        </w:tc>
        <w:tc>
          <w:tcPr>
            <w:tcW w:w="1769"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2123,1</w:t>
            </w:r>
          </w:p>
        </w:tc>
        <w:tc>
          <w:tcPr>
            <w:tcW w:w="156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2981446</w:t>
            </w:r>
          </w:p>
        </w:tc>
        <w:tc>
          <w:tcPr>
            <w:tcW w:w="178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1404,27</w:t>
            </w:r>
          </w:p>
        </w:tc>
      </w:tr>
      <w:tr w:rsidR="00DD5B8E" w:rsidRPr="00DD5B8E" w:rsidTr="005A63BD">
        <w:trPr>
          <w:trHeight w:val="264"/>
          <w:jc w:val="center"/>
        </w:trPr>
        <w:tc>
          <w:tcPr>
            <w:tcW w:w="3739" w:type="dxa"/>
            <w:shd w:val="clear" w:color="auto" w:fill="auto"/>
            <w:noWrap/>
            <w:vAlign w:val="bottom"/>
            <w:hideMark/>
          </w:tcPr>
          <w:p w:rsidR="00DD5B8E" w:rsidRPr="00DD5B8E" w:rsidRDefault="00DD5B8E" w:rsidP="00DD5B8E">
            <w:pPr>
              <w:rPr>
                <w:rFonts w:ascii="Arial" w:eastAsia="Times New Roman" w:hAnsi="Arial" w:cs="Arial"/>
                <w:b/>
                <w:sz w:val="20"/>
                <w:szCs w:val="20"/>
              </w:rPr>
            </w:pPr>
            <w:r w:rsidRPr="00DD5B8E">
              <w:rPr>
                <w:rFonts w:ascii="Arial" w:eastAsia="Times New Roman" w:hAnsi="Arial" w:cs="Arial"/>
                <w:b/>
                <w:sz w:val="20"/>
                <w:szCs w:val="20"/>
              </w:rPr>
              <w:t>Румъния</w:t>
            </w:r>
          </w:p>
        </w:tc>
        <w:tc>
          <w:tcPr>
            <w:tcW w:w="1769"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1298,8</w:t>
            </w:r>
          </w:p>
        </w:tc>
        <w:tc>
          <w:tcPr>
            <w:tcW w:w="156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1552835</w:t>
            </w:r>
          </w:p>
        </w:tc>
        <w:tc>
          <w:tcPr>
            <w:tcW w:w="178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1195,64</w:t>
            </w:r>
          </w:p>
        </w:tc>
      </w:tr>
      <w:tr w:rsidR="00DD5B8E" w:rsidRPr="00DD5B8E" w:rsidTr="005A63BD">
        <w:trPr>
          <w:trHeight w:val="264"/>
          <w:jc w:val="center"/>
        </w:trPr>
        <w:tc>
          <w:tcPr>
            <w:tcW w:w="3739" w:type="dxa"/>
            <w:shd w:val="clear" w:color="auto" w:fill="auto"/>
            <w:noWrap/>
            <w:vAlign w:val="bottom"/>
            <w:hideMark/>
          </w:tcPr>
          <w:p w:rsidR="00DD5B8E" w:rsidRPr="00DD5B8E" w:rsidRDefault="00DD5B8E" w:rsidP="00DD5B8E">
            <w:pPr>
              <w:rPr>
                <w:rFonts w:ascii="Arial" w:eastAsia="Times New Roman" w:hAnsi="Arial" w:cs="Arial"/>
                <w:b/>
                <w:sz w:val="20"/>
                <w:szCs w:val="20"/>
              </w:rPr>
            </w:pPr>
            <w:r w:rsidRPr="00DD5B8E">
              <w:rPr>
                <w:rFonts w:ascii="Arial" w:eastAsia="Times New Roman" w:hAnsi="Arial" w:cs="Arial"/>
                <w:b/>
                <w:sz w:val="20"/>
                <w:szCs w:val="20"/>
              </w:rPr>
              <w:t>Чешка република</w:t>
            </w:r>
          </w:p>
        </w:tc>
        <w:tc>
          <w:tcPr>
            <w:tcW w:w="1769"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1196,3</w:t>
            </w:r>
          </w:p>
        </w:tc>
        <w:tc>
          <w:tcPr>
            <w:tcW w:w="156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841654</w:t>
            </w:r>
          </w:p>
        </w:tc>
        <w:tc>
          <w:tcPr>
            <w:tcW w:w="178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703,52</w:t>
            </w:r>
          </w:p>
        </w:tc>
      </w:tr>
      <w:tr w:rsidR="00DD5B8E" w:rsidRPr="00DD5B8E" w:rsidTr="005A63BD">
        <w:trPr>
          <w:trHeight w:val="264"/>
          <w:jc w:val="center"/>
        </w:trPr>
        <w:tc>
          <w:tcPr>
            <w:tcW w:w="3739" w:type="dxa"/>
            <w:shd w:val="clear" w:color="auto" w:fill="auto"/>
            <w:noWrap/>
            <w:vAlign w:val="bottom"/>
            <w:hideMark/>
          </w:tcPr>
          <w:p w:rsidR="00DD5B8E" w:rsidRPr="00DD5B8E" w:rsidRDefault="00DD5B8E" w:rsidP="00DD5B8E">
            <w:pPr>
              <w:rPr>
                <w:rFonts w:ascii="Arial" w:eastAsia="Times New Roman" w:hAnsi="Arial" w:cs="Arial"/>
                <w:b/>
                <w:sz w:val="20"/>
                <w:szCs w:val="20"/>
              </w:rPr>
            </w:pPr>
            <w:r w:rsidRPr="00DD5B8E">
              <w:rPr>
                <w:rFonts w:ascii="Arial" w:eastAsia="Times New Roman" w:hAnsi="Arial" w:cs="Arial"/>
                <w:b/>
                <w:sz w:val="20"/>
                <w:szCs w:val="20"/>
              </w:rPr>
              <w:t>Полша</w:t>
            </w:r>
          </w:p>
        </w:tc>
        <w:tc>
          <w:tcPr>
            <w:tcW w:w="1769"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698,7</w:t>
            </w:r>
          </w:p>
        </w:tc>
        <w:tc>
          <w:tcPr>
            <w:tcW w:w="156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362961</w:t>
            </w:r>
          </w:p>
        </w:tc>
        <w:tc>
          <w:tcPr>
            <w:tcW w:w="178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519,49</w:t>
            </w:r>
          </w:p>
        </w:tc>
      </w:tr>
      <w:tr w:rsidR="00DD5B8E" w:rsidRPr="00DD5B8E" w:rsidTr="005A63BD">
        <w:trPr>
          <w:trHeight w:val="264"/>
          <w:jc w:val="center"/>
        </w:trPr>
        <w:tc>
          <w:tcPr>
            <w:tcW w:w="3739" w:type="dxa"/>
            <w:shd w:val="clear" w:color="auto" w:fill="auto"/>
            <w:noWrap/>
            <w:vAlign w:val="bottom"/>
            <w:hideMark/>
          </w:tcPr>
          <w:p w:rsidR="00DD5B8E" w:rsidRPr="00DD5B8E" w:rsidRDefault="00DD5B8E" w:rsidP="00DD5B8E">
            <w:pPr>
              <w:rPr>
                <w:rFonts w:ascii="Arial" w:eastAsia="Times New Roman" w:hAnsi="Arial" w:cs="Arial"/>
                <w:b/>
                <w:sz w:val="20"/>
                <w:szCs w:val="20"/>
              </w:rPr>
            </w:pPr>
            <w:r w:rsidRPr="00DD5B8E">
              <w:rPr>
                <w:rFonts w:ascii="Arial" w:eastAsia="Times New Roman" w:hAnsi="Arial" w:cs="Arial"/>
                <w:b/>
                <w:sz w:val="20"/>
                <w:szCs w:val="20"/>
              </w:rPr>
              <w:t>Словакия</w:t>
            </w:r>
          </w:p>
        </w:tc>
        <w:tc>
          <w:tcPr>
            <w:tcW w:w="1769"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194,3</w:t>
            </w:r>
          </w:p>
        </w:tc>
        <w:tc>
          <w:tcPr>
            <w:tcW w:w="156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158678</w:t>
            </w:r>
          </w:p>
        </w:tc>
        <w:tc>
          <w:tcPr>
            <w:tcW w:w="178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816,59</w:t>
            </w:r>
          </w:p>
        </w:tc>
      </w:tr>
      <w:tr w:rsidR="00DD5B8E" w:rsidRPr="00DD5B8E" w:rsidTr="005A63BD">
        <w:trPr>
          <w:trHeight w:val="264"/>
          <w:jc w:val="center"/>
        </w:trPr>
        <w:tc>
          <w:tcPr>
            <w:tcW w:w="3739" w:type="dxa"/>
            <w:shd w:val="clear" w:color="auto" w:fill="auto"/>
            <w:noWrap/>
            <w:vAlign w:val="bottom"/>
            <w:hideMark/>
          </w:tcPr>
          <w:p w:rsidR="00DD5B8E" w:rsidRPr="00DD5B8E" w:rsidRDefault="00DD5B8E" w:rsidP="00DD5B8E">
            <w:pPr>
              <w:rPr>
                <w:rFonts w:ascii="Arial" w:eastAsia="Times New Roman" w:hAnsi="Arial" w:cs="Arial"/>
                <w:b/>
                <w:sz w:val="20"/>
                <w:szCs w:val="20"/>
              </w:rPr>
            </w:pPr>
            <w:r w:rsidRPr="00DD5B8E">
              <w:rPr>
                <w:rFonts w:ascii="Arial" w:eastAsia="Times New Roman" w:hAnsi="Arial" w:cs="Arial"/>
                <w:b/>
                <w:sz w:val="20"/>
                <w:szCs w:val="20"/>
              </w:rPr>
              <w:t>Латвия</w:t>
            </w:r>
          </w:p>
        </w:tc>
        <w:tc>
          <w:tcPr>
            <w:tcW w:w="1769"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144,9</w:t>
            </w:r>
          </w:p>
        </w:tc>
        <w:tc>
          <w:tcPr>
            <w:tcW w:w="156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104575</w:t>
            </w:r>
          </w:p>
        </w:tc>
        <w:tc>
          <w:tcPr>
            <w:tcW w:w="178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721,74</w:t>
            </w:r>
          </w:p>
        </w:tc>
      </w:tr>
      <w:tr w:rsidR="00DD5B8E" w:rsidRPr="00DD5B8E" w:rsidTr="005A63BD">
        <w:trPr>
          <w:trHeight w:val="264"/>
          <w:jc w:val="center"/>
        </w:trPr>
        <w:tc>
          <w:tcPr>
            <w:tcW w:w="3739" w:type="dxa"/>
            <w:shd w:val="clear" w:color="auto" w:fill="auto"/>
            <w:noWrap/>
            <w:vAlign w:val="bottom"/>
            <w:hideMark/>
          </w:tcPr>
          <w:p w:rsidR="00DD5B8E" w:rsidRPr="00DD5B8E" w:rsidRDefault="00DD5B8E" w:rsidP="00DD5B8E">
            <w:pPr>
              <w:rPr>
                <w:rFonts w:ascii="Arial" w:eastAsia="Times New Roman" w:hAnsi="Arial" w:cs="Arial"/>
                <w:b/>
                <w:sz w:val="20"/>
                <w:szCs w:val="20"/>
              </w:rPr>
            </w:pPr>
            <w:r w:rsidRPr="00DD5B8E">
              <w:rPr>
                <w:rFonts w:ascii="Arial" w:eastAsia="Times New Roman" w:hAnsi="Arial" w:cs="Arial"/>
                <w:b/>
                <w:sz w:val="20"/>
                <w:szCs w:val="20"/>
              </w:rPr>
              <w:t>Унгария</w:t>
            </w:r>
          </w:p>
        </w:tc>
        <w:tc>
          <w:tcPr>
            <w:tcW w:w="1769"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15,9</w:t>
            </w:r>
          </w:p>
        </w:tc>
        <w:tc>
          <w:tcPr>
            <w:tcW w:w="156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14095</w:t>
            </w:r>
          </w:p>
        </w:tc>
        <w:tc>
          <w:tcPr>
            <w:tcW w:w="178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885,92</w:t>
            </w:r>
          </w:p>
        </w:tc>
      </w:tr>
      <w:tr w:rsidR="00DD5B8E" w:rsidRPr="00DD5B8E" w:rsidTr="005A63BD">
        <w:trPr>
          <w:trHeight w:val="264"/>
          <w:jc w:val="center"/>
        </w:trPr>
        <w:tc>
          <w:tcPr>
            <w:tcW w:w="3739" w:type="dxa"/>
            <w:shd w:val="clear" w:color="auto" w:fill="auto"/>
            <w:noWrap/>
            <w:vAlign w:val="bottom"/>
            <w:hideMark/>
          </w:tcPr>
          <w:p w:rsidR="00DD5B8E" w:rsidRPr="00DD5B8E" w:rsidRDefault="00DD5B8E" w:rsidP="00DD5B8E">
            <w:pPr>
              <w:rPr>
                <w:rFonts w:ascii="Arial" w:eastAsia="Times New Roman" w:hAnsi="Arial" w:cs="Arial"/>
                <w:b/>
                <w:sz w:val="20"/>
                <w:szCs w:val="20"/>
              </w:rPr>
            </w:pPr>
            <w:r w:rsidRPr="00DD5B8E">
              <w:rPr>
                <w:rFonts w:ascii="Arial" w:eastAsia="Times New Roman" w:hAnsi="Arial" w:cs="Arial"/>
                <w:b/>
                <w:sz w:val="20"/>
                <w:szCs w:val="20"/>
              </w:rPr>
              <w:t>Обединено кралство</w:t>
            </w:r>
          </w:p>
        </w:tc>
        <w:tc>
          <w:tcPr>
            <w:tcW w:w="1769"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5,</w:t>
            </w:r>
            <w:proofErr w:type="spellStart"/>
            <w:r w:rsidRPr="00DD5B8E">
              <w:rPr>
                <w:rFonts w:ascii="Arial" w:eastAsia="Times New Roman" w:hAnsi="Arial" w:cs="Arial"/>
                <w:b/>
                <w:sz w:val="20"/>
                <w:szCs w:val="20"/>
              </w:rPr>
              <w:t>5</w:t>
            </w:r>
            <w:proofErr w:type="spellEnd"/>
          </w:p>
        </w:tc>
        <w:tc>
          <w:tcPr>
            <w:tcW w:w="156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6589</w:t>
            </w:r>
          </w:p>
        </w:tc>
        <w:tc>
          <w:tcPr>
            <w:tcW w:w="178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1199,53</w:t>
            </w:r>
          </w:p>
        </w:tc>
      </w:tr>
      <w:tr w:rsidR="00DD5B8E" w:rsidRPr="00DD5B8E" w:rsidTr="005A63BD">
        <w:trPr>
          <w:trHeight w:val="264"/>
          <w:jc w:val="center"/>
        </w:trPr>
        <w:tc>
          <w:tcPr>
            <w:tcW w:w="3739" w:type="dxa"/>
            <w:shd w:val="clear" w:color="auto" w:fill="auto"/>
            <w:noWrap/>
            <w:vAlign w:val="bottom"/>
            <w:hideMark/>
          </w:tcPr>
          <w:p w:rsidR="00DD5B8E" w:rsidRPr="00DD5B8E" w:rsidRDefault="00DD5B8E" w:rsidP="00DD5B8E">
            <w:pPr>
              <w:rPr>
                <w:rFonts w:ascii="Arial" w:eastAsia="Times New Roman" w:hAnsi="Arial" w:cs="Arial"/>
                <w:b/>
                <w:sz w:val="20"/>
                <w:szCs w:val="20"/>
              </w:rPr>
            </w:pPr>
            <w:r w:rsidRPr="00DD5B8E">
              <w:rPr>
                <w:rFonts w:ascii="Arial" w:eastAsia="Times New Roman" w:hAnsi="Arial" w:cs="Arial"/>
                <w:b/>
                <w:sz w:val="20"/>
                <w:szCs w:val="20"/>
              </w:rPr>
              <w:t>Нидерландия</w:t>
            </w:r>
          </w:p>
        </w:tc>
        <w:tc>
          <w:tcPr>
            <w:tcW w:w="1769"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0.6</w:t>
            </w:r>
          </w:p>
        </w:tc>
        <w:tc>
          <w:tcPr>
            <w:tcW w:w="156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820</w:t>
            </w:r>
          </w:p>
        </w:tc>
        <w:tc>
          <w:tcPr>
            <w:tcW w:w="178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1263,48</w:t>
            </w:r>
          </w:p>
        </w:tc>
      </w:tr>
      <w:tr w:rsidR="00DD5B8E" w:rsidRPr="00DD5B8E" w:rsidTr="005A63BD">
        <w:trPr>
          <w:trHeight w:val="264"/>
          <w:jc w:val="center"/>
        </w:trPr>
        <w:tc>
          <w:tcPr>
            <w:tcW w:w="3739" w:type="dxa"/>
            <w:shd w:val="clear" w:color="auto" w:fill="auto"/>
            <w:noWrap/>
            <w:vAlign w:val="bottom"/>
            <w:hideMark/>
          </w:tcPr>
          <w:p w:rsidR="00DD5B8E" w:rsidRPr="00DD5B8E" w:rsidRDefault="00DD5B8E" w:rsidP="00DD5B8E">
            <w:pPr>
              <w:rPr>
                <w:rFonts w:ascii="Arial" w:eastAsia="Times New Roman" w:hAnsi="Arial" w:cs="Arial"/>
                <w:b/>
                <w:sz w:val="20"/>
                <w:szCs w:val="20"/>
              </w:rPr>
            </w:pPr>
            <w:r w:rsidRPr="00DD5B8E">
              <w:rPr>
                <w:rFonts w:ascii="Arial" w:eastAsia="Times New Roman" w:hAnsi="Arial" w:cs="Arial"/>
                <w:b/>
                <w:sz w:val="20"/>
                <w:szCs w:val="20"/>
              </w:rPr>
              <w:t>Белгия</w:t>
            </w:r>
          </w:p>
        </w:tc>
        <w:tc>
          <w:tcPr>
            <w:tcW w:w="1769"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0.2</w:t>
            </w:r>
          </w:p>
        </w:tc>
        <w:tc>
          <w:tcPr>
            <w:tcW w:w="156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247</w:t>
            </w:r>
          </w:p>
        </w:tc>
        <w:tc>
          <w:tcPr>
            <w:tcW w:w="1780" w:type="dxa"/>
            <w:shd w:val="clear" w:color="auto" w:fill="auto"/>
            <w:noWrap/>
            <w:vAlign w:val="bottom"/>
            <w:hideMark/>
          </w:tcPr>
          <w:p w:rsidR="00DD5B8E" w:rsidRPr="00DD5B8E" w:rsidRDefault="00DD5B8E" w:rsidP="00DD5B8E">
            <w:pPr>
              <w:jc w:val="center"/>
              <w:rPr>
                <w:rFonts w:ascii="Arial" w:eastAsia="Times New Roman" w:hAnsi="Arial" w:cs="Arial"/>
                <w:b/>
                <w:sz w:val="20"/>
                <w:szCs w:val="20"/>
              </w:rPr>
            </w:pPr>
            <w:r w:rsidRPr="00DD5B8E">
              <w:rPr>
                <w:rFonts w:ascii="Arial" w:eastAsia="Times New Roman" w:hAnsi="Arial" w:cs="Arial"/>
                <w:b/>
                <w:sz w:val="20"/>
                <w:szCs w:val="20"/>
              </w:rPr>
              <w:t>1148,84</w:t>
            </w:r>
          </w:p>
        </w:tc>
      </w:tr>
      <w:tr w:rsidR="003B1BF4" w:rsidRPr="00DD5B8E" w:rsidTr="005A63BD">
        <w:trPr>
          <w:trHeight w:val="264"/>
          <w:jc w:val="center"/>
        </w:trPr>
        <w:tc>
          <w:tcPr>
            <w:tcW w:w="37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1BF4" w:rsidRPr="00DD5B8E" w:rsidRDefault="003B1BF4" w:rsidP="00B9793A">
            <w:pPr>
              <w:rPr>
                <w:rFonts w:ascii="Arial" w:eastAsia="Times New Roman" w:hAnsi="Arial" w:cs="Arial"/>
                <w:b/>
                <w:sz w:val="20"/>
                <w:szCs w:val="20"/>
              </w:rPr>
            </w:pPr>
            <w:r w:rsidRPr="00DD5B8E">
              <w:rPr>
                <w:rFonts w:ascii="Arial" w:eastAsia="Times New Roman" w:hAnsi="Arial" w:cs="Arial"/>
                <w:b/>
                <w:sz w:val="20"/>
                <w:szCs w:val="20"/>
              </w:rPr>
              <w:t>ОБЩО</w:t>
            </w:r>
          </w:p>
        </w:tc>
        <w:tc>
          <w:tcPr>
            <w:tcW w:w="17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1BF4" w:rsidRPr="00DD5B8E" w:rsidRDefault="003B1BF4" w:rsidP="00B9793A">
            <w:pPr>
              <w:jc w:val="center"/>
              <w:rPr>
                <w:rFonts w:ascii="Arial" w:eastAsia="Times New Roman" w:hAnsi="Arial" w:cs="Arial"/>
                <w:b/>
                <w:sz w:val="20"/>
                <w:szCs w:val="20"/>
              </w:rPr>
            </w:pPr>
            <w:r w:rsidRPr="00DD5B8E">
              <w:rPr>
                <w:rFonts w:ascii="Arial" w:eastAsia="Times New Roman" w:hAnsi="Arial" w:cs="Arial"/>
                <w:b/>
                <w:sz w:val="20"/>
                <w:szCs w:val="20"/>
              </w:rPr>
              <w:t>5</w:t>
            </w:r>
            <w:r>
              <w:rPr>
                <w:rFonts w:ascii="Arial" w:eastAsia="Times New Roman" w:hAnsi="Arial" w:cs="Arial"/>
                <w:b/>
                <w:sz w:val="20"/>
                <w:szCs w:val="20"/>
              </w:rPr>
              <w:t xml:space="preserve"> </w:t>
            </w:r>
            <w:r w:rsidRPr="00DD5B8E">
              <w:rPr>
                <w:rFonts w:ascii="Arial" w:eastAsia="Times New Roman" w:hAnsi="Arial" w:cs="Arial"/>
                <w:b/>
                <w:sz w:val="20"/>
                <w:szCs w:val="20"/>
              </w:rPr>
              <w:t>678,3</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1BF4" w:rsidRPr="00DD5B8E" w:rsidRDefault="003B1BF4" w:rsidP="00B9793A">
            <w:pPr>
              <w:jc w:val="center"/>
              <w:rPr>
                <w:rFonts w:ascii="Arial" w:eastAsia="Times New Roman" w:hAnsi="Arial" w:cs="Arial"/>
                <w:b/>
                <w:sz w:val="20"/>
                <w:szCs w:val="20"/>
              </w:rPr>
            </w:pPr>
            <w:r w:rsidRPr="00DD5B8E">
              <w:rPr>
                <w:rFonts w:ascii="Arial" w:eastAsia="Times New Roman" w:hAnsi="Arial" w:cs="Arial"/>
                <w:b/>
                <w:sz w:val="20"/>
                <w:szCs w:val="20"/>
              </w:rPr>
              <w:t>6</w:t>
            </w:r>
            <w:r>
              <w:rPr>
                <w:rFonts w:ascii="Arial" w:eastAsia="Times New Roman" w:hAnsi="Arial" w:cs="Arial"/>
                <w:b/>
                <w:sz w:val="20"/>
                <w:szCs w:val="20"/>
              </w:rPr>
              <w:t> </w:t>
            </w:r>
            <w:r w:rsidRPr="00DD5B8E">
              <w:rPr>
                <w:rFonts w:ascii="Arial" w:eastAsia="Times New Roman" w:hAnsi="Arial" w:cs="Arial"/>
                <w:b/>
                <w:sz w:val="20"/>
                <w:szCs w:val="20"/>
              </w:rPr>
              <w:t>023</w:t>
            </w:r>
            <w:r>
              <w:rPr>
                <w:rFonts w:ascii="Arial" w:eastAsia="Times New Roman" w:hAnsi="Arial" w:cs="Arial"/>
                <w:b/>
                <w:sz w:val="20"/>
                <w:szCs w:val="20"/>
              </w:rPr>
              <w:t xml:space="preserve"> </w:t>
            </w:r>
            <w:r w:rsidRPr="00DD5B8E">
              <w:rPr>
                <w:rFonts w:ascii="Arial" w:eastAsia="Times New Roman" w:hAnsi="Arial" w:cs="Arial"/>
                <w:b/>
                <w:sz w:val="20"/>
                <w:szCs w:val="20"/>
              </w:rPr>
              <w:t>900</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B1BF4" w:rsidRPr="00DD5B8E" w:rsidRDefault="003B1BF4" w:rsidP="00B9793A">
            <w:pPr>
              <w:jc w:val="center"/>
              <w:rPr>
                <w:rFonts w:ascii="Arial" w:eastAsia="Times New Roman" w:hAnsi="Arial" w:cs="Arial"/>
                <w:b/>
                <w:sz w:val="20"/>
                <w:szCs w:val="20"/>
              </w:rPr>
            </w:pPr>
            <w:r w:rsidRPr="00DD5B8E">
              <w:rPr>
                <w:rFonts w:ascii="Arial" w:eastAsia="Times New Roman" w:hAnsi="Arial" w:cs="Arial"/>
                <w:b/>
                <w:sz w:val="20"/>
                <w:szCs w:val="20"/>
              </w:rPr>
              <w:t>1</w:t>
            </w:r>
            <w:r>
              <w:rPr>
                <w:rFonts w:ascii="Arial" w:eastAsia="Times New Roman" w:hAnsi="Arial" w:cs="Arial"/>
                <w:b/>
                <w:sz w:val="20"/>
                <w:szCs w:val="20"/>
              </w:rPr>
              <w:t xml:space="preserve"> </w:t>
            </w:r>
            <w:r w:rsidRPr="00DD5B8E">
              <w:rPr>
                <w:rFonts w:ascii="Arial" w:eastAsia="Times New Roman" w:hAnsi="Arial" w:cs="Arial"/>
                <w:b/>
                <w:sz w:val="20"/>
                <w:szCs w:val="20"/>
              </w:rPr>
              <w:t>061</w:t>
            </w:r>
          </w:p>
        </w:tc>
      </w:tr>
    </w:tbl>
    <w:p w:rsidR="005B12D8" w:rsidRPr="007F6E21" w:rsidRDefault="007F6E21" w:rsidP="007F6E21">
      <w:pPr>
        <w:ind w:firstLine="720"/>
        <w:rPr>
          <w:rFonts w:ascii="Arial" w:eastAsia="Times New Roman" w:hAnsi="Arial" w:cs="Arial"/>
          <w:sz w:val="20"/>
          <w:szCs w:val="20"/>
        </w:rPr>
      </w:pPr>
      <w:r w:rsidRPr="007F6E21">
        <w:rPr>
          <w:rFonts w:ascii="Arial" w:eastAsia="Times New Roman" w:hAnsi="Arial" w:cs="Arial"/>
          <w:sz w:val="20"/>
          <w:szCs w:val="20"/>
        </w:rPr>
        <w:t>Източник НСИ 2017</w:t>
      </w:r>
    </w:p>
    <w:p w:rsidR="005B12D8" w:rsidRDefault="005B12D8" w:rsidP="00DD5B8E">
      <w:pPr>
        <w:jc w:val="center"/>
        <w:rPr>
          <w:rFonts w:ascii="Arial" w:eastAsia="Times New Roman" w:hAnsi="Arial" w:cs="Arial"/>
          <w:b/>
          <w:sz w:val="20"/>
          <w:szCs w:val="20"/>
        </w:rPr>
      </w:pPr>
    </w:p>
    <w:p w:rsidR="00227487" w:rsidRDefault="00227487" w:rsidP="005B12D8">
      <w:pPr>
        <w:jc w:val="both"/>
        <w:rPr>
          <w:rFonts w:ascii="Arial" w:eastAsia="Times New Roman" w:hAnsi="Arial" w:cs="Arial"/>
          <w:b/>
          <w:sz w:val="28"/>
          <w:szCs w:val="28"/>
          <w:lang w:val="en-US"/>
        </w:rPr>
      </w:pPr>
    </w:p>
    <w:p w:rsidR="001041F2" w:rsidRDefault="001041F2" w:rsidP="001041F2">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041F2" w:rsidRDefault="001041F2" w:rsidP="001041F2">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041F2" w:rsidRDefault="001041F2" w:rsidP="001041F2">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041F2" w:rsidRDefault="001041F2" w:rsidP="001041F2">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041F2" w:rsidRDefault="001041F2" w:rsidP="001041F2">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041F2" w:rsidRDefault="001041F2" w:rsidP="001041F2">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041F2" w:rsidRDefault="001041F2" w:rsidP="001041F2">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041F2" w:rsidRDefault="001041F2" w:rsidP="001041F2">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041F2" w:rsidRDefault="001041F2" w:rsidP="001041F2">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041F2" w:rsidRDefault="001041F2" w:rsidP="001041F2">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041F2" w:rsidRDefault="001041F2" w:rsidP="001041F2">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1041F2" w:rsidRDefault="001041F2" w:rsidP="001041F2">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07F34" w:rsidRDefault="00707F34" w:rsidP="001041F2">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sectPr w:rsidR="00707F34" w:rsidSect="00582B78">
      <w:headerReference w:type="default" r:id="rId18"/>
      <w:footerReference w:type="default" r:id="rId19"/>
      <w:pgSz w:w="11906" w:h="16838" w:code="9"/>
      <w:pgMar w:top="1440" w:right="1440" w:bottom="1440" w:left="1440" w:header="706" w:footer="7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5E04" w:rsidRDefault="00985E04" w:rsidP="00C17970">
      <w:r>
        <w:separator/>
      </w:r>
    </w:p>
  </w:endnote>
  <w:endnote w:type="continuationSeparator" w:id="0">
    <w:p w:rsidR="00985E04" w:rsidRDefault="00985E04" w:rsidP="00C17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9C" w:rsidRDefault="0002519C">
    <w:pPr>
      <w:pStyle w:val="Style7"/>
      <w:widowControl/>
      <w:jc w:val="right"/>
      <w:rPr>
        <w:rStyle w:val="FontStyle27"/>
        <w:lang w:val="bg-BG" w:eastAsia="bg-B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5E04" w:rsidRDefault="00985E04" w:rsidP="00C17970">
      <w:r>
        <w:separator/>
      </w:r>
    </w:p>
  </w:footnote>
  <w:footnote w:type="continuationSeparator" w:id="0">
    <w:p w:rsidR="00985E04" w:rsidRDefault="00985E04" w:rsidP="00C179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19C" w:rsidRDefault="0002519C">
    <w:pPr>
      <w:pStyle w:val="Style2"/>
      <w:widowControl/>
      <w:jc w:val="right"/>
      <w:rPr>
        <w:rStyle w:val="FontStyle18"/>
        <w:u w:val="single"/>
        <w:lang w:val="bg-BG" w:eastAsia="bg-B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BB38CB"/>
    <w:multiLevelType w:val="hybridMultilevel"/>
    <w:tmpl w:val="180860E6"/>
    <w:lvl w:ilvl="0" w:tplc="1F2E6F02">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EE61C69"/>
    <w:multiLevelType w:val="hybridMultilevel"/>
    <w:tmpl w:val="2760D4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9AF5684"/>
    <w:multiLevelType w:val="hybridMultilevel"/>
    <w:tmpl w:val="444C8004"/>
    <w:lvl w:ilvl="0" w:tplc="898AD2E6">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59181F"/>
    <w:multiLevelType w:val="hybridMultilevel"/>
    <w:tmpl w:val="389C13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0B5DF4"/>
    <w:multiLevelType w:val="hybridMultilevel"/>
    <w:tmpl w:val="6770A0C2"/>
    <w:lvl w:ilvl="0" w:tplc="898AD2E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8B0"/>
    <w:rsid w:val="0002519C"/>
    <w:rsid w:val="00034C1E"/>
    <w:rsid w:val="00053B3F"/>
    <w:rsid w:val="00074C3A"/>
    <w:rsid w:val="000A0380"/>
    <w:rsid w:val="000C1C7D"/>
    <w:rsid w:val="000E7C03"/>
    <w:rsid w:val="001041F2"/>
    <w:rsid w:val="0018756E"/>
    <w:rsid w:val="001935B8"/>
    <w:rsid w:val="001B460E"/>
    <w:rsid w:val="001D1773"/>
    <w:rsid w:val="001D38D4"/>
    <w:rsid w:val="001E153D"/>
    <w:rsid w:val="00226ADE"/>
    <w:rsid w:val="00227487"/>
    <w:rsid w:val="002737AE"/>
    <w:rsid w:val="00282449"/>
    <w:rsid w:val="002C5CA2"/>
    <w:rsid w:val="002D1BE3"/>
    <w:rsid w:val="002E263B"/>
    <w:rsid w:val="0031197A"/>
    <w:rsid w:val="00326C4D"/>
    <w:rsid w:val="00362622"/>
    <w:rsid w:val="003724AC"/>
    <w:rsid w:val="003B1BF4"/>
    <w:rsid w:val="003B208B"/>
    <w:rsid w:val="003B3A8F"/>
    <w:rsid w:val="003C73C9"/>
    <w:rsid w:val="003C7BA6"/>
    <w:rsid w:val="003F5907"/>
    <w:rsid w:val="004203AA"/>
    <w:rsid w:val="00444132"/>
    <w:rsid w:val="00457402"/>
    <w:rsid w:val="00475AA9"/>
    <w:rsid w:val="004871CE"/>
    <w:rsid w:val="004E4F74"/>
    <w:rsid w:val="005056F3"/>
    <w:rsid w:val="0052258B"/>
    <w:rsid w:val="00543A5B"/>
    <w:rsid w:val="00577147"/>
    <w:rsid w:val="00582B78"/>
    <w:rsid w:val="005972F1"/>
    <w:rsid w:val="005A0CCB"/>
    <w:rsid w:val="005A63BD"/>
    <w:rsid w:val="005A655D"/>
    <w:rsid w:val="005B12D8"/>
    <w:rsid w:val="005E22C8"/>
    <w:rsid w:val="005E50A3"/>
    <w:rsid w:val="005F1AEC"/>
    <w:rsid w:val="005F4939"/>
    <w:rsid w:val="006012FA"/>
    <w:rsid w:val="006475CC"/>
    <w:rsid w:val="006B4005"/>
    <w:rsid w:val="006D423D"/>
    <w:rsid w:val="00707A53"/>
    <w:rsid w:val="00707F34"/>
    <w:rsid w:val="007449E5"/>
    <w:rsid w:val="00747E0E"/>
    <w:rsid w:val="00751D71"/>
    <w:rsid w:val="0076070C"/>
    <w:rsid w:val="00787AA4"/>
    <w:rsid w:val="007B185F"/>
    <w:rsid w:val="007C0DA7"/>
    <w:rsid w:val="007D3E52"/>
    <w:rsid w:val="007D5543"/>
    <w:rsid w:val="007F60B5"/>
    <w:rsid w:val="007F6E21"/>
    <w:rsid w:val="00816079"/>
    <w:rsid w:val="00830D35"/>
    <w:rsid w:val="008B038F"/>
    <w:rsid w:val="008C2BEC"/>
    <w:rsid w:val="008D5E25"/>
    <w:rsid w:val="008E555D"/>
    <w:rsid w:val="008F78B0"/>
    <w:rsid w:val="00963A1E"/>
    <w:rsid w:val="009813FF"/>
    <w:rsid w:val="00981513"/>
    <w:rsid w:val="00985E04"/>
    <w:rsid w:val="00995BEA"/>
    <w:rsid w:val="009A018B"/>
    <w:rsid w:val="00A11677"/>
    <w:rsid w:val="00A213AE"/>
    <w:rsid w:val="00A54065"/>
    <w:rsid w:val="00A90335"/>
    <w:rsid w:val="00AB39A1"/>
    <w:rsid w:val="00AE2F55"/>
    <w:rsid w:val="00B2116D"/>
    <w:rsid w:val="00B30889"/>
    <w:rsid w:val="00B30EE4"/>
    <w:rsid w:val="00B41F33"/>
    <w:rsid w:val="00B53A6C"/>
    <w:rsid w:val="00B56252"/>
    <w:rsid w:val="00B87DA0"/>
    <w:rsid w:val="00B9793A"/>
    <w:rsid w:val="00BA4A99"/>
    <w:rsid w:val="00BD05B9"/>
    <w:rsid w:val="00BE2A6D"/>
    <w:rsid w:val="00BE3472"/>
    <w:rsid w:val="00BE7C13"/>
    <w:rsid w:val="00BF18AE"/>
    <w:rsid w:val="00C04FC0"/>
    <w:rsid w:val="00C05DFA"/>
    <w:rsid w:val="00C17970"/>
    <w:rsid w:val="00C514CE"/>
    <w:rsid w:val="00C566D1"/>
    <w:rsid w:val="00C65031"/>
    <w:rsid w:val="00C726FE"/>
    <w:rsid w:val="00C8594E"/>
    <w:rsid w:val="00C94347"/>
    <w:rsid w:val="00CB2AE4"/>
    <w:rsid w:val="00CB47F1"/>
    <w:rsid w:val="00CB67DE"/>
    <w:rsid w:val="00CE6A2B"/>
    <w:rsid w:val="00CF7A05"/>
    <w:rsid w:val="00D01683"/>
    <w:rsid w:val="00D02E84"/>
    <w:rsid w:val="00D134AB"/>
    <w:rsid w:val="00D3047A"/>
    <w:rsid w:val="00D45166"/>
    <w:rsid w:val="00D55E4E"/>
    <w:rsid w:val="00D62FCF"/>
    <w:rsid w:val="00D71753"/>
    <w:rsid w:val="00D75CC5"/>
    <w:rsid w:val="00D9338C"/>
    <w:rsid w:val="00DD06FA"/>
    <w:rsid w:val="00DD5B8E"/>
    <w:rsid w:val="00DF0AF0"/>
    <w:rsid w:val="00E3159B"/>
    <w:rsid w:val="00E53E96"/>
    <w:rsid w:val="00EC5F0E"/>
    <w:rsid w:val="00EF6534"/>
    <w:rsid w:val="00F04C8B"/>
    <w:rsid w:val="00F26874"/>
    <w:rsid w:val="00F27F16"/>
    <w:rsid w:val="00F354B0"/>
    <w:rsid w:val="00F418C1"/>
    <w:rsid w:val="00F8031D"/>
    <w:rsid w:val="00F8742A"/>
    <w:rsid w:val="00FB3876"/>
    <w:rsid w:val="00FB723B"/>
    <w:rsid w:val="00FE006C"/>
    <w:rsid w:val="00FF3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4CE"/>
    <w:rPr>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53B3F"/>
    <w:pPr>
      <w:autoSpaceDE w:val="0"/>
      <w:autoSpaceDN w:val="0"/>
      <w:adjustRightInd w:val="0"/>
    </w:pPr>
    <w:rPr>
      <w:rFonts w:ascii="Times New Roman" w:hAnsi="Times New Roman" w:cs="Times New Roman"/>
      <w:color w:val="000000"/>
      <w:sz w:val="24"/>
      <w:szCs w:val="24"/>
    </w:rPr>
  </w:style>
  <w:style w:type="paragraph" w:customStyle="1" w:styleId="Style10">
    <w:name w:val="Style10"/>
    <w:basedOn w:val="Normal"/>
    <w:uiPriority w:val="99"/>
    <w:rsid w:val="00747E0E"/>
    <w:pPr>
      <w:widowControl w:val="0"/>
      <w:autoSpaceDE w:val="0"/>
      <w:autoSpaceDN w:val="0"/>
      <w:adjustRightInd w:val="0"/>
      <w:spacing w:line="359" w:lineRule="exact"/>
      <w:ind w:firstLine="710"/>
      <w:jc w:val="both"/>
    </w:pPr>
    <w:rPr>
      <w:rFonts w:ascii="Times New Roman" w:eastAsiaTheme="minorEastAsia" w:hAnsi="Times New Roman" w:cs="Times New Roman"/>
      <w:sz w:val="24"/>
      <w:szCs w:val="24"/>
      <w:lang w:val="en-US"/>
    </w:rPr>
  </w:style>
  <w:style w:type="character" w:customStyle="1" w:styleId="FontStyle58">
    <w:name w:val="Font Style58"/>
    <w:basedOn w:val="DefaultParagraphFont"/>
    <w:uiPriority w:val="99"/>
    <w:rsid w:val="00747E0E"/>
    <w:rPr>
      <w:rFonts w:ascii="Times New Roman" w:hAnsi="Times New Roman" w:cs="Times New Roman"/>
      <w:b/>
      <w:bCs/>
      <w:i/>
      <w:iCs/>
      <w:sz w:val="20"/>
      <w:szCs w:val="20"/>
    </w:rPr>
  </w:style>
  <w:style w:type="character" w:customStyle="1" w:styleId="FontStyle67">
    <w:name w:val="Font Style67"/>
    <w:basedOn w:val="DefaultParagraphFont"/>
    <w:uiPriority w:val="99"/>
    <w:rsid w:val="00747E0E"/>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BE2A6D"/>
    <w:rPr>
      <w:rFonts w:ascii="Tahoma" w:hAnsi="Tahoma" w:cs="Tahoma"/>
      <w:sz w:val="16"/>
      <w:szCs w:val="16"/>
    </w:rPr>
  </w:style>
  <w:style w:type="character" w:customStyle="1" w:styleId="BalloonTextChar">
    <w:name w:val="Balloon Text Char"/>
    <w:basedOn w:val="DefaultParagraphFont"/>
    <w:link w:val="BalloonText"/>
    <w:uiPriority w:val="99"/>
    <w:semiHidden/>
    <w:rsid w:val="00BE2A6D"/>
    <w:rPr>
      <w:rFonts w:ascii="Tahoma" w:hAnsi="Tahoma" w:cs="Tahoma"/>
      <w:sz w:val="16"/>
      <w:szCs w:val="16"/>
      <w:lang w:val="bg-BG"/>
    </w:rPr>
  </w:style>
  <w:style w:type="paragraph" w:customStyle="1" w:styleId="Style2">
    <w:name w:val="Style2"/>
    <w:basedOn w:val="Normal"/>
    <w:uiPriority w:val="99"/>
    <w:rsid w:val="00C17970"/>
    <w:pPr>
      <w:widowControl w:val="0"/>
      <w:autoSpaceDE w:val="0"/>
      <w:autoSpaceDN w:val="0"/>
      <w:adjustRightInd w:val="0"/>
    </w:pPr>
    <w:rPr>
      <w:rFonts w:ascii="Arial" w:eastAsiaTheme="minorEastAsia" w:hAnsi="Arial" w:cs="Arial"/>
      <w:sz w:val="24"/>
      <w:szCs w:val="24"/>
      <w:lang w:val="en-US"/>
    </w:rPr>
  </w:style>
  <w:style w:type="paragraph" w:customStyle="1" w:styleId="Style7">
    <w:name w:val="Style7"/>
    <w:basedOn w:val="Normal"/>
    <w:uiPriority w:val="99"/>
    <w:rsid w:val="00C17970"/>
    <w:pPr>
      <w:widowControl w:val="0"/>
      <w:autoSpaceDE w:val="0"/>
      <w:autoSpaceDN w:val="0"/>
      <w:adjustRightInd w:val="0"/>
    </w:pPr>
    <w:rPr>
      <w:rFonts w:ascii="Arial" w:eastAsiaTheme="minorEastAsia" w:hAnsi="Arial" w:cs="Arial"/>
      <w:sz w:val="24"/>
      <w:szCs w:val="24"/>
      <w:lang w:val="en-US"/>
    </w:rPr>
  </w:style>
  <w:style w:type="paragraph" w:customStyle="1" w:styleId="Style12">
    <w:name w:val="Style12"/>
    <w:basedOn w:val="Normal"/>
    <w:uiPriority w:val="99"/>
    <w:rsid w:val="00C17970"/>
    <w:pPr>
      <w:widowControl w:val="0"/>
      <w:autoSpaceDE w:val="0"/>
      <w:autoSpaceDN w:val="0"/>
      <w:adjustRightInd w:val="0"/>
    </w:pPr>
    <w:rPr>
      <w:rFonts w:ascii="Arial" w:eastAsiaTheme="minorEastAsia" w:hAnsi="Arial" w:cs="Arial"/>
      <w:sz w:val="24"/>
      <w:szCs w:val="24"/>
      <w:lang w:val="en-US"/>
    </w:rPr>
  </w:style>
  <w:style w:type="character" w:customStyle="1" w:styleId="FontStyle18">
    <w:name w:val="Font Style18"/>
    <w:basedOn w:val="DefaultParagraphFont"/>
    <w:uiPriority w:val="99"/>
    <w:rsid w:val="00C17970"/>
    <w:rPr>
      <w:rFonts w:ascii="Arial" w:hAnsi="Arial" w:cs="Arial"/>
      <w:i/>
      <w:iCs/>
      <w:sz w:val="18"/>
      <w:szCs w:val="18"/>
    </w:rPr>
  </w:style>
  <w:style w:type="character" w:customStyle="1" w:styleId="FontStyle27">
    <w:name w:val="Font Style27"/>
    <w:basedOn w:val="DefaultParagraphFont"/>
    <w:uiPriority w:val="99"/>
    <w:rsid w:val="00C17970"/>
    <w:rPr>
      <w:rFonts w:ascii="Arial" w:hAnsi="Arial" w:cs="Arial"/>
      <w:sz w:val="14"/>
      <w:szCs w:val="14"/>
    </w:rPr>
  </w:style>
  <w:style w:type="character" w:customStyle="1" w:styleId="FontStyle28">
    <w:name w:val="Font Style28"/>
    <w:basedOn w:val="DefaultParagraphFont"/>
    <w:uiPriority w:val="99"/>
    <w:rsid w:val="00C17970"/>
    <w:rPr>
      <w:rFonts w:ascii="Arial" w:hAnsi="Arial" w:cs="Arial"/>
      <w:b/>
      <w:bCs/>
      <w:sz w:val="16"/>
      <w:szCs w:val="16"/>
    </w:rPr>
  </w:style>
  <w:style w:type="paragraph" w:styleId="Header">
    <w:name w:val="header"/>
    <w:basedOn w:val="Normal"/>
    <w:link w:val="HeaderChar"/>
    <w:uiPriority w:val="99"/>
    <w:unhideWhenUsed/>
    <w:rsid w:val="00C17970"/>
    <w:pPr>
      <w:tabs>
        <w:tab w:val="center" w:pos="4680"/>
        <w:tab w:val="right" w:pos="9360"/>
      </w:tabs>
    </w:pPr>
  </w:style>
  <w:style w:type="character" w:customStyle="1" w:styleId="HeaderChar">
    <w:name w:val="Header Char"/>
    <w:basedOn w:val="DefaultParagraphFont"/>
    <w:link w:val="Header"/>
    <w:uiPriority w:val="99"/>
    <w:rsid w:val="00C17970"/>
    <w:rPr>
      <w:lang w:val="bg-BG"/>
    </w:rPr>
  </w:style>
  <w:style w:type="paragraph" w:styleId="Footer">
    <w:name w:val="footer"/>
    <w:basedOn w:val="Normal"/>
    <w:link w:val="FooterChar"/>
    <w:uiPriority w:val="99"/>
    <w:unhideWhenUsed/>
    <w:rsid w:val="00C17970"/>
    <w:pPr>
      <w:tabs>
        <w:tab w:val="center" w:pos="4680"/>
        <w:tab w:val="right" w:pos="9360"/>
      </w:tabs>
    </w:pPr>
  </w:style>
  <w:style w:type="character" w:customStyle="1" w:styleId="FooterChar">
    <w:name w:val="Footer Char"/>
    <w:basedOn w:val="DefaultParagraphFont"/>
    <w:link w:val="Footer"/>
    <w:uiPriority w:val="99"/>
    <w:rsid w:val="00C17970"/>
    <w:rPr>
      <w:lang w:val="bg-BG"/>
    </w:rPr>
  </w:style>
  <w:style w:type="paragraph" w:styleId="ListParagraph">
    <w:name w:val="List Paragraph"/>
    <w:basedOn w:val="Normal"/>
    <w:uiPriority w:val="34"/>
    <w:qFormat/>
    <w:rsid w:val="005F4939"/>
    <w:pPr>
      <w:ind w:left="720"/>
      <w:contextualSpacing/>
    </w:pPr>
  </w:style>
  <w:style w:type="table" w:styleId="TableGrid">
    <w:name w:val="Table Grid"/>
    <w:basedOn w:val="TableNormal"/>
    <w:uiPriority w:val="59"/>
    <w:rsid w:val="008E5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4CE"/>
    <w:rPr>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53B3F"/>
    <w:pPr>
      <w:autoSpaceDE w:val="0"/>
      <w:autoSpaceDN w:val="0"/>
      <w:adjustRightInd w:val="0"/>
    </w:pPr>
    <w:rPr>
      <w:rFonts w:ascii="Times New Roman" w:hAnsi="Times New Roman" w:cs="Times New Roman"/>
      <w:color w:val="000000"/>
      <w:sz w:val="24"/>
      <w:szCs w:val="24"/>
    </w:rPr>
  </w:style>
  <w:style w:type="paragraph" w:customStyle="1" w:styleId="Style10">
    <w:name w:val="Style10"/>
    <w:basedOn w:val="Normal"/>
    <w:uiPriority w:val="99"/>
    <w:rsid w:val="00747E0E"/>
    <w:pPr>
      <w:widowControl w:val="0"/>
      <w:autoSpaceDE w:val="0"/>
      <w:autoSpaceDN w:val="0"/>
      <w:adjustRightInd w:val="0"/>
      <w:spacing w:line="359" w:lineRule="exact"/>
      <w:ind w:firstLine="710"/>
      <w:jc w:val="both"/>
    </w:pPr>
    <w:rPr>
      <w:rFonts w:ascii="Times New Roman" w:eastAsiaTheme="minorEastAsia" w:hAnsi="Times New Roman" w:cs="Times New Roman"/>
      <w:sz w:val="24"/>
      <w:szCs w:val="24"/>
      <w:lang w:val="en-US"/>
    </w:rPr>
  </w:style>
  <w:style w:type="character" w:customStyle="1" w:styleId="FontStyle58">
    <w:name w:val="Font Style58"/>
    <w:basedOn w:val="DefaultParagraphFont"/>
    <w:uiPriority w:val="99"/>
    <w:rsid w:val="00747E0E"/>
    <w:rPr>
      <w:rFonts w:ascii="Times New Roman" w:hAnsi="Times New Roman" w:cs="Times New Roman"/>
      <w:b/>
      <w:bCs/>
      <w:i/>
      <w:iCs/>
      <w:sz w:val="20"/>
      <w:szCs w:val="20"/>
    </w:rPr>
  </w:style>
  <w:style w:type="character" w:customStyle="1" w:styleId="FontStyle67">
    <w:name w:val="Font Style67"/>
    <w:basedOn w:val="DefaultParagraphFont"/>
    <w:uiPriority w:val="99"/>
    <w:rsid w:val="00747E0E"/>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BE2A6D"/>
    <w:rPr>
      <w:rFonts w:ascii="Tahoma" w:hAnsi="Tahoma" w:cs="Tahoma"/>
      <w:sz w:val="16"/>
      <w:szCs w:val="16"/>
    </w:rPr>
  </w:style>
  <w:style w:type="character" w:customStyle="1" w:styleId="BalloonTextChar">
    <w:name w:val="Balloon Text Char"/>
    <w:basedOn w:val="DefaultParagraphFont"/>
    <w:link w:val="BalloonText"/>
    <w:uiPriority w:val="99"/>
    <w:semiHidden/>
    <w:rsid w:val="00BE2A6D"/>
    <w:rPr>
      <w:rFonts w:ascii="Tahoma" w:hAnsi="Tahoma" w:cs="Tahoma"/>
      <w:sz w:val="16"/>
      <w:szCs w:val="16"/>
      <w:lang w:val="bg-BG"/>
    </w:rPr>
  </w:style>
  <w:style w:type="paragraph" w:customStyle="1" w:styleId="Style2">
    <w:name w:val="Style2"/>
    <w:basedOn w:val="Normal"/>
    <w:uiPriority w:val="99"/>
    <w:rsid w:val="00C17970"/>
    <w:pPr>
      <w:widowControl w:val="0"/>
      <w:autoSpaceDE w:val="0"/>
      <w:autoSpaceDN w:val="0"/>
      <w:adjustRightInd w:val="0"/>
    </w:pPr>
    <w:rPr>
      <w:rFonts w:ascii="Arial" w:eastAsiaTheme="minorEastAsia" w:hAnsi="Arial" w:cs="Arial"/>
      <w:sz w:val="24"/>
      <w:szCs w:val="24"/>
      <w:lang w:val="en-US"/>
    </w:rPr>
  </w:style>
  <w:style w:type="paragraph" w:customStyle="1" w:styleId="Style7">
    <w:name w:val="Style7"/>
    <w:basedOn w:val="Normal"/>
    <w:uiPriority w:val="99"/>
    <w:rsid w:val="00C17970"/>
    <w:pPr>
      <w:widowControl w:val="0"/>
      <w:autoSpaceDE w:val="0"/>
      <w:autoSpaceDN w:val="0"/>
      <w:adjustRightInd w:val="0"/>
    </w:pPr>
    <w:rPr>
      <w:rFonts w:ascii="Arial" w:eastAsiaTheme="minorEastAsia" w:hAnsi="Arial" w:cs="Arial"/>
      <w:sz w:val="24"/>
      <w:szCs w:val="24"/>
      <w:lang w:val="en-US"/>
    </w:rPr>
  </w:style>
  <w:style w:type="paragraph" w:customStyle="1" w:styleId="Style12">
    <w:name w:val="Style12"/>
    <w:basedOn w:val="Normal"/>
    <w:uiPriority w:val="99"/>
    <w:rsid w:val="00C17970"/>
    <w:pPr>
      <w:widowControl w:val="0"/>
      <w:autoSpaceDE w:val="0"/>
      <w:autoSpaceDN w:val="0"/>
      <w:adjustRightInd w:val="0"/>
    </w:pPr>
    <w:rPr>
      <w:rFonts w:ascii="Arial" w:eastAsiaTheme="minorEastAsia" w:hAnsi="Arial" w:cs="Arial"/>
      <w:sz w:val="24"/>
      <w:szCs w:val="24"/>
      <w:lang w:val="en-US"/>
    </w:rPr>
  </w:style>
  <w:style w:type="character" w:customStyle="1" w:styleId="FontStyle18">
    <w:name w:val="Font Style18"/>
    <w:basedOn w:val="DefaultParagraphFont"/>
    <w:uiPriority w:val="99"/>
    <w:rsid w:val="00C17970"/>
    <w:rPr>
      <w:rFonts w:ascii="Arial" w:hAnsi="Arial" w:cs="Arial"/>
      <w:i/>
      <w:iCs/>
      <w:sz w:val="18"/>
      <w:szCs w:val="18"/>
    </w:rPr>
  </w:style>
  <w:style w:type="character" w:customStyle="1" w:styleId="FontStyle27">
    <w:name w:val="Font Style27"/>
    <w:basedOn w:val="DefaultParagraphFont"/>
    <w:uiPriority w:val="99"/>
    <w:rsid w:val="00C17970"/>
    <w:rPr>
      <w:rFonts w:ascii="Arial" w:hAnsi="Arial" w:cs="Arial"/>
      <w:sz w:val="14"/>
      <w:szCs w:val="14"/>
    </w:rPr>
  </w:style>
  <w:style w:type="character" w:customStyle="1" w:styleId="FontStyle28">
    <w:name w:val="Font Style28"/>
    <w:basedOn w:val="DefaultParagraphFont"/>
    <w:uiPriority w:val="99"/>
    <w:rsid w:val="00C17970"/>
    <w:rPr>
      <w:rFonts w:ascii="Arial" w:hAnsi="Arial" w:cs="Arial"/>
      <w:b/>
      <w:bCs/>
      <w:sz w:val="16"/>
      <w:szCs w:val="16"/>
    </w:rPr>
  </w:style>
  <w:style w:type="paragraph" w:styleId="Header">
    <w:name w:val="header"/>
    <w:basedOn w:val="Normal"/>
    <w:link w:val="HeaderChar"/>
    <w:uiPriority w:val="99"/>
    <w:unhideWhenUsed/>
    <w:rsid w:val="00C17970"/>
    <w:pPr>
      <w:tabs>
        <w:tab w:val="center" w:pos="4680"/>
        <w:tab w:val="right" w:pos="9360"/>
      </w:tabs>
    </w:pPr>
  </w:style>
  <w:style w:type="character" w:customStyle="1" w:styleId="HeaderChar">
    <w:name w:val="Header Char"/>
    <w:basedOn w:val="DefaultParagraphFont"/>
    <w:link w:val="Header"/>
    <w:uiPriority w:val="99"/>
    <w:rsid w:val="00C17970"/>
    <w:rPr>
      <w:lang w:val="bg-BG"/>
    </w:rPr>
  </w:style>
  <w:style w:type="paragraph" w:styleId="Footer">
    <w:name w:val="footer"/>
    <w:basedOn w:val="Normal"/>
    <w:link w:val="FooterChar"/>
    <w:uiPriority w:val="99"/>
    <w:unhideWhenUsed/>
    <w:rsid w:val="00C17970"/>
    <w:pPr>
      <w:tabs>
        <w:tab w:val="center" w:pos="4680"/>
        <w:tab w:val="right" w:pos="9360"/>
      </w:tabs>
    </w:pPr>
  </w:style>
  <w:style w:type="character" w:customStyle="1" w:styleId="FooterChar">
    <w:name w:val="Footer Char"/>
    <w:basedOn w:val="DefaultParagraphFont"/>
    <w:link w:val="Footer"/>
    <w:uiPriority w:val="99"/>
    <w:rsid w:val="00C17970"/>
    <w:rPr>
      <w:lang w:val="bg-BG"/>
    </w:rPr>
  </w:style>
  <w:style w:type="paragraph" w:styleId="ListParagraph">
    <w:name w:val="List Paragraph"/>
    <w:basedOn w:val="Normal"/>
    <w:uiPriority w:val="34"/>
    <w:qFormat/>
    <w:rsid w:val="005F4939"/>
    <w:pPr>
      <w:ind w:left="720"/>
      <w:contextualSpacing/>
    </w:pPr>
  </w:style>
  <w:style w:type="table" w:styleId="TableGrid">
    <w:name w:val="Table Grid"/>
    <w:basedOn w:val="TableNormal"/>
    <w:uiPriority w:val="59"/>
    <w:rsid w:val="008E5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26154">
      <w:bodyDiv w:val="1"/>
      <w:marLeft w:val="0"/>
      <w:marRight w:val="0"/>
      <w:marTop w:val="0"/>
      <w:marBottom w:val="0"/>
      <w:divBdr>
        <w:top w:val="none" w:sz="0" w:space="0" w:color="auto"/>
        <w:left w:val="none" w:sz="0" w:space="0" w:color="auto"/>
        <w:bottom w:val="none" w:sz="0" w:space="0" w:color="auto"/>
        <w:right w:val="none" w:sz="0" w:space="0" w:color="auto"/>
      </w:divBdr>
    </w:div>
    <w:div w:id="796290595">
      <w:bodyDiv w:val="1"/>
      <w:marLeft w:val="0"/>
      <w:marRight w:val="0"/>
      <w:marTop w:val="0"/>
      <w:marBottom w:val="0"/>
      <w:divBdr>
        <w:top w:val="none" w:sz="0" w:space="0" w:color="auto"/>
        <w:left w:val="none" w:sz="0" w:space="0" w:color="auto"/>
        <w:bottom w:val="none" w:sz="0" w:space="0" w:color="auto"/>
        <w:right w:val="none" w:sz="0" w:space="0" w:color="auto"/>
      </w:divBdr>
    </w:div>
    <w:div w:id="1025249039">
      <w:bodyDiv w:val="1"/>
      <w:marLeft w:val="0"/>
      <w:marRight w:val="0"/>
      <w:marTop w:val="0"/>
      <w:marBottom w:val="0"/>
      <w:divBdr>
        <w:top w:val="none" w:sz="0" w:space="0" w:color="auto"/>
        <w:left w:val="none" w:sz="0" w:space="0" w:color="auto"/>
        <w:bottom w:val="none" w:sz="0" w:space="0" w:color="auto"/>
        <w:right w:val="none" w:sz="0" w:space="0" w:color="auto"/>
      </w:divBdr>
    </w:div>
    <w:div w:id="1554732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chart" Target="charts/chart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chart" Target="charts/chart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Sheet1!$C$2</c:f>
              <c:strCache>
                <c:ptCount val="1"/>
                <c:pt idx="0">
                  <c:v>2015</c:v>
                </c:pt>
              </c:strCache>
            </c:strRef>
          </c:tx>
          <c:invertIfNegative val="0"/>
          <c:cat>
            <c:strRef>
              <c:f>Sheet1!$D$1:$H$1</c:f>
              <c:strCache>
                <c:ptCount val="5"/>
                <c:pt idx="0">
                  <c:v>домати</c:v>
                </c:pt>
                <c:pt idx="1">
                  <c:v>краставици</c:v>
                </c:pt>
                <c:pt idx="2">
                  <c:v>пипер</c:v>
                </c:pt>
                <c:pt idx="3">
                  <c:v>салати</c:v>
                </c:pt>
                <c:pt idx="4">
                  <c:v>патладжан</c:v>
                </c:pt>
              </c:strCache>
            </c:strRef>
          </c:cat>
          <c:val>
            <c:numRef>
              <c:f>Sheet1!$D$2:$H$2</c:f>
              <c:numCache>
                <c:formatCode>General</c:formatCode>
                <c:ptCount val="5"/>
                <c:pt idx="0">
                  <c:v>50105</c:v>
                </c:pt>
                <c:pt idx="1">
                  <c:v>41842</c:v>
                </c:pt>
                <c:pt idx="2">
                  <c:v>2763</c:v>
                </c:pt>
                <c:pt idx="3">
                  <c:v>1658</c:v>
                </c:pt>
                <c:pt idx="4">
                  <c:v>31</c:v>
                </c:pt>
              </c:numCache>
            </c:numRef>
          </c:val>
        </c:ser>
        <c:ser>
          <c:idx val="1"/>
          <c:order val="1"/>
          <c:tx>
            <c:strRef>
              <c:f>Sheet1!$C$3</c:f>
              <c:strCache>
                <c:ptCount val="1"/>
                <c:pt idx="0">
                  <c:v>2016</c:v>
                </c:pt>
              </c:strCache>
            </c:strRef>
          </c:tx>
          <c:invertIfNegative val="0"/>
          <c:cat>
            <c:strRef>
              <c:f>Sheet1!$D$1:$H$1</c:f>
              <c:strCache>
                <c:ptCount val="5"/>
                <c:pt idx="0">
                  <c:v>домати</c:v>
                </c:pt>
                <c:pt idx="1">
                  <c:v>краставици</c:v>
                </c:pt>
                <c:pt idx="2">
                  <c:v>пипер</c:v>
                </c:pt>
                <c:pt idx="3">
                  <c:v>салати</c:v>
                </c:pt>
                <c:pt idx="4">
                  <c:v>патладжан</c:v>
                </c:pt>
              </c:strCache>
            </c:strRef>
          </c:cat>
          <c:val>
            <c:numRef>
              <c:f>Sheet1!$D$3:$H$3</c:f>
              <c:numCache>
                <c:formatCode>General</c:formatCode>
                <c:ptCount val="5"/>
                <c:pt idx="0">
                  <c:v>49037</c:v>
                </c:pt>
                <c:pt idx="1">
                  <c:v>60296</c:v>
                </c:pt>
                <c:pt idx="2">
                  <c:v>3887</c:v>
                </c:pt>
                <c:pt idx="3">
                  <c:v>1938</c:v>
                </c:pt>
                <c:pt idx="4">
                  <c:v>104</c:v>
                </c:pt>
              </c:numCache>
            </c:numRef>
          </c:val>
        </c:ser>
        <c:dLbls>
          <c:showLegendKey val="0"/>
          <c:showVal val="0"/>
          <c:showCatName val="0"/>
          <c:showSerName val="0"/>
          <c:showPercent val="0"/>
          <c:showBubbleSize val="0"/>
        </c:dLbls>
        <c:gapWidth val="150"/>
        <c:shape val="box"/>
        <c:axId val="29998464"/>
        <c:axId val="30265728"/>
        <c:axId val="0"/>
      </c:bar3DChart>
      <c:catAx>
        <c:axId val="29998464"/>
        <c:scaling>
          <c:orientation val="minMax"/>
        </c:scaling>
        <c:delete val="0"/>
        <c:axPos val="b"/>
        <c:majorTickMark val="none"/>
        <c:minorTickMark val="none"/>
        <c:tickLblPos val="nextTo"/>
        <c:crossAx val="30265728"/>
        <c:crosses val="autoZero"/>
        <c:auto val="1"/>
        <c:lblAlgn val="ctr"/>
        <c:lblOffset val="100"/>
        <c:noMultiLvlLbl val="0"/>
      </c:catAx>
      <c:valAx>
        <c:axId val="30265728"/>
        <c:scaling>
          <c:orientation val="minMax"/>
        </c:scaling>
        <c:delete val="0"/>
        <c:axPos val="l"/>
        <c:majorGridlines>
          <c:spPr>
            <a:ln>
              <a:noFill/>
            </a:ln>
          </c:spPr>
        </c:majorGridlines>
        <c:numFmt formatCode="General" sourceLinked="1"/>
        <c:majorTickMark val="none"/>
        <c:minorTickMark val="none"/>
        <c:tickLblPos val="nextTo"/>
        <c:txPr>
          <a:bodyPr/>
          <a:lstStyle/>
          <a:p>
            <a:pPr>
              <a:defRPr b="1"/>
            </a:pPr>
            <a:endParaRPr lang="bg-BG"/>
          </a:p>
        </c:txPr>
        <c:crossAx val="29998464"/>
        <c:crosses val="autoZero"/>
        <c:crossBetween val="between"/>
      </c:valAx>
      <c:dTable>
        <c:showHorzBorder val="1"/>
        <c:showVertBorder val="1"/>
        <c:showOutline val="1"/>
        <c:showKeys val="1"/>
        <c:txPr>
          <a:bodyPr/>
          <a:lstStyle/>
          <a:p>
            <a:pPr rtl="0">
              <a:defRPr b="1"/>
            </a:pPr>
            <a:endParaRPr lang="bg-BG"/>
          </a:p>
        </c:txPr>
      </c:dTable>
    </c:plotArea>
    <c:plotVisOnly val="1"/>
    <c:dispBlanksAs val="gap"/>
    <c:showDLblsOverMax val="0"/>
  </c:chart>
  <c:spPr>
    <a:solidFill>
      <a:sysClr val="window" lastClr="FFFFFF"/>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1988407699037624E-2"/>
          <c:y val="5.1400554097404488E-2"/>
          <c:w val="0.91748020599028168"/>
          <c:h val="0.66609142607174099"/>
        </c:manualLayout>
      </c:layout>
      <c:bar3DChart>
        <c:barDir val="col"/>
        <c:grouping val="clustered"/>
        <c:varyColors val="0"/>
        <c:ser>
          <c:idx val="0"/>
          <c:order val="0"/>
          <c:tx>
            <c:strRef>
              <c:f>Sheet1!$D$3</c:f>
              <c:strCache>
                <c:ptCount val="1"/>
                <c:pt idx="0">
                  <c:v>2012</c:v>
                </c:pt>
              </c:strCache>
            </c:strRef>
          </c:tx>
          <c:invertIfNegative val="0"/>
          <c:cat>
            <c:strRef>
              <c:f>Sheet1!$C$4:$C$9</c:f>
              <c:strCache>
                <c:ptCount val="6"/>
                <c:pt idx="0">
                  <c:v>Зеленчуци (пресни и замразени) - кг                  </c:v>
                </c:pt>
                <c:pt idx="1">
                  <c:v>   Домати</c:v>
                </c:pt>
                <c:pt idx="2">
                  <c:v>   Kраставици</c:v>
                </c:pt>
                <c:pt idx="3">
                  <c:v>   Зеле</c:v>
                </c:pt>
                <c:pt idx="4">
                  <c:v>   Пипер</c:v>
                </c:pt>
                <c:pt idx="5">
                  <c:v>   Лук</c:v>
                </c:pt>
              </c:strCache>
            </c:strRef>
          </c:cat>
          <c:val>
            <c:numRef>
              <c:f>Sheet1!$D$4:$D$9</c:f>
              <c:numCache>
                <c:formatCode>General</c:formatCode>
                <c:ptCount val="6"/>
                <c:pt idx="0">
                  <c:v>70.400000000000006</c:v>
                </c:pt>
                <c:pt idx="1">
                  <c:v>20.2</c:v>
                </c:pt>
                <c:pt idx="2">
                  <c:v>10.5</c:v>
                </c:pt>
                <c:pt idx="3">
                  <c:v>6.6</c:v>
                </c:pt>
                <c:pt idx="4">
                  <c:v>8.5</c:v>
                </c:pt>
                <c:pt idx="5">
                  <c:v>11.7</c:v>
                </c:pt>
              </c:numCache>
            </c:numRef>
          </c:val>
        </c:ser>
        <c:ser>
          <c:idx val="1"/>
          <c:order val="1"/>
          <c:tx>
            <c:strRef>
              <c:f>Sheet1!$E$3</c:f>
              <c:strCache>
                <c:ptCount val="1"/>
                <c:pt idx="0">
                  <c:v>2013</c:v>
                </c:pt>
              </c:strCache>
            </c:strRef>
          </c:tx>
          <c:invertIfNegative val="0"/>
          <c:cat>
            <c:strRef>
              <c:f>Sheet1!$C$4:$C$9</c:f>
              <c:strCache>
                <c:ptCount val="6"/>
                <c:pt idx="0">
                  <c:v>Зеленчуци (пресни и замразени) - кг                  </c:v>
                </c:pt>
                <c:pt idx="1">
                  <c:v>   Домати</c:v>
                </c:pt>
                <c:pt idx="2">
                  <c:v>   Kраставици</c:v>
                </c:pt>
                <c:pt idx="3">
                  <c:v>   Зеле</c:v>
                </c:pt>
                <c:pt idx="4">
                  <c:v>   Пипер</c:v>
                </c:pt>
                <c:pt idx="5">
                  <c:v>   Лук</c:v>
                </c:pt>
              </c:strCache>
            </c:strRef>
          </c:cat>
          <c:val>
            <c:numRef>
              <c:f>Sheet1!$E$4:$E$9</c:f>
              <c:numCache>
                <c:formatCode>General</c:formatCode>
                <c:ptCount val="6"/>
                <c:pt idx="0">
                  <c:v>73.099999999999994</c:v>
                </c:pt>
                <c:pt idx="1">
                  <c:v>21.3</c:v>
                </c:pt>
                <c:pt idx="2">
                  <c:v>10.9</c:v>
                </c:pt>
                <c:pt idx="3">
                  <c:v>7.4</c:v>
                </c:pt>
                <c:pt idx="4">
                  <c:v>7.7</c:v>
                </c:pt>
                <c:pt idx="5">
                  <c:v>11.6</c:v>
                </c:pt>
              </c:numCache>
            </c:numRef>
          </c:val>
        </c:ser>
        <c:ser>
          <c:idx val="2"/>
          <c:order val="2"/>
          <c:tx>
            <c:strRef>
              <c:f>Sheet1!$F$3</c:f>
              <c:strCache>
                <c:ptCount val="1"/>
                <c:pt idx="0">
                  <c:v>2014</c:v>
                </c:pt>
              </c:strCache>
            </c:strRef>
          </c:tx>
          <c:invertIfNegative val="0"/>
          <c:cat>
            <c:strRef>
              <c:f>Sheet1!$C$4:$C$9</c:f>
              <c:strCache>
                <c:ptCount val="6"/>
                <c:pt idx="0">
                  <c:v>Зеленчуци (пресни и замразени) - кг                  </c:v>
                </c:pt>
                <c:pt idx="1">
                  <c:v>   Домати</c:v>
                </c:pt>
                <c:pt idx="2">
                  <c:v>   Kраставици</c:v>
                </c:pt>
                <c:pt idx="3">
                  <c:v>   Зеле</c:v>
                </c:pt>
                <c:pt idx="4">
                  <c:v>   Пипер</c:v>
                </c:pt>
                <c:pt idx="5">
                  <c:v>   Лук</c:v>
                </c:pt>
              </c:strCache>
            </c:strRef>
          </c:cat>
          <c:val>
            <c:numRef>
              <c:f>Sheet1!$F$4:$F$9</c:f>
              <c:numCache>
                <c:formatCode>General</c:formatCode>
                <c:ptCount val="6"/>
                <c:pt idx="0">
                  <c:v>70.900000000000006</c:v>
                </c:pt>
                <c:pt idx="1">
                  <c:v>20</c:v>
                </c:pt>
                <c:pt idx="2">
                  <c:v>11</c:v>
                </c:pt>
                <c:pt idx="3">
                  <c:v>7.2</c:v>
                </c:pt>
                <c:pt idx="4">
                  <c:v>7.4</c:v>
                </c:pt>
                <c:pt idx="5">
                  <c:v>10.9</c:v>
                </c:pt>
              </c:numCache>
            </c:numRef>
          </c:val>
        </c:ser>
        <c:ser>
          <c:idx val="3"/>
          <c:order val="3"/>
          <c:tx>
            <c:strRef>
              <c:f>Sheet1!$G$3</c:f>
              <c:strCache>
                <c:ptCount val="1"/>
                <c:pt idx="0">
                  <c:v>2015</c:v>
                </c:pt>
              </c:strCache>
            </c:strRef>
          </c:tx>
          <c:invertIfNegative val="0"/>
          <c:cat>
            <c:strRef>
              <c:f>Sheet1!$C$4:$C$9</c:f>
              <c:strCache>
                <c:ptCount val="6"/>
                <c:pt idx="0">
                  <c:v>Зеленчуци (пресни и замразени) - кг                  </c:v>
                </c:pt>
                <c:pt idx="1">
                  <c:v>   Домати</c:v>
                </c:pt>
                <c:pt idx="2">
                  <c:v>   Kраставици</c:v>
                </c:pt>
                <c:pt idx="3">
                  <c:v>   Зеле</c:v>
                </c:pt>
                <c:pt idx="4">
                  <c:v>   Пипер</c:v>
                </c:pt>
                <c:pt idx="5">
                  <c:v>   Лук</c:v>
                </c:pt>
              </c:strCache>
            </c:strRef>
          </c:cat>
          <c:val>
            <c:numRef>
              <c:f>Sheet1!$G$4:$G$9</c:f>
              <c:numCache>
                <c:formatCode>General</c:formatCode>
                <c:ptCount val="6"/>
                <c:pt idx="0">
                  <c:v>68.400000000000006</c:v>
                </c:pt>
                <c:pt idx="1">
                  <c:v>19.600000000000001</c:v>
                </c:pt>
                <c:pt idx="2">
                  <c:v>10.7</c:v>
                </c:pt>
                <c:pt idx="3">
                  <c:v>6.8</c:v>
                </c:pt>
                <c:pt idx="4">
                  <c:v>7.2</c:v>
                </c:pt>
                <c:pt idx="5">
                  <c:v>10.199999999999999</c:v>
                </c:pt>
              </c:numCache>
            </c:numRef>
          </c:val>
        </c:ser>
        <c:ser>
          <c:idx val="4"/>
          <c:order val="4"/>
          <c:tx>
            <c:strRef>
              <c:f>Sheet1!$H$3</c:f>
              <c:strCache>
                <c:ptCount val="1"/>
                <c:pt idx="0">
                  <c:v>2016</c:v>
                </c:pt>
              </c:strCache>
            </c:strRef>
          </c:tx>
          <c:invertIfNegative val="0"/>
          <c:cat>
            <c:strRef>
              <c:f>Sheet1!$C$4:$C$9</c:f>
              <c:strCache>
                <c:ptCount val="6"/>
                <c:pt idx="0">
                  <c:v>Зеленчуци (пресни и замразени) - кг                  </c:v>
                </c:pt>
                <c:pt idx="1">
                  <c:v>   Домати</c:v>
                </c:pt>
                <c:pt idx="2">
                  <c:v>   Kраставици</c:v>
                </c:pt>
                <c:pt idx="3">
                  <c:v>   Зеле</c:v>
                </c:pt>
                <c:pt idx="4">
                  <c:v>   Пипер</c:v>
                </c:pt>
                <c:pt idx="5">
                  <c:v>   Лук</c:v>
                </c:pt>
              </c:strCache>
            </c:strRef>
          </c:cat>
          <c:val>
            <c:numRef>
              <c:f>Sheet1!$H$4:$H$9</c:f>
              <c:numCache>
                <c:formatCode>General</c:formatCode>
                <c:ptCount val="6"/>
                <c:pt idx="0">
                  <c:v>70</c:v>
                </c:pt>
                <c:pt idx="1">
                  <c:v>20.6</c:v>
                </c:pt>
                <c:pt idx="2">
                  <c:v>11</c:v>
                </c:pt>
                <c:pt idx="3">
                  <c:v>6.5</c:v>
                </c:pt>
                <c:pt idx="4">
                  <c:v>7.8</c:v>
                </c:pt>
                <c:pt idx="5">
                  <c:v>10.3</c:v>
                </c:pt>
              </c:numCache>
            </c:numRef>
          </c:val>
        </c:ser>
        <c:dLbls>
          <c:showLegendKey val="0"/>
          <c:showVal val="0"/>
          <c:showCatName val="0"/>
          <c:showSerName val="0"/>
          <c:showPercent val="0"/>
          <c:showBubbleSize val="0"/>
        </c:dLbls>
        <c:gapWidth val="150"/>
        <c:shape val="box"/>
        <c:axId val="32898048"/>
        <c:axId val="61587456"/>
        <c:axId val="0"/>
      </c:bar3DChart>
      <c:catAx>
        <c:axId val="32898048"/>
        <c:scaling>
          <c:orientation val="minMax"/>
        </c:scaling>
        <c:delete val="0"/>
        <c:axPos val="b"/>
        <c:majorTickMark val="out"/>
        <c:minorTickMark val="none"/>
        <c:tickLblPos val="nextTo"/>
        <c:txPr>
          <a:bodyPr/>
          <a:lstStyle/>
          <a:p>
            <a:pPr>
              <a:defRPr b="1"/>
            </a:pPr>
            <a:endParaRPr lang="bg-BG"/>
          </a:p>
        </c:txPr>
        <c:crossAx val="61587456"/>
        <c:crosses val="autoZero"/>
        <c:auto val="1"/>
        <c:lblAlgn val="ctr"/>
        <c:lblOffset val="100"/>
        <c:noMultiLvlLbl val="0"/>
      </c:catAx>
      <c:valAx>
        <c:axId val="61587456"/>
        <c:scaling>
          <c:orientation val="minMax"/>
        </c:scaling>
        <c:delete val="0"/>
        <c:axPos val="l"/>
        <c:majorGridlines/>
        <c:numFmt formatCode="General" sourceLinked="1"/>
        <c:majorTickMark val="out"/>
        <c:minorTickMark val="none"/>
        <c:tickLblPos val="nextTo"/>
        <c:txPr>
          <a:bodyPr/>
          <a:lstStyle/>
          <a:p>
            <a:pPr>
              <a:defRPr sz="1200" b="1"/>
            </a:pPr>
            <a:endParaRPr lang="bg-BG"/>
          </a:p>
        </c:txPr>
        <c:crossAx val="32898048"/>
        <c:crosses val="autoZero"/>
        <c:crossBetween val="between"/>
      </c:valAx>
    </c:plotArea>
    <c:legend>
      <c:legendPos val="r"/>
      <c:layout>
        <c:manualLayout>
          <c:xMode val="edge"/>
          <c:yMode val="edge"/>
          <c:x val="0.86756696091307428"/>
          <c:y val="8.0581887479564435E-2"/>
          <c:w val="9.0228784961201888E-2"/>
          <c:h val="0.37469774939549877"/>
        </c:manualLayout>
      </c:layout>
      <c:overlay val="0"/>
      <c:txPr>
        <a:bodyPr/>
        <a:lstStyle/>
        <a:p>
          <a:pPr>
            <a:defRPr sz="1200" b="1"/>
          </a:pPr>
          <a:endParaRPr lang="bg-BG"/>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A66141-D024-40BC-8C51-D9BB420A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3077</Words>
  <Characters>17545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Petar Kirovski</dc:creator>
  <cp:lastModifiedBy>Lyubomira Taneva</cp:lastModifiedBy>
  <cp:revision>2</cp:revision>
  <dcterms:created xsi:type="dcterms:W3CDTF">2018-05-11T13:48:00Z</dcterms:created>
  <dcterms:modified xsi:type="dcterms:W3CDTF">2018-05-11T13:48:00Z</dcterms:modified>
</cp:coreProperties>
</file>