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26C10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3B3853CA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524454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>
        <w:rPr>
          <w:rFonts w:ascii="Times New Roman" w:eastAsia="Times New Roman" w:hAnsi="Times New Roman" w:cs="Times New Roman"/>
          <w:bCs/>
          <w:noProof/>
          <w:sz w:val="28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noProof/>
          <w:sz w:val="28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24454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en-GB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454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524454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524454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524454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524454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524454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ОТ</w:t>
      </w:r>
      <w:r w:rsidR="001D69CE" w:rsidRPr="00524454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</w:t>
      </w:r>
      <w:r w:rsidRPr="00524454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524454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52445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524454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52445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7CE1FD2D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4BAB437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9A0680B" w14:textId="77777777" w:rsidR="00524454" w:rsidRPr="00524454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524454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1" w:name="_Toc504657805"/>
      <w:r w:rsidRPr="00524454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А. Финансово изпълнение на проектите и плащане: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524454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highlight w:val="yellow"/>
                <w:lang w:val="bg-BG" w:eastAsia="bg-BG"/>
              </w:rPr>
            </w:pPr>
            <w:bookmarkStart w:id="2" w:name="_Toc256000087"/>
          </w:p>
          <w:p w14:paraId="666F012B" w14:textId="63B3268A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 РА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524454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AD1A98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акона за обществените поръчки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7C88B83E" w:rsidR="00524454" w:rsidRPr="00AD1A98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земеделието, храните и горите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(МЗХГ)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  РА, и физическите/юридическите лица; преди сключването на договорите от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МЗХГ или ДФЗ - РА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 те се предоставят за съгласуване съгласно установения в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МЗХГ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 - РА, вътрешен ред; </w:t>
            </w:r>
          </w:p>
          <w:p w14:paraId="3EA9B8BD" w14:textId="77777777" w:rsidR="00524454" w:rsidRPr="00524454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77777777" w:rsidR="00524454" w:rsidRPr="00524454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  <w:t> 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77777777" w:rsidR="00524454" w:rsidRPr="00AD1A98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2294641" w:rsidR="00524454" w:rsidRPr="00AD1A98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основни месечни заплати, дължимите данъци, осигуровки, обезщетения и възнаграждения за платен отпуск на щатния персонал на ДФЗ - РА и МЗХГ, изпълняващи функции, пряко свързани с управлението (в т. ч. управлението на прилагането на ПРСР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2014 – 2020 г.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), наблюдението, оценката и контрола на ПРСР 2014 - 2020 г.; </w:t>
            </w:r>
          </w:p>
          <w:p w14:paraId="042F17C8" w14:textId="77777777" w:rsidR="00524454" w:rsidRPr="00AD1A98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МЗХГ, съответно в ДФЗ – РА;</w:t>
            </w:r>
          </w:p>
          <w:p w14:paraId="1DB00988" w14:textId="40F1CD24" w:rsidR="00524454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 - РА и МЗХГ, изпълняващи функции, пряко свързани с управлението (в т.ч. управлението на прилагането на ПРСР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 2014 - 2020 г., се изплаща до четири пъти годишно при условията и по реда на вътрешните правила за заплатите в МЗХГ или ДФЗ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56A70E4" w14:textId="77777777" w:rsidR="00AD1A98" w:rsidRPr="00AD1A98" w:rsidRDefault="00AD1A98" w:rsidP="00AD1A9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F797D12" w14:textId="38542F48" w:rsidR="00524454" w:rsidRPr="00524454" w:rsidRDefault="00524454" w:rsidP="00AD1A9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AU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увеличаване</w:t>
            </w:r>
            <w:r w:rsidR="007345FF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към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Управляващия орган на ПРСР 2014 – 2020 г. (УО)</w:t>
            </w:r>
            <w:r w:rsidR="007345FF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52BFF5C0" w14:textId="77777777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10A6C23D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 от Дирекция „Финансова“ към </w:t>
            </w:r>
            <w:r w:rsidR="007345F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- РА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1E5789B1" w:rsidR="00524454" w:rsidRPr="00C35EA8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  <w:r w:rsidRPr="00524454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В случай на дейности,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Pr="00524454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524454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lastRenderedPageBreak/>
              <w:t xml:space="preserve">бенефициентът (УО на ПРСР/ДФ „Земеделие“) или упълномощено от него длъжностно лице, подава </w:t>
            </w:r>
            <w:r w:rsidR="00EC3C72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</w:t>
            </w:r>
            <w:r w:rsidRPr="00C35EA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срок </w:t>
            </w:r>
            <w:r w:rsidRPr="00C35EA8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не по-късно от </w:t>
            </w:r>
            <w:r w:rsidRPr="00C35EA8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C35EA8">
              <w:rPr>
                <w:rFonts w:ascii="TimesNewRomanUnicode" w:eastAsia="Times New Roman" w:hAnsi="TimesNewRomanUnicode" w:cs="TimesNewRomanUnicode"/>
                <w:b/>
                <w:sz w:val="24"/>
                <w:lang w:val="bg-BG" w:eastAsia="en-GB"/>
              </w:rPr>
              <w:t>работни дни</w:t>
            </w:r>
            <w:r w:rsidRPr="00C35EA8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след датата на </w:t>
            </w:r>
            <w:r w:rsidR="00FF4815" w:rsidRPr="00C35EA8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приемо-предавателния протокол за </w:t>
            </w:r>
            <w:r w:rsidRPr="00C35EA8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C35EA8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524454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726D7B87" w:rsidR="0067002C" w:rsidRPr="0067002C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6 месеца след приключване на съответната година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6 месеца 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 но не по-късно от 10 ноември 2023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1D581A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г.</w:t>
            </w:r>
          </w:p>
          <w:p w14:paraId="66BD8F7D" w14:textId="77777777" w:rsidR="00AD1A98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32426256" w:rsidR="00AD1A98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дейностите по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подточка 1.2., 3.1. и 3.3.,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 които ползвател е УО, се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изплащат от 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МЗХГ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ред, </w:t>
            </w:r>
            <w:r w:rsidR="00507A0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EC3C7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министъра на земеделието, храните и горите и след представяне и одобрение на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отчет от съответното лице за извършената дейност, както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разходооправдателни документи.</w:t>
            </w:r>
          </w:p>
          <w:p w14:paraId="790F37A1" w14:textId="77777777" w:rsidR="00AD1A98" w:rsidRPr="00AD1A98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07533292" w:rsidR="00524454" w:rsidRPr="00524454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 по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подточка 1.2., 3.1.</w:t>
            </w:r>
            <w:r w:rsidR="00507A0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3.3.,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 които ползвател е ДФЗ- РА, се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изплащат от ДФЗ- РА, по ред, одобрен от изпълнителния директор на ДФЗ- РА, и след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представяне на отчет от съответното лице за извършената дейност, както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Pr="00AD1A98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разходооправдателни документи.</w:t>
            </w:r>
          </w:p>
          <w:p w14:paraId="4EC29267" w14:textId="77777777" w:rsidR="00524454" w:rsidRPr="00524454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60BBC307" w14:textId="0F5A6B1C" w:rsidR="003E6874" w:rsidRPr="006D79F1" w:rsidRDefault="00524454" w:rsidP="006D79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представляващ</w:t>
            </w:r>
            <w:r w:rsidR="00F60E29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</w:t>
            </w:r>
            <w:r w:rsidR="006D79F1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а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I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чл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  <w:r w:rsidR="006D79F1"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</w:t>
            </w:r>
            <w:r w:rsidR="006D79F1" w:rsidRP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OB L 255, 28.8.2014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6D79F1" w:rsidRP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г.</w:t>
            </w:r>
            <w:r w:rsidR="006D79F1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)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 свързани с re-performance са имплементирани в контролните листа приложими за мярката.</w:t>
            </w:r>
            <w:r w:rsidRPr="00524454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Проверката за съответствие с критериите за финансиране на заявки, съдържащи дейности, обект на обществена поръчка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 за дейности. При заявки за 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2"/>
          </w:p>
          <w:p w14:paraId="19775CB3" w14:textId="182C5476" w:rsidR="003E6874" w:rsidRPr="003E6874" w:rsidRDefault="003E6874" w:rsidP="00F60E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highlight w:val="yellow"/>
                <w:lang w:val="bg-BG" w:eastAsia="bg-BG"/>
              </w:rPr>
            </w:pPr>
          </w:p>
        </w:tc>
      </w:tr>
      <w:tr w:rsidR="00524454" w:rsidRPr="00524454" w14:paraId="6582E570" w14:textId="77777777" w:rsidTr="0011572A">
        <w:tc>
          <w:tcPr>
            <w:tcW w:w="9212" w:type="dxa"/>
            <w:shd w:val="clear" w:color="auto" w:fill="auto"/>
          </w:tcPr>
          <w:p w14:paraId="7DBF63E8" w14:textId="77777777" w:rsidR="002C17A3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0F77B71" w14:textId="3FE2FCE4" w:rsidR="002C17A3" w:rsidRPr="002C17A3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20285E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Ползвателите на помощта съхраняват копия на всички документи </w:t>
            </w:r>
            <w:r w:rsidRPr="0020285E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(</w:t>
            </w:r>
            <w:r w:rsidRPr="0020285E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където е приложимо в оригинал</w:t>
            </w:r>
            <w:r w:rsidRPr="0020285E">
              <w:rPr>
                <w:rFonts w:ascii="Times New Roman" w:eastAsia="Times New Roman" w:hAnsi="Times New Roman" w:cs="Times New Roman"/>
                <w:sz w:val="24"/>
                <w:lang w:val="en-US" w:eastAsia="bg-BG"/>
              </w:rPr>
              <w:t>)</w:t>
            </w:r>
            <w:r w:rsidRPr="0020285E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за срок </w:t>
            </w:r>
            <w:r w:rsidR="00E07C60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от </w:t>
            </w:r>
            <w:r w:rsidRPr="0020285E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пет години от датата на извършване на окончателното плащане на финансовата помощ по съответната бюджетна линия.</w:t>
            </w:r>
          </w:p>
          <w:p w14:paraId="1BE2C3EC" w14:textId="2A7D883D" w:rsidR="002C17A3" w:rsidRPr="00524454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663FBFE7" w14:textId="77777777" w:rsidR="0020285E" w:rsidRDefault="0020285E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bg-BG"/>
        </w:rPr>
      </w:pPr>
      <w:bookmarkStart w:id="3" w:name="_Toc504657806"/>
    </w:p>
    <w:p w14:paraId="69A8D612" w14:textId="77777777" w:rsidR="00524454" w:rsidRPr="00524454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r w:rsidRPr="00524454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Б. Мерки за информиране и публичност: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524454" w14:paraId="7AD28AC6" w14:textId="77777777" w:rsidTr="0011572A">
        <w:tc>
          <w:tcPr>
            <w:tcW w:w="9212" w:type="dxa"/>
            <w:shd w:val="clear" w:color="auto" w:fill="auto"/>
          </w:tcPr>
          <w:p w14:paraId="0D296F52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09A05D28" w14:textId="021A63EE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524454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524454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524454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7B11E5AD" w14:textId="4978529D" w:rsidR="00524454" w:rsidRPr="00524454" w:rsidRDefault="00E07C60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препра</w:t>
            </w:r>
            <w:r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щане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</w:t>
            </w:r>
            <w:r w:rsidR="00524454" w:rsidRPr="00524454">
              <w:rPr>
                <w:rFonts w:ascii="Times New Roman" w:eastAsia="Calibri" w:hAnsi="Times New Roman" w:cs="Times New Roman"/>
                <w:sz w:val="24"/>
                <w:lang w:val="en-US" w:eastAsia="bg-BG"/>
              </w:rPr>
              <w:t xml:space="preserve"> </w:t>
            </w:r>
            <w:r w:rsidR="00524454"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електронната страница, където е публикуван резултатът от дейността, когато това е възможно.</w:t>
            </w:r>
          </w:p>
          <w:p w14:paraId="78A527DD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280630DF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утвърдени със Заповед № РД 09-861 от 12.11.2015 г. на министъра на земеделието и храните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524454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524454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75E69705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C23D30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="00C23D30"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</w:t>
            </w:r>
            <w:r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</w:t>
            </w:r>
            <w:r w:rsidR="00192D08"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Регламент (ЕС) № 1303/2013 г.</w:t>
            </w:r>
            <w:bookmarkStart w:id="4" w:name="_GoBack"/>
            <w:bookmarkEnd w:id="4"/>
            <w:r w:rsidR="00192D08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като се използват следните думи: "Европейски земеделски фонд за развитие на </w:t>
            </w:r>
            <w:r w:rsidRPr="00C23D30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t>селските райони: Европа инвестира в селските райони";</w:t>
            </w:r>
          </w:p>
          <w:p w14:paraId="5E4CC6BA" w14:textId="21A166E1" w:rsidR="00524454" w:rsidRPr="00524454" w:rsidRDefault="00524454" w:rsidP="0052445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  <w:p w14:paraId="4270C215" w14:textId="77777777" w:rsidR="00524454" w:rsidRPr="00524454" w:rsidRDefault="00524454" w:rsidP="00524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7A22C463" w14:textId="77777777" w:rsidR="00524454" w:rsidRPr="00524454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5" w:name="_Toc504657807"/>
      <w:r w:rsidRPr="00524454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524454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524454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77777777" w:rsidR="00524454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 междинно и окончателно плащане.</w:t>
            </w:r>
          </w:p>
          <w:p w14:paraId="1FDC7CB1" w14:textId="7A7B7244" w:rsidR="00591A3C" w:rsidRPr="00524454" w:rsidRDefault="00591A3C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1а Документи за межнисто и окончателно плащане в случай, че не са представени разходооправдателни документи</w:t>
            </w:r>
          </w:p>
          <w:p w14:paraId="70D3A294" w14:textId="55DE3CAC" w:rsidR="00524454" w:rsidRPr="00524454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Декларация за възстановени разходи.</w:t>
            </w:r>
          </w:p>
          <w:p w14:paraId="0210F038" w14:textId="49CA6A60" w:rsidR="00524454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524454">
              <w:rPr>
                <w:rFonts w:ascii="Calibri" w:eastAsia="Times New Roman" w:hAnsi="Calibri" w:cs="Times New Roman"/>
                <w:lang w:val="en-US" w:eastAsia="bg-BG"/>
              </w:rPr>
              <w:t xml:space="preserve"> </w:t>
            </w:r>
            <w:r w:rsidRPr="00524454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 за размера на възнагражденията.</w:t>
            </w:r>
          </w:p>
          <w:p w14:paraId="07F78CFE" w14:textId="08181E41" w:rsidR="008234BB" w:rsidRPr="008234BB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4 </w:t>
            </w:r>
            <w:r w:rsidRPr="008234BB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 за нередности;</w:t>
            </w:r>
          </w:p>
          <w:p w14:paraId="3EE89915" w14:textId="253FF8F7" w:rsidR="008234BB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</w:t>
            </w:r>
            <w:r w:rsidRPr="008234BB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Декларация за </w:t>
            </w:r>
            <w:r w:rsidR="00D517B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8234BB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47F493AA" w:rsidR="00970BC7" w:rsidRPr="000D0CD8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0D0CD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0D0CD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</w:t>
            </w:r>
            <w:r w:rsidR="00D517B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а</w:t>
            </w:r>
            <w:r w:rsidR="00D517B5" w:rsidRPr="000D0CD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0D0CD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0D0CD8" w:rsidRPr="000D0CD8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</w:p>
          <w:p w14:paraId="5EDC4FE9" w14:textId="77777777" w:rsidR="00524454" w:rsidRPr="00524454" w:rsidRDefault="00524454" w:rsidP="00524454">
            <w:pPr>
              <w:spacing w:after="0" w:line="240" w:lineRule="auto"/>
              <w:ind w:left="360"/>
              <w:jc w:val="both"/>
              <w:rPr>
                <w:rFonts w:ascii="Calibri" w:eastAsia="Times New Roman" w:hAnsi="Calibri" w:cs="Times New Roman"/>
                <w:lang w:val="bg-BG" w:eastAsia="bg-BG"/>
              </w:rPr>
            </w:pPr>
          </w:p>
          <w:p w14:paraId="44F286FF" w14:textId="77777777" w:rsidR="00524454" w:rsidRPr="00524454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3A5100E6" w14:textId="77777777" w:rsidR="00524454" w:rsidRPr="00524454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524454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Default="00610645"/>
    <w:sectPr w:rsidR="00610645" w:rsidSect="008E2A6B">
      <w:footerReference w:type="even" r:id="rId12"/>
      <w:footerReference w:type="default" r:id="rId13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DC6476" w15:done="0"/>
  <w15:commentEx w15:paraId="2706E1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F5E4D" w14:textId="77777777" w:rsidR="00185A5E" w:rsidRDefault="00185A5E">
      <w:pPr>
        <w:spacing w:after="0" w:line="240" w:lineRule="auto"/>
      </w:pPr>
      <w:r>
        <w:separator/>
      </w:r>
    </w:p>
  </w:endnote>
  <w:endnote w:type="continuationSeparator" w:id="0">
    <w:p w14:paraId="0F0C7989" w14:textId="77777777" w:rsidR="00185A5E" w:rsidRDefault="00185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185A5E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89A9A" w14:textId="136ECF43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0C5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A7FD3DF" w14:textId="77777777" w:rsidR="003C2612" w:rsidRPr="00E57BFA" w:rsidRDefault="00185A5E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389C7" w14:textId="77777777" w:rsidR="00185A5E" w:rsidRDefault="00185A5E">
      <w:pPr>
        <w:spacing w:after="0" w:line="240" w:lineRule="auto"/>
      </w:pPr>
      <w:r>
        <w:separator/>
      </w:r>
    </w:p>
  </w:footnote>
  <w:footnote w:type="continuationSeparator" w:id="0">
    <w:p w14:paraId="4828205A" w14:textId="77777777" w:rsidR="00185A5E" w:rsidRDefault="00185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  <w15:person w15:author="Albena Georgieva Pinalska">
    <w15:presenceInfo w15:providerId="None" w15:userId="Albena Georgieva Pinalska"/>
  </w15:person>
  <w15:person w15:author="Diana Hristova Stamenova">
    <w15:presenceInfo w15:providerId="None" w15:userId="Diana Hristova Stame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ED"/>
    <w:rsid w:val="000465AE"/>
    <w:rsid w:val="00057BDA"/>
    <w:rsid w:val="00076E13"/>
    <w:rsid w:val="000D0CD8"/>
    <w:rsid w:val="00185A5E"/>
    <w:rsid w:val="00192D08"/>
    <w:rsid w:val="001A3194"/>
    <w:rsid w:val="001A5318"/>
    <w:rsid w:val="001B0C59"/>
    <w:rsid w:val="001D581A"/>
    <w:rsid w:val="001D69CE"/>
    <w:rsid w:val="001F66E1"/>
    <w:rsid w:val="0020285E"/>
    <w:rsid w:val="00222819"/>
    <w:rsid w:val="002C17A3"/>
    <w:rsid w:val="003476FB"/>
    <w:rsid w:val="00371243"/>
    <w:rsid w:val="003938D0"/>
    <w:rsid w:val="003E6874"/>
    <w:rsid w:val="004010CF"/>
    <w:rsid w:val="00433FF1"/>
    <w:rsid w:val="004370E3"/>
    <w:rsid w:val="004632C4"/>
    <w:rsid w:val="004702C9"/>
    <w:rsid w:val="004D343E"/>
    <w:rsid w:val="00507A08"/>
    <w:rsid w:val="00524454"/>
    <w:rsid w:val="00591A3C"/>
    <w:rsid w:val="00594C7E"/>
    <w:rsid w:val="005F422B"/>
    <w:rsid w:val="00610645"/>
    <w:rsid w:val="006523ED"/>
    <w:rsid w:val="00653AD2"/>
    <w:rsid w:val="0067002C"/>
    <w:rsid w:val="006D79F1"/>
    <w:rsid w:val="007047DA"/>
    <w:rsid w:val="007345FF"/>
    <w:rsid w:val="007427FE"/>
    <w:rsid w:val="00791BC8"/>
    <w:rsid w:val="007B14D6"/>
    <w:rsid w:val="007C6E90"/>
    <w:rsid w:val="008234BB"/>
    <w:rsid w:val="008932AA"/>
    <w:rsid w:val="008D6F8F"/>
    <w:rsid w:val="00970BC7"/>
    <w:rsid w:val="009D4741"/>
    <w:rsid w:val="009F39FD"/>
    <w:rsid w:val="00A62840"/>
    <w:rsid w:val="00AB2B6F"/>
    <w:rsid w:val="00AD1A98"/>
    <w:rsid w:val="00C23D30"/>
    <w:rsid w:val="00C35EA8"/>
    <w:rsid w:val="00C83124"/>
    <w:rsid w:val="00C95111"/>
    <w:rsid w:val="00D22794"/>
    <w:rsid w:val="00D517B5"/>
    <w:rsid w:val="00D77CD5"/>
    <w:rsid w:val="00D93BA6"/>
    <w:rsid w:val="00E02DAA"/>
    <w:rsid w:val="00E07C60"/>
    <w:rsid w:val="00E93551"/>
    <w:rsid w:val="00EC3C72"/>
    <w:rsid w:val="00F60E29"/>
    <w:rsid w:val="00F65895"/>
    <w:rsid w:val="00F82276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F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2AB77-6A15-49F1-B8A1-1B3D242D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Tatyana P. Petrova</cp:lastModifiedBy>
  <cp:revision>2</cp:revision>
  <dcterms:created xsi:type="dcterms:W3CDTF">2018-02-12T13:53:00Z</dcterms:created>
  <dcterms:modified xsi:type="dcterms:W3CDTF">2018-02-12T13:53:00Z</dcterms:modified>
</cp:coreProperties>
</file>