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5A" w:rsidRDefault="009B5B5A" w:rsidP="00916A74">
      <w:pPr>
        <w:jc w:val="center"/>
        <w:rPr>
          <w:b/>
          <w:szCs w:val="24"/>
        </w:rPr>
      </w:pPr>
      <w:r>
        <w:rPr>
          <w:b/>
        </w:rPr>
        <w:t>BG</w:t>
      </w:r>
    </w:p>
    <w:p w:rsidR="009B5B5A" w:rsidRDefault="009B5B5A" w:rsidP="00916A74">
      <w:pPr>
        <w:jc w:val="center"/>
        <w:rPr>
          <w:b/>
          <w:szCs w:val="24"/>
        </w:rPr>
      </w:pPr>
    </w:p>
    <w:p w:rsidR="009B5B5A" w:rsidRPr="00F60B4A" w:rsidRDefault="009B5B5A" w:rsidP="00916A74">
      <w:pPr>
        <w:jc w:val="center"/>
        <w:rPr>
          <w:b/>
          <w:szCs w:val="24"/>
        </w:rPr>
      </w:pPr>
      <w:r>
        <w:rPr>
          <w:b/>
        </w:rPr>
        <w:t>ПРИЛОЖЕНИЕ І</w:t>
      </w:r>
    </w:p>
    <w:p w:rsidR="009B5B5A" w:rsidRPr="00F60B4A" w:rsidRDefault="009B5B5A" w:rsidP="00916A74">
      <w:pPr>
        <w:jc w:val="center"/>
        <w:rPr>
          <w:b/>
          <w:szCs w:val="24"/>
        </w:rPr>
      </w:pPr>
      <w:r>
        <w:rPr>
          <w:b/>
        </w:rPr>
        <w:t>Работна програма за 2017 г.</w:t>
      </w:r>
    </w:p>
    <w:p w:rsidR="009B5B5A" w:rsidRPr="00DF6575" w:rsidRDefault="009B5B5A" w:rsidP="00916A74">
      <w:pPr>
        <w:jc w:val="center"/>
        <w:rPr>
          <w:b/>
          <w:szCs w:val="24"/>
        </w:rPr>
      </w:pPr>
      <w:r>
        <w:rPr>
          <w:b/>
        </w:rPr>
        <w:t>в рамките на</w:t>
      </w:r>
    </w:p>
    <w:p w:rsidR="009B5B5A" w:rsidRPr="00DF6575" w:rsidRDefault="009B5B5A" w:rsidP="00916A74">
      <w:pPr>
        <w:jc w:val="center"/>
        <w:rPr>
          <w:b/>
          <w:szCs w:val="24"/>
        </w:rPr>
      </w:pPr>
      <w:r>
        <w:rPr>
          <w:b/>
        </w:rPr>
        <w:t>Регламент (ЕС) № 1144/2014 на Европейския парламент и на Съвета от 22 октомври 2014 г. за мерките за информиране и насърчаване, свързани със селскостопанските продукти, прилагани на вътрешния пазар и в трети държави, и за отмяна на Регламент (ЕО) № 3/2008 на Съвета.</w:t>
      </w:r>
    </w:p>
    <w:p w:rsidR="009B5B5A" w:rsidRPr="00DF6575" w:rsidRDefault="009B5B5A" w:rsidP="00916A74">
      <w:pPr>
        <w:jc w:val="center"/>
        <w:rPr>
          <w:b/>
          <w:szCs w:val="24"/>
        </w:rPr>
      </w:pPr>
      <w:bookmarkStart w:id="0" w:name="DQCNUMB_1"/>
      <w:bookmarkEnd w:id="0"/>
    </w:p>
    <w:p w:rsidR="009B5B5A" w:rsidRPr="00DF6575" w:rsidRDefault="009B5B5A" w:rsidP="00916A74">
      <w:pPr>
        <w:pStyle w:val="Heading2"/>
        <w:rPr>
          <w:rFonts w:eastAsia="Times New Roman"/>
        </w:rPr>
      </w:pPr>
      <w:bookmarkStart w:id="1" w:name="DQCNUMB_2"/>
      <w:bookmarkEnd w:id="1"/>
      <w:r>
        <w:t>Въведение</w:t>
      </w:r>
    </w:p>
    <w:p w:rsidR="009B5B5A" w:rsidRDefault="009B5B5A" w:rsidP="008315ED">
      <w:pPr>
        <w:autoSpaceDE w:val="0"/>
        <w:autoSpaceDN w:val="0"/>
        <w:adjustRightInd w:val="0"/>
        <w:spacing w:after="0"/>
        <w:rPr>
          <w:szCs w:val="24"/>
        </w:rPr>
      </w:pPr>
      <w:r>
        <w:t>Въз основа на целите, определени в Регламент (ЕС) № 1144/2014, настоящата работна програма съдържа дейности, които ще бъдат финансирани през 2017 г. съгласно следното разпределение:</w:t>
      </w:r>
    </w:p>
    <w:p w:rsidR="009B5B5A" w:rsidRPr="00A17365" w:rsidRDefault="009B5B5A" w:rsidP="008315ED">
      <w:pPr>
        <w:pStyle w:val="Point0letter"/>
        <w:numPr>
          <w:ilvl w:val="0"/>
          <w:numId w:val="50"/>
        </w:numPr>
        <w:spacing w:after="0"/>
      </w:pPr>
      <w:r>
        <w:t>за безвъзмездно финансиране (изпълнени чрез пряко и споделено управление, точка 1.2 по-долу): 133.000.000 евро;</w:t>
      </w:r>
    </w:p>
    <w:p w:rsidR="009B5B5A" w:rsidRDefault="009B5B5A" w:rsidP="008315ED">
      <w:pPr>
        <w:pStyle w:val="Point0letter"/>
        <w:numPr>
          <w:ilvl w:val="0"/>
          <w:numId w:val="50"/>
        </w:numPr>
        <w:spacing w:after="0"/>
        <w:rPr>
          <w:szCs w:val="24"/>
        </w:rPr>
      </w:pPr>
      <w:bookmarkStart w:id="2" w:name="DQCNUMB_3"/>
      <w:bookmarkEnd w:id="2"/>
      <w:r>
        <w:t>за обществени поръчки (изпълнени чрез пряко управление, точка 1.3 по-долу):  9.500.000 евро,</w:t>
      </w:r>
    </w:p>
    <w:p w:rsidR="009B5B5A" w:rsidRPr="004C4420" w:rsidRDefault="009B5B5A" w:rsidP="008315ED">
      <w:pPr>
        <w:spacing w:before="0" w:after="0"/>
        <w:rPr>
          <w:szCs w:val="24"/>
        </w:rPr>
      </w:pPr>
    </w:p>
    <w:p w:rsidR="009B5B5A" w:rsidRPr="00DF6575" w:rsidRDefault="009B5B5A" w:rsidP="008315ED">
      <w:pPr>
        <w:pStyle w:val="Heading2"/>
        <w:numPr>
          <w:ilvl w:val="1"/>
          <w:numId w:val="5"/>
        </w:numPr>
        <w:spacing w:after="0"/>
        <w:rPr>
          <w:rFonts w:eastAsia="Times New Roman"/>
        </w:rPr>
      </w:pPr>
      <w:bookmarkStart w:id="3" w:name="DQCNUMB_4"/>
      <w:bookmarkEnd w:id="3"/>
      <w:r>
        <w:t xml:space="preserve">Безвъзмездни средства </w:t>
      </w:r>
    </w:p>
    <w:p w:rsidR="009B5B5A" w:rsidRPr="00556C7B" w:rsidRDefault="009B5B5A" w:rsidP="008315ED">
      <w:pPr>
        <w:autoSpaceDE w:val="0"/>
        <w:autoSpaceDN w:val="0"/>
        <w:adjustRightInd w:val="0"/>
        <w:spacing w:after="0"/>
        <w:rPr>
          <w:szCs w:val="24"/>
          <w:u w:val="single"/>
        </w:rPr>
      </w:pPr>
      <w:r>
        <w:rPr>
          <w:u w:val="single"/>
        </w:rPr>
        <w:t>Нормативна база:</w:t>
      </w:r>
    </w:p>
    <w:p w:rsidR="009B5B5A" w:rsidRDefault="009B5B5A" w:rsidP="008315ED">
      <w:pPr>
        <w:autoSpaceDE w:val="0"/>
        <w:autoSpaceDN w:val="0"/>
        <w:adjustRightInd w:val="0"/>
        <w:spacing w:after="0"/>
        <w:rPr>
          <w:bCs/>
          <w:szCs w:val="24"/>
        </w:rPr>
      </w:pPr>
      <w:r>
        <w:t>Регламент (ЕС) № 1144/2014</w:t>
      </w:r>
    </w:p>
    <w:p w:rsidR="009B5B5A" w:rsidRDefault="009B5B5A" w:rsidP="008315ED">
      <w:pPr>
        <w:autoSpaceDE w:val="0"/>
        <w:autoSpaceDN w:val="0"/>
        <w:adjustRightInd w:val="0"/>
        <w:spacing w:after="0"/>
        <w:rPr>
          <w:szCs w:val="24"/>
        </w:rPr>
      </w:pPr>
      <w:r>
        <w:rPr>
          <w:u w:val="single"/>
        </w:rPr>
        <w:t>Бюджетен ред:</w:t>
      </w:r>
    </w:p>
    <w:p w:rsidR="009B5B5A" w:rsidRDefault="009B5B5A" w:rsidP="008315ED">
      <w:pPr>
        <w:autoSpaceDE w:val="0"/>
        <w:autoSpaceDN w:val="0"/>
        <w:adjustRightInd w:val="0"/>
        <w:spacing w:after="0"/>
        <w:rPr>
          <w:szCs w:val="24"/>
        </w:rPr>
      </w:pPr>
      <w:r>
        <w:t>Програмите за информиране и насърчаване се състоят от „обикновени“ и „многонационални“ програми. Обикновените програми се отнасят до предложения, подадени от една или повече предлагащи организации от една и съща държава — членка. Многонационалните програми се отнасят до предложения, подадени от най-малко две предлагащи организации от най-малко две държави членки или една или повече организации от Европейския съюз.</w:t>
      </w:r>
    </w:p>
    <w:p w:rsidR="009B5B5A" w:rsidRDefault="009B5B5A" w:rsidP="008315ED">
      <w:pPr>
        <w:autoSpaceDE w:val="0"/>
        <w:autoSpaceDN w:val="0"/>
        <w:adjustRightInd w:val="0"/>
        <w:spacing w:after="0"/>
        <w:rPr>
          <w:szCs w:val="24"/>
        </w:rPr>
      </w:pPr>
      <w:r>
        <w:t>Обикновените и многонационалните програми имат различни режими на управление и финансиране и са включени в два различни бюджетни реда:</w:t>
      </w:r>
    </w:p>
    <w:p w:rsidR="009B5B5A" w:rsidRDefault="009B5B5A" w:rsidP="008315ED">
      <w:pPr>
        <w:autoSpaceDE w:val="0"/>
        <w:autoSpaceDN w:val="0"/>
        <w:adjustRightInd w:val="0"/>
        <w:spacing w:after="0"/>
        <w:rPr>
          <w:szCs w:val="24"/>
        </w:rPr>
      </w:pPr>
      <w:r>
        <w:t>05.02.10.01: за обикновени програми</w:t>
      </w:r>
    </w:p>
    <w:p w:rsidR="009B5B5A" w:rsidRDefault="009B5B5A" w:rsidP="008315ED">
      <w:pPr>
        <w:autoSpaceDE w:val="0"/>
        <w:autoSpaceDN w:val="0"/>
        <w:adjustRightInd w:val="0"/>
        <w:spacing w:after="0"/>
        <w:rPr>
          <w:szCs w:val="24"/>
        </w:rPr>
      </w:pPr>
      <w:r>
        <w:t>05.02.10.02: за многонационални програми</w:t>
      </w:r>
    </w:p>
    <w:p w:rsidR="009B5B5A" w:rsidRDefault="009B5B5A" w:rsidP="008315ED">
      <w:pPr>
        <w:spacing w:after="0"/>
        <w:rPr>
          <w:szCs w:val="24"/>
          <w:u w:val="single"/>
        </w:rPr>
      </w:pPr>
      <w:r>
        <w:rPr>
          <w:u w:val="single"/>
        </w:rPr>
        <w:t>Описание на дейностите, които се финансират по поканата за представяне на проектни предложения</w:t>
      </w:r>
    </w:p>
    <w:p w:rsidR="009B5B5A" w:rsidRPr="0006476F" w:rsidRDefault="009B5B5A" w:rsidP="008315ED">
      <w:pPr>
        <w:spacing w:after="0"/>
        <w:rPr>
          <w:szCs w:val="24"/>
          <w:u w:val="single"/>
        </w:rPr>
      </w:pPr>
      <w:r>
        <w:t>Програмите за разпространение на информация и популяризиране се състоят от набор от съгласувани операции и се прилагат в продължение на най-малко една година, но не по-дълго от три години. Те се състоят, по-специално, от действия за връзки с обществеността и информационни кампании и могат също така да са под формата на участие в събития, панаири и изложения с национално, европейско и международно значение.</w:t>
      </w:r>
    </w:p>
    <w:p w:rsidR="009B5B5A" w:rsidRDefault="009B5B5A">
      <w:pPr>
        <w:spacing w:before="0" w:after="0"/>
        <w:jc w:val="left"/>
        <w:rPr>
          <w:szCs w:val="24"/>
          <w:u w:val="single"/>
        </w:rPr>
      </w:pPr>
      <w:r>
        <w:br w:type="page"/>
      </w:r>
    </w:p>
    <w:p w:rsidR="009B5B5A" w:rsidRPr="0067056C" w:rsidRDefault="009B5B5A" w:rsidP="00916A74">
      <w:pPr>
        <w:rPr>
          <w:color w:val="FFFFFF"/>
          <w:sz w:val="6"/>
          <w:u w:val="single"/>
        </w:rPr>
      </w:pPr>
      <w:r w:rsidRPr="0067056C">
        <w:rPr>
          <w:color w:val="FFFFFF"/>
          <w:sz w:val="6"/>
          <w:u w:val="single"/>
        </w:rPr>
        <w:t xml:space="preserve">                                                                                                                                                                                                                                                                                                                                                                                                                                                                                                                                                                                                                           </w:t>
      </w:r>
    </w:p>
    <w:p w:rsidR="009B5B5A" w:rsidRDefault="009B5B5A" w:rsidP="00916A74">
      <w:pPr>
        <w:rPr>
          <w:szCs w:val="24"/>
          <w:u w:val="single"/>
        </w:rPr>
      </w:pPr>
      <w:r>
        <w:rPr>
          <w:u w:val="single"/>
        </w:rPr>
        <w:t>Изпълнение</w:t>
      </w:r>
    </w:p>
    <w:p w:rsidR="009B5B5A" w:rsidRDefault="009B5B5A" w:rsidP="00916A74">
      <w:pPr>
        <w:rPr>
          <w:szCs w:val="24"/>
        </w:rPr>
      </w:pPr>
      <w:r>
        <w:t>Настоящата работна програма, за обикновени и многонационални проекти, се изпълнява чрез публикуването на две покани за представяне на предложения, организирани, публикувани и управлявани от Изпълнителната агенция за потребителите, здравеопазването, селското стопанство и храните (CHAFEA).</w:t>
      </w:r>
    </w:p>
    <w:p w:rsidR="009B5B5A" w:rsidRPr="00387566" w:rsidRDefault="009B5B5A" w:rsidP="00916A74">
      <w:pPr>
        <w:rPr>
          <w:szCs w:val="24"/>
        </w:rPr>
      </w:pPr>
      <w:r>
        <w:t>Проектни предложения по обикновени и многонационални програми се оценяват въз основа на критерии, изложени съответно в Приложения ІІ и ІІІ.</w:t>
      </w:r>
    </w:p>
    <w:p w:rsidR="009B5B5A" w:rsidRDefault="009B5B5A" w:rsidP="00916A74">
      <w:pPr>
        <w:spacing w:after="240"/>
        <w:rPr>
          <w:szCs w:val="24"/>
        </w:rPr>
      </w:pPr>
      <w:r>
        <w:t>След това финансирането на обикновените програми се извършва от държавите членки и многонационалните програми от CHAFEA.</w:t>
      </w:r>
    </w:p>
    <w:p w:rsidR="009B5B5A" w:rsidRDefault="009B5B5A" w:rsidP="00916A74">
      <w:pPr>
        <w:spacing w:after="240"/>
        <w:rPr>
          <w:szCs w:val="24"/>
          <w:u w:val="single"/>
        </w:rPr>
      </w:pPr>
      <w:r>
        <w:rPr>
          <w:u w:val="single"/>
        </w:rPr>
        <w:t xml:space="preserve">Максимален процент съфинансиране от Съюза за допустими разходи </w:t>
      </w:r>
    </w:p>
    <w:p w:rsidR="009B5B5A" w:rsidRPr="00971E58" w:rsidRDefault="009B5B5A" w:rsidP="00916A74">
      <w:pPr>
        <w:rPr>
          <w:i/>
        </w:rPr>
      </w:pPr>
      <w:r>
        <w:rPr>
          <w:i/>
        </w:rPr>
        <w:t>а) Обикновени програми</w:t>
      </w:r>
    </w:p>
    <w:p w:rsidR="009B5B5A" w:rsidRDefault="009B5B5A" w:rsidP="00916A74">
      <w:r>
        <w:t>Финансовото участие на Съюза в обикновените програми на вътрешния пазар съответства на 70 % от допустимите разходи. По отношение на предлагащите организации, установени в държави членки, които на или след 1 януари 2014 г. получават финансова помощ в съответствие с членове 136 и 143 ДФЕС, процентите са съответно 75% за програмите, във връзка с които Комисията е взела решение преди датата, от която съответната държава — членка вече не получава такава финансова помощ.</w:t>
      </w:r>
    </w:p>
    <w:p w:rsidR="009B5B5A" w:rsidRDefault="009B5B5A" w:rsidP="00916A74">
      <w:r>
        <w:t>Финансовото участие на Съюза в обикновените програми, изпълнявани в трети държави, съответства на 80 % от допустимите разходи. По отношение на предлагащите организации, установени в държави членки, които на или след 1 януари 2014 г. получават финансова помощ в съответствие с членове 136 и 143 ДФЕС, процентите са съответно 85 % за програмите, във връзка с които Комисията е взела решение преди датата, от която съответната държава — членка вече не получава такава финансова помощ.</w:t>
      </w:r>
    </w:p>
    <w:p w:rsidR="009B5B5A" w:rsidRPr="00971E58" w:rsidRDefault="009B5B5A" w:rsidP="00916A74">
      <w:pPr>
        <w:rPr>
          <w:i/>
        </w:rPr>
      </w:pPr>
      <w:r>
        <w:rPr>
          <w:i/>
        </w:rPr>
        <w:t>б) Многонационални програми</w:t>
      </w:r>
    </w:p>
    <w:p w:rsidR="009B5B5A" w:rsidRDefault="009B5B5A" w:rsidP="00916A74">
      <w:r>
        <w:t>Финансовото участие на Съюза в многонационалните програми съответства на 80 % от допустимите разходи. По отношение на предлагащите организации, установени в държави членки, които на или след 1 януари 2014 г. получават финансова помощ в съответствие с членове 136 и 143 ДФЕС, процентите са съответно 85 % за програмите, във връзка с които Комисията е взела решение преди датата, от която съответната държава — членка вече не получава такава финансова помощ.</w:t>
      </w:r>
    </w:p>
    <w:p w:rsidR="009B5B5A" w:rsidRPr="00971E58" w:rsidRDefault="009B5B5A" w:rsidP="00916A74">
      <w:pPr>
        <w:rPr>
          <w:i/>
        </w:rPr>
      </w:pPr>
      <w:r>
        <w:rPr>
          <w:i/>
        </w:rPr>
        <w:t>в) Специален процент на съфинансиране за обикновени и многонационални програми</w:t>
      </w:r>
    </w:p>
    <w:p w:rsidR="009B5B5A" w:rsidRPr="000F1314" w:rsidRDefault="009B5B5A" w:rsidP="00916A74">
      <w:pPr>
        <w:spacing w:after="240"/>
        <w:rPr>
          <w:szCs w:val="24"/>
        </w:rPr>
      </w:pPr>
      <w:r>
        <w:t>Финансовото участие на Съюза в обикновените и многонационалните програми съответства на 85% от допустимите разходи в случай на сериозни смущения на пазара, загуба на потребителското доверие или други специфични проблеми. По отношение на предлагащите организации, установени в държави членки, които на или след 1 януари 2014 г. получават финансова помощ в съответствие с членове 136 и 143 ДФЕС, процентите са съответно 90 % за програмите, във връзка с които Комисията е взела решение преди датата, от която съответната държава — членка вече не получава такава финансова помощ.</w:t>
      </w:r>
    </w:p>
    <w:p w:rsidR="009B5B5A" w:rsidRDefault="009B5B5A" w:rsidP="00916A74">
      <w:pPr>
        <w:rPr>
          <w:u w:val="single"/>
        </w:rPr>
      </w:pPr>
    </w:p>
    <w:p w:rsidR="009B5B5A" w:rsidRDefault="009B5B5A" w:rsidP="00916A74">
      <w:pPr>
        <w:rPr>
          <w:u w:val="single"/>
        </w:rPr>
      </w:pPr>
    </w:p>
    <w:p w:rsidR="009B5B5A" w:rsidRPr="0067056C" w:rsidRDefault="009B5B5A" w:rsidP="0067056C">
      <w:pPr>
        <w:rPr>
          <w:color w:val="FFFFFF"/>
          <w:sz w:val="6"/>
          <w:u w:val="single"/>
        </w:rPr>
      </w:pPr>
      <w:r w:rsidRPr="0067056C">
        <w:rPr>
          <w:color w:val="FFFFFF"/>
          <w:sz w:val="6"/>
          <w:u w:val="single"/>
        </w:rPr>
        <w:t xml:space="preserve">                                                                                                                                                                                                                                                                                                                                                                                                                                                                                                                                                                                                                           </w:t>
      </w:r>
    </w:p>
    <w:p w:rsidR="009B5B5A" w:rsidRDefault="009B5B5A" w:rsidP="00916A74">
      <w:pPr>
        <w:rPr>
          <w:szCs w:val="24"/>
          <w:u w:val="single"/>
        </w:rPr>
      </w:pPr>
      <w:r>
        <w:rPr>
          <w:u w:val="single"/>
        </w:rPr>
        <w:t>Индикативен график и индикативната стойност на поканите за представяне на предложения</w:t>
      </w:r>
    </w:p>
    <w:p w:rsidR="009B5B5A" w:rsidRDefault="009B5B5A" w:rsidP="00916A74">
      <w:r>
        <w:t>Покана за представяне на проектни предложения за съфинансиране на програмите за информиране и насърчаване, изпълнявани на вътрешния пазар или в трети държави, т.е. дейности по тематични приоритети 1, 2 и 3, посочени в точка 1.2.1 ще се публикуват в края на месец януари 2017 г. При необходимост, може да бъде публикувана допълнителна покана за представяне на предложения в случай на смущения на пазара, загуба на потребителското доверие или други специфични проблеми, съгласно точка 1.2.2, възможно най-бързо след началото на смущенията на пазара.</w:t>
      </w:r>
    </w:p>
    <w:p w:rsidR="009B5B5A" w:rsidRDefault="009B5B5A" w:rsidP="00916A74">
      <w:pPr>
        <w:autoSpaceDE w:val="0"/>
        <w:autoSpaceDN w:val="0"/>
        <w:adjustRightInd w:val="0"/>
        <w:spacing w:after="240"/>
        <w:rPr>
          <w:szCs w:val="24"/>
        </w:rPr>
      </w:pPr>
      <w:r>
        <w:t>Цялата сума за програмите за информиране и насърчаване, която ще се предостави през 2017 г. възлиза на 133.000.000 евро. Тази сума е разделена между:</w:t>
      </w:r>
    </w:p>
    <w:p w:rsidR="009B5B5A" w:rsidRPr="00A17365" w:rsidRDefault="009B5B5A" w:rsidP="00DF1FE3">
      <w:pPr>
        <w:pStyle w:val="Point0letter"/>
        <w:numPr>
          <w:ilvl w:val="0"/>
          <w:numId w:val="0"/>
        </w:numPr>
        <w:ind w:left="360"/>
      </w:pPr>
      <w:r>
        <w:t xml:space="preserve">а) обикновени програми: 90.000.000 евро; </w:t>
      </w:r>
    </w:p>
    <w:p w:rsidR="009B5B5A" w:rsidRPr="00BB37DE" w:rsidRDefault="009B5B5A" w:rsidP="00DF1FE3">
      <w:pPr>
        <w:pStyle w:val="Point0letter"/>
        <w:numPr>
          <w:ilvl w:val="0"/>
          <w:numId w:val="0"/>
        </w:numPr>
        <w:ind w:left="850" w:hanging="850"/>
      </w:pPr>
      <w:r>
        <w:t xml:space="preserve">      б) многонационални програми: 43.000.000 евро,</w:t>
      </w:r>
      <w:r>
        <w:rPr>
          <w:u w:val="single"/>
        </w:rPr>
        <w:t xml:space="preserve"> </w:t>
      </w:r>
    </w:p>
    <w:p w:rsidR="009B5B5A" w:rsidRPr="00E2745F" w:rsidRDefault="009B5B5A" w:rsidP="00916A74">
      <w:bookmarkStart w:id="4" w:name="DQCNUMB_5"/>
      <w:bookmarkEnd w:id="4"/>
      <w:r>
        <w:t>Разпределението за обикновени програми чрез споделено управление определя максималните суми, които могат да бъдат отпускани при подбора на тези програми през 2017 г. Предвид факта, че бюджетните кредити за обикновени програми са недиференцирани и се изпълняват в продължение на няколко години, тази сума не следва непременно да съответства на бюджетните кредити за поети задължения, вписани в общия бюджет на Европейския съюз за 2017 г.</w:t>
      </w:r>
    </w:p>
    <w:p w:rsidR="009B5B5A" w:rsidRPr="00016B09" w:rsidRDefault="009B5B5A" w:rsidP="00916A74">
      <w:pPr>
        <w:pStyle w:val="Heading3"/>
        <w:numPr>
          <w:ilvl w:val="2"/>
          <w:numId w:val="5"/>
        </w:numPr>
        <w:rPr>
          <w:rFonts w:eastAsia="Times New Roman"/>
          <w:szCs w:val="24"/>
        </w:rPr>
      </w:pPr>
      <w:bookmarkStart w:id="5" w:name="DQCNUMB_6"/>
      <w:bookmarkEnd w:id="5"/>
      <w:r>
        <w:t>Дейности за предложения на обикновени и многонационални програми, изпълнявани на вътрешния пазар и в трети държави</w:t>
      </w:r>
    </w:p>
    <w:p w:rsidR="009B5B5A" w:rsidRDefault="009B5B5A" w:rsidP="00916A74">
      <w:pPr>
        <w:pStyle w:val="Heading4"/>
        <w:numPr>
          <w:ilvl w:val="3"/>
          <w:numId w:val="5"/>
        </w:numPr>
        <w:tabs>
          <w:tab w:val="num" w:pos="850"/>
        </w:tabs>
        <w:ind w:left="850"/>
        <w:rPr>
          <w:rFonts w:eastAsia="Times New Roman"/>
        </w:rPr>
      </w:pPr>
      <w:bookmarkStart w:id="6" w:name="DQCNUMB_7"/>
      <w:bookmarkEnd w:id="6"/>
      <w:r>
        <w:t xml:space="preserve">Дейности по тематичен приоритет 1: </w:t>
      </w:r>
      <w:r>
        <w:rPr>
          <w:b/>
        </w:rPr>
        <w:t>обикновени</w:t>
      </w:r>
      <w:r>
        <w:t xml:space="preserve"> програми, изпълнявани на </w:t>
      </w:r>
      <w:r>
        <w:rPr>
          <w:b/>
        </w:rPr>
        <w:t>вътрешния пазар</w:t>
      </w:r>
    </w:p>
    <w:p w:rsidR="009B5B5A" w:rsidRPr="00AF3258" w:rsidRDefault="009B5B5A" w:rsidP="00916A74">
      <w:pPr>
        <w:pStyle w:val="Text1"/>
        <w:ind w:left="0"/>
      </w:pPr>
      <w:r>
        <w:rPr>
          <w:u w:val="single"/>
        </w:rPr>
        <w:t>Видове действия:</w:t>
      </w:r>
      <w:r>
        <w:t xml:space="preserve"> Безвъзмездни средства, отпускани след покана за представяне на предложения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0"/>
        <w:gridCol w:w="2056"/>
        <w:gridCol w:w="5083"/>
      </w:tblGrid>
      <w:tr w:rsidR="009B5B5A" w:rsidRPr="005A2569" w:rsidTr="005A2569">
        <w:tc>
          <w:tcPr>
            <w:tcW w:w="1941" w:type="dxa"/>
          </w:tcPr>
          <w:p w:rsidR="009B5B5A" w:rsidRPr="005A2569" w:rsidRDefault="009B5B5A" w:rsidP="005A2569">
            <w:pPr>
              <w:jc w:val="center"/>
              <w:rPr>
                <w:b/>
              </w:rPr>
            </w:pPr>
            <w:r w:rsidRPr="005A2569">
              <w:rPr>
                <w:b/>
                <w:sz w:val="22"/>
              </w:rPr>
              <w:t>Теми</w:t>
            </w:r>
          </w:p>
        </w:tc>
        <w:tc>
          <w:tcPr>
            <w:tcW w:w="2098" w:type="dxa"/>
          </w:tcPr>
          <w:p w:rsidR="009B5B5A" w:rsidRPr="005A2569" w:rsidRDefault="009B5B5A" w:rsidP="005A2569">
            <w:pPr>
              <w:jc w:val="center"/>
              <w:rPr>
                <w:b/>
              </w:rPr>
            </w:pPr>
            <w:r w:rsidRPr="005A2569">
              <w:rPr>
                <w:b/>
                <w:sz w:val="22"/>
              </w:rPr>
              <w:t xml:space="preserve">Общо предвидени средства </w:t>
            </w:r>
          </w:p>
        </w:tc>
        <w:tc>
          <w:tcPr>
            <w:tcW w:w="5250" w:type="dxa"/>
          </w:tcPr>
          <w:p w:rsidR="009B5B5A" w:rsidRPr="005A2569" w:rsidRDefault="009B5B5A" w:rsidP="005A2569">
            <w:pPr>
              <w:jc w:val="center"/>
              <w:rPr>
                <w:b/>
              </w:rPr>
            </w:pPr>
            <w:r w:rsidRPr="005A2569">
              <w:rPr>
                <w:b/>
                <w:sz w:val="22"/>
              </w:rPr>
              <w:t xml:space="preserve">Приоритети за годината, поставени цели и очаквани резултати </w:t>
            </w:r>
          </w:p>
        </w:tc>
      </w:tr>
      <w:tr w:rsidR="009B5B5A" w:rsidRPr="005A2569" w:rsidTr="005A2569">
        <w:tc>
          <w:tcPr>
            <w:tcW w:w="1941" w:type="dxa"/>
          </w:tcPr>
          <w:p w:rsidR="009B5B5A" w:rsidRPr="008808A2" w:rsidRDefault="009B5B5A" w:rsidP="005A2569">
            <w:pPr>
              <w:pStyle w:val="Text1"/>
              <w:ind w:left="0"/>
              <w:jc w:val="left"/>
            </w:pPr>
            <w:r w:rsidRPr="005A2569">
              <w:rPr>
                <w:u w:val="single"/>
              </w:rPr>
              <w:t>Тема 1</w:t>
            </w:r>
            <w:r w:rsidRPr="005A2569">
              <w:t xml:space="preserve"> — Програми за информиране и насърчаване с цел увеличаване на осведомеността и познанията относно схемите за качество на Съюза, определени в член 5, параграф 4, букви а), б) и в) от Регламент (ЕС) № 1144/2014.</w:t>
            </w:r>
          </w:p>
        </w:tc>
        <w:tc>
          <w:tcPr>
            <w:tcW w:w="2098" w:type="dxa"/>
          </w:tcPr>
          <w:p w:rsidR="009B5B5A" w:rsidRPr="008808A2" w:rsidRDefault="009B5B5A" w:rsidP="00D13204">
            <w:r w:rsidRPr="005A2569">
              <w:rPr>
                <w:sz w:val="22"/>
              </w:rPr>
              <w:t>12.375.000 евро</w:t>
            </w:r>
          </w:p>
        </w:tc>
        <w:tc>
          <w:tcPr>
            <w:tcW w:w="5250" w:type="dxa"/>
          </w:tcPr>
          <w:p w:rsidR="009B5B5A" w:rsidRPr="005A2569" w:rsidRDefault="009B5B5A" w:rsidP="008808A2">
            <w:r w:rsidRPr="005A2569">
              <w:rPr>
                <w:sz w:val="22"/>
              </w:rPr>
              <w:t>Целта е повишаване на осведомеността за схемите на Съюза за качество и на тяхната разпознаваемост:</w:t>
            </w:r>
          </w:p>
          <w:p w:rsidR="009B5B5A" w:rsidRPr="005A2569" w:rsidRDefault="009B5B5A" w:rsidP="005A2569">
            <w:pPr>
              <w:spacing w:before="0"/>
              <w:ind w:left="185" w:hanging="185"/>
            </w:pPr>
            <w:r w:rsidRPr="005A2569">
              <w:rPr>
                <w:sz w:val="22"/>
              </w:rPr>
              <w:t>а) схеми за качество: Защитени наименования за произход (ЗНП), защитени географски указания (ЗГУ), храни с традиционно специфичен характер (ХТСХ) и незадължителните термини за качество;</w:t>
            </w:r>
          </w:p>
          <w:p w:rsidR="009B5B5A" w:rsidRPr="005A2569" w:rsidRDefault="009B5B5A" w:rsidP="005A2569">
            <w:pPr>
              <w:spacing w:before="0"/>
              <w:ind w:left="185" w:hanging="185"/>
            </w:pPr>
            <w:r w:rsidRPr="005A2569">
              <w:rPr>
                <w:sz w:val="22"/>
              </w:rPr>
              <w:t>б) метод на биологично производство;</w:t>
            </w:r>
          </w:p>
          <w:p w:rsidR="009B5B5A" w:rsidRPr="005A2569" w:rsidRDefault="009B5B5A" w:rsidP="005A2569">
            <w:pPr>
              <w:spacing w:before="0"/>
              <w:ind w:left="185" w:hanging="185"/>
            </w:pPr>
            <w:r w:rsidRPr="005A2569">
              <w:rPr>
                <w:sz w:val="22"/>
              </w:rPr>
              <w:t>в) графичният символ на качествените селскостопански продукти, специфични за най-отдалечените региони на Съюза.</w:t>
            </w:r>
          </w:p>
          <w:p w:rsidR="009B5B5A" w:rsidRPr="005A2569" w:rsidRDefault="009B5B5A" w:rsidP="005A2569">
            <w:pPr>
              <w:spacing w:before="0"/>
            </w:pPr>
            <w:r w:rsidRPr="005A2569">
              <w:rPr>
                <w:sz w:val="22"/>
              </w:rPr>
              <w:t>Програмите за информиране и насърчаване, насочени към схемите за качество на Съюза следва да бъдат ключов приоритет на вътрешния пазар, тъй като тези схеми предоставят на потребителите гаранции относно качеството и характеристиките на продукта или използвания производствен процес, осигуряват добавена стойност за съответните продукти и подобряват възможностите за тяхната пазарна реализация.</w:t>
            </w:r>
          </w:p>
          <w:p w:rsidR="009B5B5A" w:rsidRPr="008808A2" w:rsidRDefault="009B5B5A" w:rsidP="005A2569">
            <w:pPr>
              <w:spacing w:before="0"/>
            </w:pPr>
            <w:r w:rsidRPr="005A2569">
              <w:rPr>
                <w:sz w:val="22"/>
              </w:rPr>
              <w:t>Един от очакваните резултати е увеличаване на степента на разпознаване на графичните символи на схемите за качество на Съюза от потребителите в Европа, предвид факта, че съгласно специална анкета на Евробарометър (№ 440) само 20% от европейските потребители са запознати с графичните символи на продуктите, които се ползват от защитени наименования за произход (ЗНП), 17% с тези на защитените географски указания (ЗГУ) и 15% с графичните символи на храни с традиционно специфичен характер, като това са основните схеми за качество на Съюза. Освен това, само 23% от европейските потребители са запознати с графичния символ на биологичното земеделие.</w:t>
            </w:r>
          </w:p>
          <w:p w:rsidR="009B5B5A" w:rsidRPr="008808A2" w:rsidRDefault="009B5B5A" w:rsidP="005A2569">
            <w:pPr>
              <w:spacing w:before="0"/>
            </w:pPr>
            <w:r w:rsidRPr="005A2569">
              <w:rPr>
                <w:sz w:val="22"/>
              </w:rPr>
              <w:t>Оча</w:t>
            </w:r>
            <w:r>
              <w:rPr>
                <w:sz w:val="22"/>
              </w:rPr>
              <w:t>кваното</w:t>
            </w:r>
            <w:r w:rsidRPr="005A2569">
              <w:rPr>
                <w:sz w:val="22"/>
              </w:rPr>
              <w:t xml:space="preserve"> крайно въздействие е увеличена конкурентоспособност и потреблението на селскостопански продукти на Съюза, регистрирани по схема за качество на ЕС, подобряване на репутацията им и увеличаване на пазарния им дял.</w:t>
            </w:r>
          </w:p>
        </w:tc>
      </w:tr>
      <w:tr w:rsidR="009B5B5A" w:rsidRPr="005A2569" w:rsidTr="005A2569">
        <w:tc>
          <w:tcPr>
            <w:tcW w:w="1941" w:type="dxa"/>
          </w:tcPr>
          <w:p w:rsidR="009B5B5A" w:rsidRPr="008808A2" w:rsidRDefault="009B5B5A" w:rsidP="005A2569">
            <w:pPr>
              <w:pStyle w:val="Text1"/>
              <w:ind w:left="0"/>
              <w:jc w:val="left"/>
            </w:pPr>
            <w:r w:rsidRPr="005A2569">
              <w:rPr>
                <w:u w:val="single"/>
              </w:rPr>
              <w:t>Тема 2</w:t>
            </w:r>
            <w:r w:rsidRPr="005A2569">
              <w:t xml:space="preserve"> — Програми за информиране и насърчаване с цел очертаване на конкретните компоненти на </w:t>
            </w:r>
            <w:r>
              <w:t>селскостопанските методи на Съюза и характеристиките</w:t>
            </w:r>
            <w:r w:rsidRPr="005A2569">
              <w:t xml:space="preserve"> на европейските селскостопански и хранителни продукти и схеми за качество, определени в член 5, параграф 4, буква г) от Регламент (ЕС) № 1144/2014.</w:t>
            </w:r>
          </w:p>
        </w:tc>
        <w:tc>
          <w:tcPr>
            <w:tcW w:w="2098" w:type="dxa"/>
          </w:tcPr>
          <w:p w:rsidR="009B5B5A" w:rsidRPr="008808A2" w:rsidRDefault="009B5B5A" w:rsidP="008808A2">
            <w:r w:rsidRPr="005A2569">
              <w:rPr>
                <w:sz w:val="22"/>
              </w:rPr>
              <w:t>10.125.000 евро</w:t>
            </w:r>
          </w:p>
        </w:tc>
        <w:tc>
          <w:tcPr>
            <w:tcW w:w="5250" w:type="dxa"/>
          </w:tcPr>
          <w:p w:rsidR="009B5B5A" w:rsidRPr="008808A2" w:rsidRDefault="009B5B5A" w:rsidP="008808A2">
            <w:r w:rsidRPr="005A2569">
              <w:rPr>
                <w:sz w:val="22"/>
              </w:rPr>
              <w:t>Целта е подчертаване на особените характеристики на методите на селскостопанско производство в Съюза, по-специално от гледна точка на безопасността на храните, проследимостта, автентичността, етикетирането, аспектите, свързани с хранителната стойност и опазването на здравето (включително здравословните хранителни навици и отговорното консумиране на алкохолни напитки), хуманното отношение към животните, опазването на околната среда и устойчивостта, както и характеристиките на селскостопанските и хранителните продукти, по-специално от гледна точка на тяхното качество, вкус, разнообразие или традиции.</w:t>
            </w:r>
          </w:p>
          <w:p w:rsidR="009B5B5A" w:rsidRPr="008808A2" w:rsidRDefault="009B5B5A" w:rsidP="001F5E37">
            <w:r w:rsidRPr="005A2569">
              <w:rPr>
                <w:sz w:val="22"/>
              </w:rPr>
              <w:t>Очакваното въздействие е повишаване осведомеността на европейските потребители относно качествата на селскостопанските продукти на ЕС и увеличена конкурентоспособност и потребление на съответните селскостопански хранителни продукти на Съюза, подобряване на репутацията им и увеличаване на пазарния им дял.</w:t>
            </w:r>
          </w:p>
        </w:tc>
      </w:tr>
    </w:tbl>
    <w:p w:rsidR="009B5B5A" w:rsidRPr="0067056C" w:rsidRDefault="009B5B5A" w:rsidP="0067056C">
      <w:pPr>
        <w:rPr>
          <w:color w:val="FFFFFF"/>
          <w:sz w:val="6"/>
          <w:u w:val="single"/>
        </w:rPr>
      </w:pPr>
      <w:bookmarkStart w:id="7" w:name="DQCNUMB_8"/>
      <w:bookmarkStart w:id="8" w:name="DQCNUMB_9"/>
      <w:bookmarkEnd w:id="7"/>
      <w:bookmarkEnd w:id="8"/>
      <w:r w:rsidRPr="0067056C">
        <w:rPr>
          <w:color w:val="FFFFFF"/>
          <w:sz w:val="6"/>
          <w:u w:val="single"/>
        </w:rPr>
        <w:t xml:space="preserve">                                                                                                                                                                                                                                                                                                                                                                                                                                                                                                                                                                                                                           </w:t>
      </w:r>
    </w:p>
    <w:p w:rsidR="009B5B5A" w:rsidRPr="007B50C2" w:rsidRDefault="009B5B5A" w:rsidP="00916A74">
      <w:pPr>
        <w:pStyle w:val="Heading4"/>
        <w:numPr>
          <w:ilvl w:val="3"/>
          <w:numId w:val="5"/>
        </w:numPr>
        <w:tabs>
          <w:tab w:val="num" w:pos="850"/>
        </w:tabs>
        <w:ind w:left="850"/>
        <w:rPr>
          <w:rFonts w:eastAsia="Times New Roman"/>
          <w:b/>
        </w:rPr>
      </w:pPr>
      <w:bookmarkStart w:id="9" w:name="_GoBack"/>
      <w:bookmarkEnd w:id="9"/>
      <w:r>
        <w:t xml:space="preserve">Дейности по тематичен приоритет 2: </w:t>
      </w:r>
      <w:r>
        <w:rPr>
          <w:b/>
        </w:rPr>
        <w:t>обикновени</w:t>
      </w:r>
      <w:r>
        <w:t xml:space="preserve"> програми, изпълнявани </w:t>
      </w:r>
      <w:r>
        <w:rPr>
          <w:b/>
        </w:rPr>
        <w:t>в трети държави</w:t>
      </w:r>
      <w:r>
        <w:rPr>
          <w:rStyle w:val="FootnoteReference"/>
          <w:b/>
        </w:rPr>
        <w:footnoteReference w:id="2"/>
      </w:r>
    </w:p>
    <w:p w:rsidR="009B5B5A" w:rsidRDefault="009B5B5A" w:rsidP="00916A74">
      <w:pPr>
        <w:spacing w:before="0"/>
      </w:pPr>
      <w:r>
        <w:t>Пазарите на трети държави предлагат значителен потенциал за растеж. Необходимо е да се предвидят правила с цел насърчаване на прилагането на по-голям брой мерки за информиране и насърчаване, свързани със селскостопанските продукти от Съюза в трети държави, с насоченост не само върху столичните градове на тези държави, а и върху други градове. Поради това годишната работна програма за 2017 г. разпределя съществена част от бюджета за програмите за информиране и насърчаване, изпълнявани в трети държави.</w:t>
      </w:r>
    </w:p>
    <w:p w:rsidR="009B5B5A" w:rsidRPr="00DF6575" w:rsidRDefault="009B5B5A" w:rsidP="00916A74">
      <w:pPr>
        <w:spacing w:before="0"/>
      </w:pPr>
      <w:r>
        <w:t xml:space="preserve">За да се определят приоритетите на пазарите в трети държави, службите на Комисията извършват макроикономически анализ на прогнозния ръст на вноса за избор на продукти, подходящи за включване в програмите за насърчаване на съществуващи и нови пазари, свързани с потенциала за растеж на вноса резултатите от макроикономическия анализ са съпоставени с политическата оценка на споразуменията за свободна търговия и очакваното премахване на санитарните и фитосанитарните ограничения. С оглед разнообразяване на износа на Съюза, се взема предвид също така и броя на съфинансираните програми за насърчаване, които действат към момента по географски области. </w:t>
      </w:r>
    </w:p>
    <w:p w:rsidR="009B5B5A" w:rsidRDefault="009B5B5A" w:rsidP="00916A74">
      <w:pPr>
        <w:spacing w:before="0"/>
        <w:rPr>
          <w:szCs w:val="20"/>
        </w:rPr>
      </w:pPr>
      <w:r>
        <w:t xml:space="preserve">Съгласно този анализ се вземат предвид най-обещаващите пазари.    </w:t>
      </w:r>
    </w:p>
    <w:p w:rsidR="009B5B5A" w:rsidRDefault="009B5B5A" w:rsidP="00916A74">
      <w:pPr>
        <w:spacing w:before="0"/>
        <w:rPr>
          <w:noProof/>
          <w:szCs w:val="24"/>
        </w:rPr>
      </w:pPr>
      <w:r>
        <w:t>Освен това, във връзка с конкретната ситуация на пазара в сектора на млечните продукти и продуктите от свинско месо, е предложена отделна тема 7, насочена към тези сектори.</w:t>
      </w:r>
    </w:p>
    <w:p w:rsidR="009B5B5A" w:rsidRPr="00DF6575" w:rsidRDefault="009B5B5A" w:rsidP="00916A74">
      <w:pPr>
        <w:spacing w:before="0"/>
        <w:rPr>
          <w:szCs w:val="20"/>
        </w:rPr>
      </w:pPr>
      <w:r>
        <w:t>Освен това, отделна тема 8 е предложена за програми за информиране и насърчаване по отношение на говеждото месо.</w:t>
      </w:r>
    </w:p>
    <w:p w:rsidR="009B5B5A" w:rsidRDefault="009B5B5A" w:rsidP="00916A74">
      <w:pPr>
        <w:pStyle w:val="Text1"/>
        <w:ind w:left="0"/>
        <w:rPr>
          <w:szCs w:val="20"/>
        </w:rPr>
      </w:pPr>
      <w:r>
        <w:rPr>
          <w:u w:val="single"/>
        </w:rPr>
        <w:t>Видове действия:</w:t>
      </w:r>
      <w:r>
        <w:t xml:space="preserve"> Безвъзмездни средства, отпускани след покана за представяне на предложения</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6"/>
        <w:gridCol w:w="2580"/>
        <w:gridCol w:w="3902"/>
      </w:tblGrid>
      <w:tr w:rsidR="009B5B5A" w:rsidRPr="005A2569" w:rsidTr="005A2569">
        <w:tc>
          <w:tcPr>
            <w:tcW w:w="2746" w:type="dxa"/>
          </w:tcPr>
          <w:p w:rsidR="009B5B5A" w:rsidRPr="005A2569" w:rsidRDefault="009B5B5A" w:rsidP="005A2569">
            <w:pPr>
              <w:jc w:val="center"/>
              <w:rPr>
                <w:b/>
              </w:rPr>
            </w:pPr>
            <w:r w:rsidRPr="005A2569">
              <w:rPr>
                <w:b/>
                <w:sz w:val="22"/>
              </w:rPr>
              <w:t>Теми</w:t>
            </w:r>
          </w:p>
        </w:tc>
        <w:tc>
          <w:tcPr>
            <w:tcW w:w="2580" w:type="dxa"/>
          </w:tcPr>
          <w:p w:rsidR="009B5B5A" w:rsidRPr="005A2569" w:rsidRDefault="009B5B5A" w:rsidP="005A2569">
            <w:pPr>
              <w:jc w:val="center"/>
              <w:rPr>
                <w:b/>
              </w:rPr>
            </w:pPr>
            <w:r w:rsidRPr="005A2569">
              <w:rPr>
                <w:b/>
                <w:sz w:val="22"/>
              </w:rPr>
              <w:t>Общо предвидени средства</w:t>
            </w:r>
          </w:p>
        </w:tc>
        <w:tc>
          <w:tcPr>
            <w:tcW w:w="3902" w:type="dxa"/>
          </w:tcPr>
          <w:p w:rsidR="009B5B5A" w:rsidRPr="005A2569" w:rsidRDefault="009B5B5A" w:rsidP="005A2569">
            <w:pPr>
              <w:jc w:val="center"/>
              <w:rPr>
                <w:b/>
              </w:rPr>
            </w:pPr>
            <w:r w:rsidRPr="005A2569">
              <w:rPr>
                <w:b/>
                <w:sz w:val="22"/>
              </w:rPr>
              <w:t>Приоритети за годината, поставени цели и очаквани резултати</w:t>
            </w:r>
          </w:p>
        </w:tc>
      </w:tr>
      <w:tr w:rsidR="009B5B5A" w:rsidRPr="005A2569" w:rsidTr="005A2569">
        <w:tc>
          <w:tcPr>
            <w:tcW w:w="2746" w:type="dxa"/>
          </w:tcPr>
          <w:p w:rsidR="009B5B5A" w:rsidRPr="008808A2" w:rsidRDefault="009B5B5A" w:rsidP="005A2569">
            <w:pPr>
              <w:tabs>
                <w:tab w:val="num" w:pos="850"/>
              </w:tabs>
              <w:spacing w:before="60" w:after="60"/>
              <w:jc w:val="left"/>
            </w:pPr>
            <w:r w:rsidRPr="005A2569">
              <w:rPr>
                <w:noProof/>
                <w:sz w:val="22"/>
                <w:u w:val="single"/>
              </w:rPr>
              <w:t xml:space="preserve">Тема 3 — </w:t>
            </w:r>
            <w:r w:rsidRPr="005A2569">
              <w:t>Програми за информиране и насърчаване, насочени към една или повече от следните държави</w:t>
            </w:r>
            <w:r w:rsidRPr="005A2569">
              <w:rPr>
                <w:noProof/>
                <w:sz w:val="22"/>
              </w:rPr>
              <w:t>: Китай (включително Хонконг и Макао), Япония, Южна Корея, Тайва</w:t>
            </w:r>
            <w:r>
              <w:rPr>
                <w:noProof/>
                <w:sz w:val="22"/>
              </w:rPr>
              <w:t>н, югоизточния азиатски район или</w:t>
            </w:r>
            <w:r w:rsidRPr="005A2569">
              <w:rPr>
                <w:noProof/>
                <w:sz w:val="22"/>
              </w:rPr>
              <w:t xml:space="preserve"> Индия </w:t>
            </w:r>
          </w:p>
        </w:tc>
        <w:tc>
          <w:tcPr>
            <w:tcW w:w="2580" w:type="dxa"/>
          </w:tcPr>
          <w:p w:rsidR="009B5B5A" w:rsidRPr="008808A2" w:rsidRDefault="009B5B5A" w:rsidP="005A2569">
            <w:pPr>
              <w:spacing w:before="60" w:after="60"/>
            </w:pPr>
            <w:r w:rsidRPr="005A2569">
              <w:rPr>
                <w:sz w:val="22"/>
              </w:rPr>
              <w:t>14.750.000 евро</w:t>
            </w:r>
          </w:p>
        </w:tc>
        <w:tc>
          <w:tcPr>
            <w:tcW w:w="3902" w:type="dxa"/>
            <w:vMerge w:val="restart"/>
          </w:tcPr>
          <w:p w:rsidR="009B5B5A" w:rsidRPr="005A2569" w:rsidRDefault="009B5B5A" w:rsidP="005A2569">
            <w:pPr>
              <w:keepNext/>
              <w:spacing w:before="60" w:after="60"/>
              <w:outlineLvl w:val="3"/>
              <w:rPr>
                <w:bCs/>
              </w:rPr>
            </w:pPr>
            <w:r w:rsidRPr="005A2569">
              <w:rPr>
                <w:noProof/>
                <w:sz w:val="22"/>
              </w:rPr>
              <w:t>Програмите за информиране и насърчаване следва да са насочени към една или повече държави, посочени в съответната тема.</w:t>
            </w:r>
          </w:p>
          <w:p w:rsidR="009B5B5A" w:rsidRPr="005A2569" w:rsidRDefault="009B5B5A" w:rsidP="005A2569">
            <w:pPr>
              <w:spacing w:before="60" w:after="60"/>
            </w:pPr>
            <w:r w:rsidRPr="005A2569">
              <w:rPr>
                <w:sz w:val="22"/>
              </w:rPr>
              <w:t>Целите на тези програми следва да съответстват на общите и конкретните цели, определени в член 2 от Регламент (ЕС) № 1144/2014.</w:t>
            </w:r>
          </w:p>
          <w:p w:rsidR="009B5B5A" w:rsidRPr="008808A2" w:rsidRDefault="009B5B5A" w:rsidP="005A2569">
            <w:pPr>
              <w:keepNext/>
              <w:spacing w:before="60" w:after="60"/>
              <w:outlineLvl w:val="3"/>
            </w:pPr>
            <w:r w:rsidRPr="005A2569">
              <w:rPr>
                <w:noProof/>
                <w:sz w:val="22"/>
              </w:rPr>
              <w:t>Очакваният крайно въздействие увеличаване конкурентоспособността и потреблението на селскостопански продукти на Съюза, подобряване на репутацията им и увеличаване на пазарния им дял в тези целеви държави.</w:t>
            </w:r>
          </w:p>
        </w:tc>
      </w:tr>
      <w:tr w:rsidR="009B5B5A" w:rsidRPr="005A2569" w:rsidTr="005A2569">
        <w:tc>
          <w:tcPr>
            <w:tcW w:w="2746" w:type="dxa"/>
          </w:tcPr>
          <w:p w:rsidR="009B5B5A" w:rsidRPr="008808A2" w:rsidRDefault="009B5B5A" w:rsidP="005A2569">
            <w:pPr>
              <w:tabs>
                <w:tab w:val="num" w:pos="850"/>
              </w:tabs>
              <w:spacing w:before="60" w:after="60"/>
              <w:jc w:val="left"/>
            </w:pPr>
            <w:r w:rsidRPr="005A2569">
              <w:rPr>
                <w:noProof/>
                <w:sz w:val="22"/>
                <w:u w:val="single"/>
              </w:rPr>
              <w:t xml:space="preserve">Тема 4* — </w:t>
            </w:r>
            <w:r w:rsidRPr="005A2569">
              <w:t>Програми за информиране и насърчаване, насочени към една или повече от следните държави</w:t>
            </w:r>
            <w:r w:rsidRPr="005A2569">
              <w:rPr>
                <w:noProof/>
                <w:sz w:val="22"/>
              </w:rPr>
              <w:t>: САЩ, Канада или Мексико</w:t>
            </w:r>
          </w:p>
        </w:tc>
        <w:tc>
          <w:tcPr>
            <w:tcW w:w="2580" w:type="dxa"/>
          </w:tcPr>
          <w:p w:rsidR="009B5B5A" w:rsidRPr="008808A2" w:rsidRDefault="009B5B5A" w:rsidP="005A2569">
            <w:pPr>
              <w:spacing w:before="60" w:after="60"/>
            </w:pPr>
            <w:r w:rsidRPr="005A2569">
              <w:rPr>
                <w:sz w:val="22"/>
              </w:rPr>
              <w:t>11.600.000 евро</w:t>
            </w:r>
          </w:p>
        </w:tc>
        <w:tc>
          <w:tcPr>
            <w:tcW w:w="3902" w:type="dxa"/>
            <w:vMerge/>
          </w:tcPr>
          <w:p w:rsidR="009B5B5A" w:rsidRPr="008808A2" w:rsidRDefault="009B5B5A" w:rsidP="005A2569">
            <w:pPr>
              <w:spacing w:before="60" w:after="60"/>
            </w:pPr>
          </w:p>
        </w:tc>
      </w:tr>
      <w:tr w:rsidR="009B5B5A" w:rsidRPr="005A2569" w:rsidTr="005A2569">
        <w:tc>
          <w:tcPr>
            <w:tcW w:w="2746" w:type="dxa"/>
          </w:tcPr>
          <w:p w:rsidR="009B5B5A" w:rsidRPr="005A2569" w:rsidRDefault="009B5B5A" w:rsidP="005A2569">
            <w:pPr>
              <w:tabs>
                <w:tab w:val="num" w:pos="850"/>
              </w:tabs>
              <w:spacing w:before="60" w:after="60"/>
              <w:jc w:val="left"/>
              <w:rPr>
                <w:noProof/>
                <w:u w:val="single"/>
              </w:rPr>
            </w:pPr>
            <w:r w:rsidRPr="005A2569">
              <w:rPr>
                <w:noProof/>
                <w:sz w:val="22"/>
                <w:u w:val="single"/>
              </w:rPr>
              <w:t xml:space="preserve">Тема 5* — </w:t>
            </w:r>
            <w:r w:rsidRPr="005A2569">
              <w:t>Програми за информиране и насърчаване, насочени към една или повече държави</w:t>
            </w:r>
            <w:r w:rsidRPr="005A2569">
              <w:rPr>
                <w:noProof/>
                <w:sz w:val="22"/>
              </w:rPr>
              <w:t xml:space="preserve"> от Африка, Средния Изток</w:t>
            </w:r>
            <w:r w:rsidRPr="005A2569">
              <w:rPr>
                <w:rStyle w:val="FootnoteReference"/>
                <w:noProof/>
                <w:sz w:val="22"/>
              </w:rPr>
              <w:footnoteReference w:id="3"/>
            </w:r>
            <w:r w:rsidRPr="005A2569">
              <w:rPr>
                <w:noProof/>
                <w:sz w:val="22"/>
              </w:rPr>
              <w:t xml:space="preserve">, Иран или Турция </w:t>
            </w:r>
          </w:p>
        </w:tc>
        <w:tc>
          <w:tcPr>
            <w:tcW w:w="2580" w:type="dxa"/>
          </w:tcPr>
          <w:p w:rsidR="009B5B5A" w:rsidRPr="008808A2" w:rsidRDefault="009B5B5A" w:rsidP="005A2569">
            <w:pPr>
              <w:spacing w:before="60" w:after="60"/>
            </w:pPr>
            <w:r w:rsidRPr="005A2569">
              <w:rPr>
                <w:sz w:val="22"/>
              </w:rPr>
              <w:t>8.450.000 евро</w:t>
            </w:r>
          </w:p>
        </w:tc>
        <w:tc>
          <w:tcPr>
            <w:tcW w:w="3902" w:type="dxa"/>
            <w:vMerge/>
          </w:tcPr>
          <w:p w:rsidR="009B5B5A" w:rsidRPr="008808A2" w:rsidRDefault="009B5B5A" w:rsidP="005A2569">
            <w:pPr>
              <w:spacing w:before="60" w:after="60"/>
            </w:pPr>
          </w:p>
        </w:tc>
      </w:tr>
      <w:tr w:rsidR="009B5B5A" w:rsidRPr="005A2569" w:rsidTr="005A2569">
        <w:tc>
          <w:tcPr>
            <w:tcW w:w="2746" w:type="dxa"/>
          </w:tcPr>
          <w:p w:rsidR="009B5B5A" w:rsidRPr="005A2569" w:rsidRDefault="009B5B5A" w:rsidP="005A2569">
            <w:pPr>
              <w:tabs>
                <w:tab w:val="num" w:pos="850"/>
              </w:tabs>
              <w:spacing w:before="60" w:after="60"/>
              <w:jc w:val="left"/>
              <w:rPr>
                <w:noProof/>
              </w:rPr>
            </w:pPr>
            <w:r w:rsidRPr="005A2569">
              <w:rPr>
                <w:noProof/>
                <w:sz w:val="22"/>
                <w:u w:val="single"/>
              </w:rPr>
              <w:t>Тема 6* —</w:t>
            </w:r>
            <w:r w:rsidRPr="005A2569">
              <w:rPr>
                <w:noProof/>
                <w:sz w:val="22"/>
              </w:rPr>
              <w:t xml:space="preserve"> Програми за информиране и насърчаване, насочени към географски райони, различни от включените в теми 3, 4 и 5. </w:t>
            </w:r>
          </w:p>
        </w:tc>
        <w:tc>
          <w:tcPr>
            <w:tcW w:w="2580" w:type="dxa"/>
          </w:tcPr>
          <w:p w:rsidR="009B5B5A" w:rsidRPr="008808A2" w:rsidRDefault="009B5B5A" w:rsidP="005A2569">
            <w:pPr>
              <w:spacing w:before="60" w:after="60"/>
            </w:pPr>
            <w:r w:rsidRPr="005A2569">
              <w:rPr>
                <w:sz w:val="22"/>
              </w:rPr>
              <w:t>11.600.000 евро</w:t>
            </w:r>
          </w:p>
        </w:tc>
        <w:tc>
          <w:tcPr>
            <w:tcW w:w="3902" w:type="dxa"/>
            <w:vMerge/>
            <w:tcBorders>
              <w:bottom w:val="nil"/>
            </w:tcBorders>
          </w:tcPr>
          <w:p w:rsidR="009B5B5A" w:rsidRPr="008808A2" w:rsidRDefault="009B5B5A" w:rsidP="005A2569">
            <w:pPr>
              <w:spacing w:before="60" w:after="60"/>
            </w:pPr>
          </w:p>
        </w:tc>
      </w:tr>
      <w:tr w:rsidR="009B5B5A" w:rsidRPr="005A2569" w:rsidTr="005A2569">
        <w:tc>
          <w:tcPr>
            <w:tcW w:w="2746" w:type="dxa"/>
          </w:tcPr>
          <w:p w:rsidR="009B5B5A" w:rsidRPr="005A2569" w:rsidRDefault="009B5B5A" w:rsidP="005A2569">
            <w:pPr>
              <w:tabs>
                <w:tab w:val="num" w:pos="850"/>
              </w:tabs>
              <w:spacing w:before="60" w:after="60"/>
              <w:jc w:val="left"/>
              <w:rPr>
                <w:noProof/>
              </w:rPr>
            </w:pPr>
            <w:r w:rsidRPr="005A2569">
              <w:rPr>
                <w:u w:val="single"/>
              </w:rPr>
              <w:t>Тема 7</w:t>
            </w:r>
            <w:r w:rsidRPr="005A2569">
              <w:t xml:space="preserve"> — Програми за информиране и насърчаване по отношение на млечни продукти, продукти от свинско месо или комбинация от двете, насочени към трети държави.</w:t>
            </w:r>
            <w:r w:rsidRPr="005A2569">
              <w:rPr>
                <w:noProof/>
                <w:sz w:val="22"/>
              </w:rPr>
              <w:t xml:space="preserve"> </w:t>
            </w:r>
          </w:p>
          <w:p w:rsidR="009B5B5A" w:rsidRPr="005A2569" w:rsidRDefault="009B5B5A" w:rsidP="005A2569">
            <w:pPr>
              <w:tabs>
                <w:tab w:val="num" w:pos="850"/>
              </w:tabs>
              <w:spacing w:before="60" w:after="60"/>
              <w:jc w:val="left"/>
              <w:rPr>
                <w:noProof/>
                <w:u w:val="single"/>
              </w:rPr>
            </w:pPr>
            <w:r w:rsidRPr="005A2569">
              <w:t xml:space="preserve">Продуктите, допустими по тази тема, са изброените в Част ХVІІ на Приложение І към Регламент (ЕС) № 1308/2013 на Европейския парламент и на Съвета </w:t>
            </w:r>
            <w:r w:rsidRPr="005A2569">
              <w:rPr>
                <w:rStyle w:val="FootnoteReference"/>
                <w:noProof/>
                <w:sz w:val="22"/>
              </w:rPr>
              <w:footnoteReference w:id="4"/>
            </w:r>
            <w:r>
              <w:t xml:space="preserve"> </w:t>
            </w:r>
            <w:r w:rsidRPr="005A2569">
              <w:t>за продукти от свинско месо и Част ХVІ от Приложение І към същия регламент, съответно за мляко и млечни продукти.</w:t>
            </w:r>
          </w:p>
        </w:tc>
        <w:tc>
          <w:tcPr>
            <w:tcW w:w="2580" w:type="dxa"/>
          </w:tcPr>
          <w:p w:rsidR="009B5B5A" w:rsidRPr="008808A2" w:rsidRDefault="009B5B5A" w:rsidP="005A2569">
            <w:pPr>
              <w:spacing w:before="60" w:after="60"/>
            </w:pPr>
            <w:r w:rsidRPr="005A2569">
              <w:rPr>
                <w:noProof/>
                <w:sz w:val="22"/>
              </w:rPr>
              <w:t>12.600.000 евро</w:t>
            </w:r>
          </w:p>
        </w:tc>
        <w:tc>
          <w:tcPr>
            <w:tcW w:w="3902" w:type="dxa"/>
            <w:tcBorders>
              <w:top w:val="nil"/>
              <w:bottom w:val="nil"/>
            </w:tcBorders>
          </w:tcPr>
          <w:p w:rsidR="009B5B5A" w:rsidRPr="008808A2" w:rsidRDefault="009B5B5A" w:rsidP="005A2569">
            <w:pPr>
              <w:spacing w:before="60" w:after="60"/>
            </w:pPr>
          </w:p>
        </w:tc>
      </w:tr>
      <w:tr w:rsidR="009B5B5A" w:rsidRPr="005A2569" w:rsidTr="005A2569">
        <w:tc>
          <w:tcPr>
            <w:tcW w:w="2746" w:type="dxa"/>
          </w:tcPr>
          <w:p w:rsidR="009B5B5A" w:rsidRPr="005A2569" w:rsidRDefault="009B5B5A" w:rsidP="005A2569">
            <w:pPr>
              <w:tabs>
                <w:tab w:val="num" w:pos="850"/>
              </w:tabs>
              <w:spacing w:before="60" w:after="60"/>
              <w:jc w:val="left"/>
              <w:rPr>
                <w:noProof/>
              </w:rPr>
            </w:pPr>
            <w:r w:rsidRPr="005A2569">
              <w:t>Тема 8 — Програми за информиране и насърчаване по</w:t>
            </w:r>
            <w:r>
              <w:t xml:space="preserve"> отношение на продукти от говежд</w:t>
            </w:r>
            <w:r w:rsidRPr="005A2569">
              <w:t xml:space="preserve">о месо, насочени към трети държави. </w:t>
            </w:r>
          </w:p>
          <w:p w:rsidR="009B5B5A" w:rsidRPr="005A2569" w:rsidRDefault="009B5B5A" w:rsidP="005A2569">
            <w:pPr>
              <w:tabs>
                <w:tab w:val="num" w:pos="850"/>
              </w:tabs>
              <w:spacing w:before="60" w:after="60"/>
              <w:jc w:val="left"/>
              <w:rPr>
                <w:noProof/>
                <w:u w:val="single"/>
              </w:rPr>
            </w:pPr>
            <w:r w:rsidRPr="005A2569">
              <w:t>Продуктите, допустими по тази тема, са изброените в Част ХV на Приложение І към Регламент (ЕС) № 1308/2013 на Европейския парламент и на Съвета</w:t>
            </w:r>
          </w:p>
        </w:tc>
        <w:tc>
          <w:tcPr>
            <w:tcW w:w="2580" w:type="dxa"/>
          </w:tcPr>
          <w:p w:rsidR="009B5B5A" w:rsidRPr="005A2569" w:rsidRDefault="009B5B5A" w:rsidP="005A2569">
            <w:pPr>
              <w:spacing w:before="60" w:after="60"/>
              <w:rPr>
                <w:noProof/>
              </w:rPr>
            </w:pPr>
            <w:r w:rsidRPr="005A2569">
              <w:t>4.000.000 евро</w:t>
            </w:r>
          </w:p>
        </w:tc>
        <w:tc>
          <w:tcPr>
            <w:tcW w:w="3902" w:type="dxa"/>
            <w:tcBorders>
              <w:top w:val="nil"/>
            </w:tcBorders>
          </w:tcPr>
          <w:p w:rsidR="009B5B5A" w:rsidRPr="008808A2" w:rsidRDefault="009B5B5A" w:rsidP="005A2569">
            <w:pPr>
              <w:spacing w:before="60" w:after="60"/>
            </w:pPr>
          </w:p>
        </w:tc>
      </w:tr>
    </w:tbl>
    <w:p w:rsidR="009B5B5A" w:rsidRPr="00494AB6" w:rsidRDefault="009B5B5A" w:rsidP="00494AB6">
      <w:pPr>
        <w:pStyle w:val="Heading4"/>
        <w:numPr>
          <w:ilvl w:val="0"/>
          <w:numId w:val="0"/>
        </w:numPr>
        <w:tabs>
          <w:tab w:val="num" w:pos="4678"/>
        </w:tabs>
        <w:ind w:left="142" w:hanging="142"/>
        <w:rPr>
          <w:rFonts w:eastAsia="Times New Roman"/>
          <w:noProof/>
          <w:sz w:val="16"/>
          <w:szCs w:val="16"/>
        </w:rPr>
      </w:pPr>
      <w:bookmarkStart w:id="10" w:name="DQCNUMB_10"/>
      <w:bookmarkEnd w:id="10"/>
      <w:r>
        <w:t xml:space="preserve">* програмите по тази тема не обхващат мляко/млечни продукти, продукти от свинско месо, продукти от говеждо месо или комбинация от трите (съгласно определеното в теми 7 и 8). </w:t>
      </w:r>
      <w:r>
        <w:rPr>
          <w:noProof/>
          <w:sz w:val="16"/>
        </w:rPr>
        <w:t xml:space="preserve">Те обаче могат да обхващат изброените продукти, ако са свързани с други селскостопански хранителни продукти. </w:t>
      </w:r>
    </w:p>
    <w:p w:rsidR="009B5B5A" w:rsidRPr="00494AB6" w:rsidRDefault="009B5B5A" w:rsidP="00916A74">
      <w:pPr>
        <w:pStyle w:val="Heading4"/>
        <w:numPr>
          <w:ilvl w:val="3"/>
          <w:numId w:val="5"/>
        </w:numPr>
        <w:tabs>
          <w:tab w:val="num" w:pos="850"/>
        </w:tabs>
        <w:ind w:left="850"/>
        <w:rPr>
          <w:rFonts w:eastAsia="Times New Roman"/>
          <w:b/>
        </w:rPr>
      </w:pPr>
      <w:bookmarkStart w:id="11" w:name="DQCNUMB_11"/>
      <w:bookmarkEnd w:id="11"/>
      <w:r>
        <w:t xml:space="preserve">Дейности по тематичен приоритет 3: </w:t>
      </w:r>
      <w:r>
        <w:rPr>
          <w:b/>
        </w:rPr>
        <w:t xml:space="preserve">Многонационални програми, изпълнявани на вътрешния пазар </w:t>
      </w:r>
    </w:p>
    <w:p w:rsidR="009B5B5A" w:rsidRPr="00494AB6" w:rsidRDefault="009B5B5A" w:rsidP="00494AB6">
      <w:pPr>
        <w:pStyle w:val="Heading4"/>
        <w:numPr>
          <w:ilvl w:val="0"/>
          <w:numId w:val="0"/>
        </w:numPr>
        <w:tabs>
          <w:tab w:val="num" w:pos="4678"/>
        </w:tabs>
        <w:ind w:left="850"/>
        <w:rPr>
          <w:rFonts w:eastAsia="Times New Roman"/>
        </w:rPr>
      </w:pPr>
      <w:r>
        <w:rPr>
          <w:u w:val="single"/>
        </w:rPr>
        <w:t>Видове действия:</w:t>
      </w:r>
      <w:r>
        <w:t xml:space="preserve"> Безвъзмездни средства, отпускани след покана за представяне на предложения</w:t>
      </w:r>
    </w:p>
    <w:tbl>
      <w:tblPr>
        <w:tblW w:w="93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551"/>
        <w:gridCol w:w="3936"/>
      </w:tblGrid>
      <w:tr w:rsidR="009B5B5A" w:rsidRPr="005A2569" w:rsidTr="005A2569">
        <w:tc>
          <w:tcPr>
            <w:tcW w:w="2836" w:type="dxa"/>
          </w:tcPr>
          <w:p w:rsidR="009B5B5A" w:rsidRPr="005A2569" w:rsidRDefault="009B5B5A" w:rsidP="005A2569">
            <w:pPr>
              <w:jc w:val="center"/>
              <w:rPr>
                <w:b/>
              </w:rPr>
            </w:pPr>
            <w:r w:rsidRPr="005A2569">
              <w:rPr>
                <w:b/>
              </w:rPr>
              <w:t>Теми</w:t>
            </w:r>
          </w:p>
        </w:tc>
        <w:tc>
          <w:tcPr>
            <w:tcW w:w="2551" w:type="dxa"/>
          </w:tcPr>
          <w:p w:rsidR="009B5B5A" w:rsidRPr="005A2569" w:rsidRDefault="009B5B5A" w:rsidP="005A2569">
            <w:pPr>
              <w:jc w:val="center"/>
              <w:rPr>
                <w:b/>
              </w:rPr>
            </w:pPr>
            <w:r w:rsidRPr="005A2569">
              <w:rPr>
                <w:b/>
              </w:rPr>
              <w:t xml:space="preserve">Общо предвидени средства </w:t>
            </w:r>
          </w:p>
        </w:tc>
        <w:tc>
          <w:tcPr>
            <w:tcW w:w="3936" w:type="dxa"/>
          </w:tcPr>
          <w:p w:rsidR="009B5B5A" w:rsidRPr="005A2569" w:rsidRDefault="009B5B5A" w:rsidP="005A2569">
            <w:pPr>
              <w:jc w:val="center"/>
              <w:rPr>
                <w:b/>
              </w:rPr>
            </w:pPr>
            <w:r w:rsidRPr="005A2569">
              <w:rPr>
                <w:b/>
              </w:rPr>
              <w:t xml:space="preserve">Приоритети за годината, поставени цели и очаквани резултати </w:t>
            </w:r>
          </w:p>
        </w:tc>
      </w:tr>
      <w:tr w:rsidR="009B5B5A" w:rsidRPr="005A2569" w:rsidTr="005A2569">
        <w:tc>
          <w:tcPr>
            <w:tcW w:w="2836" w:type="dxa"/>
          </w:tcPr>
          <w:p w:rsidR="009B5B5A" w:rsidRPr="005A2569" w:rsidRDefault="009B5B5A" w:rsidP="005A2569">
            <w:pPr>
              <w:pStyle w:val="Text1"/>
              <w:ind w:left="0"/>
              <w:jc w:val="left"/>
            </w:pPr>
            <w:r w:rsidRPr="005A2569">
              <w:t>Тема А — Програми за повишаване на осведомеността по отношение на устойчивото селско стопанство в Съюза и ролята на селскостопанския и хранително-вкусов сектор при действия във връзка с климата и околната среда</w:t>
            </w:r>
            <w:r w:rsidRPr="005A2569">
              <w:rPr>
                <w:rStyle w:val="FootnoteReference"/>
              </w:rPr>
              <w:footnoteReference w:id="5"/>
            </w:r>
          </w:p>
        </w:tc>
        <w:tc>
          <w:tcPr>
            <w:tcW w:w="2551" w:type="dxa"/>
          </w:tcPr>
          <w:p w:rsidR="009B5B5A" w:rsidRPr="005A2569" w:rsidRDefault="009B5B5A" w:rsidP="005A2569">
            <w:pPr>
              <w:pStyle w:val="Text1"/>
              <w:ind w:left="0"/>
            </w:pPr>
            <w:r w:rsidRPr="005A2569">
              <w:t>15.050.000 евро</w:t>
            </w:r>
          </w:p>
        </w:tc>
        <w:tc>
          <w:tcPr>
            <w:tcW w:w="3936" w:type="dxa"/>
          </w:tcPr>
          <w:p w:rsidR="009B5B5A" w:rsidRPr="005A2569" w:rsidRDefault="009B5B5A" w:rsidP="005A2569">
            <w:pPr>
              <w:ind w:left="34"/>
              <w:jc w:val="left"/>
              <w:rPr>
                <w:szCs w:val="24"/>
              </w:rPr>
            </w:pPr>
            <w:r w:rsidRPr="005A2569">
              <w:t>Дейностите следва да подчертават екологичната устойчивост на селското стопанство на Съюза, като подчертават положителната му роля в действията във връзка с климата и околната среда.</w:t>
            </w:r>
          </w:p>
          <w:p w:rsidR="009B5B5A" w:rsidRPr="005A2569" w:rsidRDefault="009B5B5A" w:rsidP="005A2569">
            <w:pPr>
              <w:ind w:left="34"/>
              <w:jc w:val="left"/>
              <w:rPr>
                <w:szCs w:val="24"/>
              </w:rPr>
            </w:pPr>
            <w:r w:rsidRPr="005A2569">
              <w:t>Дейностите следва да разглеждат начина, по който продукт(ите) се предлагат и как метода на производството му/им допринася за:</w:t>
            </w:r>
          </w:p>
          <w:p w:rsidR="009B5B5A" w:rsidRPr="005A2569" w:rsidRDefault="009B5B5A" w:rsidP="005A2569">
            <w:pPr>
              <w:ind w:left="317" w:hanging="283"/>
              <w:jc w:val="left"/>
              <w:rPr>
                <w:szCs w:val="24"/>
              </w:rPr>
            </w:pPr>
            <w:r w:rsidRPr="005A2569">
              <w:t>а)</w:t>
            </w:r>
            <w:r w:rsidRPr="005A2569">
              <w:tab/>
              <w:t xml:space="preserve"> смекчаване на последиците от изменението на климата (напр. намаляване на емисиите парникови газове) и/или приспособяването (напр. икономиите на вода, култури и сортов, устойчиви на промените в климата), както и;</w:t>
            </w:r>
          </w:p>
          <w:p w:rsidR="009B5B5A" w:rsidRPr="005A2569" w:rsidRDefault="009B5B5A" w:rsidP="005A2569">
            <w:pPr>
              <w:ind w:left="317" w:hanging="283"/>
              <w:jc w:val="left"/>
              <w:rPr>
                <w:szCs w:val="24"/>
              </w:rPr>
            </w:pPr>
            <w:r w:rsidRPr="005A2569">
              <w:t>б)</w:t>
            </w:r>
            <w:r w:rsidRPr="005A2569">
              <w:tab/>
              <w:t xml:space="preserve"> най-малко едно от следните:</w:t>
            </w:r>
          </w:p>
          <w:p w:rsidR="009B5B5A" w:rsidRPr="005A2569" w:rsidRDefault="009B5B5A" w:rsidP="005A2569">
            <w:pPr>
              <w:ind w:left="176" w:hanging="142"/>
              <w:jc w:val="left"/>
              <w:rPr>
                <w:szCs w:val="24"/>
              </w:rPr>
            </w:pPr>
            <w:r w:rsidRPr="005A2569">
              <w:t>(i) опазване на биоразнообразието и устойчивото използване (напр. дивата природа, ландшафта, генетичните ресурси);</w:t>
            </w:r>
          </w:p>
          <w:p w:rsidR="009B5B5A" w:rsidRPr="005A2569" w:rsidRDefault="009B5B5A" w:rsidP="005A2569">
            <w:pPr>
              <w:ind w:left="176" w:hanging="142"/>
              <w:jc w:val="left"/>
              <w:rPr>
                <w:szCs w:val="24"/>
              </w:rPr>
            </w:pPr>
            <w:r w:rsidRPr="005A2569">
              <w:t>(ii) устойчиво управление на водите (напр. ефективността на ползването на водата, намаляване на съдържанието на хранителни вещества или пестициди);</w:t>
            </w:r>
          </w:p>
          <w:p w:rsidR="009B5B5A" w:rsidRPr="005A2569" w:rsidRDefault="009B5B5A" w:rsidP="005A2569">
            <w:pPr>
              <w:pStyle w:val="Text1"/>
              <w:ind w:left="176" w:hanging="142"/>
              <w:jc w:val="left"/>
            </w:pPr>
            <w:r w:rsidRPr="005A2569">
              <w:t>(iii) устойчиво управление на почвите (напр. контрол на ерозията; баланс на хранителните вещества; предотвратяване на концентрацията на киселини и соли).</w:t>
            </w:r>
          </w:p>
        </w:tc>
      </w:tr>
    </w:tbl>
    <w:p w:rsidR="009B5B5A" w:rsidRPr="006B3409" w:rsidRDefault="009B5B5A" w:rsidP="00494AB6">
      <w:pPr>
        <w:pStyle w:val="Heading4"/>
        <w:numPr>
          <w:ilvl w:val="0"/>
          <w:numId w:val="0"/>
        </w:numPr>
        <w:ind w:left="850" w:hanging="850"/>
        <w:rPr>
          <w:rFonts w:eastAsia="Times New Roman"/>
          <w:b/>
        </w:rPr>
      </w:pPr>
      <w:r>
        <w:t xml:space="preserve">1.2.1.4 Дейности по тематичен приоритет 4: </w:t>
      </w:r>
      <w:r>
        <w:rPr>
          <w:b/>
        </w:rPr>
        <w:t>Многонационални програми, изпълнявани на вътрешния пазар или в трети държави</w:t>
      </w:r>
    </w:p>
    <w:p w:rsidR="009B5B5A" w:rsidRDefault="009B5B5A" w:rsidP="00494AB6">
      <w:pPr>
        <w:pStyle w:val="Text1"/>
        <w:ind w:left="0"/>
      </w:pPr>
      <w:r>
        <w:t>Видове действия: Безвъзмездни средства, отпускани след покана за представяне на предложения</w:t>
      </w:r>
    </w:p>
    <w:tbl>
      <w:tblPr>
        <w:tblW w:w="93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551"/>
        <w:gridCol w:w="3936"/>
      </w:tblGrid>
      <w:tr w:rsidR="009B5B5A" w:rsidRPr="005A2569" w:rsidTr="005A2569">
        <w:tc>
          <w:tcPr>
            <w:tcW w:w="2836" w:type="dxa"/>
          </w:tcPr>
          <w:p w:rsidR="009B5B5A" w:rsidRPr="005A2569" w:rsidRDefault="009B5B5A" w:rsidP="005A2569">
            <w:pPr>
              <w:jc w:val="center"/>
              <w:rPr>
                <w:b/>
              </w:rPr>
            </w:pPr>
            <w:r w:rsidRPr="005A2569">
              <w:rPr>
                <w:b/>
              </w:rPr>
              <w:t>Теми</w:t>
            </w:r>
          </w:p>
        </w:tc>
        <w:tc>
          <w:tcPr>
            <w:tcW w:w="2551" w:type="dxa"/>
          </w:tcPr>
          <w:p w:rsidR="009B5B5A" w:rsidRPr="005A2569" w:rsidRDefault="009B5B5A" w:rsidP="005A2569">
            <w:pPr>
              <w:jc w:val="center"/>
              <w:rPr>
                <w:b/>
              </w:rPr>
            </w:pPr>
            <w:r w:rsidRPr="005A2569">
              <w:rPr>
                <w:b/>
              </w:rPr>
              <w:t xml:space="preserve">Общо предвидени средства </w:t>
            </w:r>
          </w:p>
        </w:tc>
        <w:tc>
          <w:tcPr>
            <w:tcW w:w="3936" w:type="dxa"/>
          </w:tcPr>
          <w:p w:rsidR="009B5B5A" w:rsidRPr="005A2569" w:rsidRDefault="009B5B5A" w:rsidP="005A2569">
            <w:pPr>
              <w:jc w:val="center"/>
              <w:rPr>
                <w:b/>
              </w:rPr>
            </w:pPr>
            <w:r w:rsidRPr="005A2569">
              <w:rPr>
                <w:b/>
              </w:rPr>
              <w:t xml:space="preserve">Приоритети за годината, поставени цели и очаквани резултати </w:t>
            </w:r>
          </w:p>
        </w:tc>
      </w:tr>
      <w:tr w:rsidR="009B5B5A" w:rsidRPr="005A2569" w:rsidTr="005A2569">
        <w:tc>
          <w:tcPr>
            <w:tcW w:w="2836" w:type="dxa"/>
          </w:tcPr>
          <w:p w:rsidR="009B5B5A" w:rsidRPr="005A2569" w:rsidRDefault="009B5B5A" w:rsidP="005A2569">
            <w:pPr>
              <w:pStyle w:val="Text1"/>
              <w:ind w:left="0"/>
            </w:pPr>
            <w:r w:rsidRPr="005A2569">
              <w:t>Тема Б — Програми за информиране и насърчаване с цел увеличаване на осведомеността и познанията относно схемите за качество на Съюза, посочени в член 5, параграф 4, букви а), б) и в) от Регламент (ЕС) № 1144/2014</w:t>
            </w:r>
          </w:p>
        </w:tc>
        <w:tc>
          <w:tcPr>
            <w:tcW w:w="2551" w:type="dxa"/>
          </w:tcPr>
          <w:p w:rsidR="009B5B5A" w:rsidRPr="005A2569" w:rsidRDefault="009B5B5A" w:rsidP="005A2569">
            <w:pPr>
              <w:pStyle w:val="Text1"/>
              <w:ind w:left="0"/>
            </w:pPr>
            <w:r w:rsidRPr="005A2569">
              <w:t>15.050.000 евро</w:t>
            </w:r>
          </w:p>
        </w:tc>
        <w:tc>
          <w:tcPr>
            <w:tcW w:w="3936" w:type="dxa"/>
          </w:tcPr>
          <w:p w:rsidR="009B5B5A" w:rsidRPr="005A2569" w:rsidRDefault="009B5B5A" w:rsidP="005A2569">
            <w:pPr>
              <w:pStyle w:val="Text1"/>
              <w:ind w:left="0"/>
              <w:jc w:val="left"/>
              <w:rPr>
                <w:strike/>
              </w:rPr>
            </w:pPr>
            <w:r w:rsidRPr="005A2569">
              <w:t>Очакваните въздействия са увеличаване на степента на разпознаване на графичните символи на тези схеми за качество на Съюза от потребителите и увеличаване на конкурентоспособността и потреблението на селскостопанските и хранителните продукти на Съюза и увеличаване на пазарния им дял.</w:t>
            </w:r>
          </w:p>
          <w:p w:rsidR="009B5B5A" w:rsidRPr="005A2569" w:rsidRDefault="009B5B5A" w:rsidP="005A2569">
            <w:pPr>
              <w:pStyle w:val="Text1"/>
              <w:ind w:left="0"/>
              <w:jc w:val="left"/>
            </w:pPr>
            <w:r w:rsidRPr="005A2569">
              <w:t>Целта е повишаване на осведомеността за схемите на Съюза за качество и на тяхната разпознаваемост:</w:t>
            </w:r>
          </w:p>
          <w:p w:rsidR="009B5B5A" w:rsidRPr="005A2569" w:rsidRDefault="009B5B5A" w:rsidP="005A2569">
            <w:pPr>
              <w:pStyle w:val="Text1"/>
              <w:ind w:left="176" w:hanging="176"/>
              <w:jc w:val="left"/>
              <w:rPr>
                <w:szCs w:val="24"/>
              </w:rPr>
            </w:pPr>
            <w:r w:rsidRPr="005A2569">
              <w:t xml:space="preserve">а) схеми за качество: Защитени наименования за произход (ЗНП), защитени географски указания (ЗГУ), храни с традиционно специфичен характер (ХТСХ) и незадължителните термини за качество; </w:t>
            </w:r>
          </w:p>
          <w:p w:rsidR="009B5B5A" w:rsidRPr="005A2569" w:rsidRDefault="009B5B5A" w:rsidP="005A2569">
            <w:pPr>
              <w:pStyle w:val="Text1"/>
              <w:ind w:left="176" w:hanging="176"/>
              <w:jc w:val="left"/>
              <w:rPr>
                <w:szCs w:val="24"/>
              </w:rPr>
            </w:pPr>
            <w:r w:rsidRPr="005A2569">
              <w:t>б) метод на биологично производство;</w:t>
            </w:r>
          </w:p>
          <w:p w:rsidR="009B5B5A" w:rsidRPr="005A2569" w:rsidRDefault="009B5B5A" w:rsidP="005A2569">
            <w:pPr>
              <w:pStyle w:val="Text1"/>
              <w:ind w:left="176" w:hanging="176"/>
              <w:jc w:val="left"/>
            </w:pPr>
            <w:r w:rsidRPr="005A2569">
              <w:t>в) графичният символ на качествените селскостопански продукти, специфични за най-отдалечените региони на Съюза.</w:t>
            </w:r>
          </w:p>
        </w:tc>
      </w:tr>
      <w:tr w:rsidR="009B5B5A" w:rsidRPr="005A2569" w:rsidTr="005A2569">
        <w:tc>
          <w:tcPr>
            <w:tcW w:w="2836" w:type="dxa"/>
          </w:tcPr>
          <w:p w:rsidR="009B5B5A" w:rsidRPr="005A2569" w:rsidRDefault="009B5B5A" w:rsidP="005A2569">
            <w:pPr>
              <w:pStyle w:val="Text1"/>
              <w:ind w:left="0"/>
            </w:pPr>
            <w:r w:rsidRPr="005A2569">
              <w:rPr>
                <w:u w:val="single"/>
              </w:rPr>
              <w:t>Тема В</w:t>
            </w:r>
            <w:r w:rsidRPr="005A2569">
              <w:t xml:space="preserve"> — Програми за информиране и насърчаване, очертаващи конкретните компоненти на селскостопанските </w:t>
            </w:r>
            <w:r>
              <w:t>методи на Съюза и характеристиките</w:t>
            </w:r>
            <w:r w:rsidRPr="005A2569">
              <w:t xml:space="preserve"> на европейските селскостопански и хранителни продукти и схеми за качество, посочени в член 5, параграф 4, буква г) от Регламент (ЕС) № 1144/2014</w:t>
            </w:r>
          </w:p>
        </w:tc>
        <w:tc>
          <w:tcPr>
            <w:tcW w:w="2551" w:type="dxa"/>
          </w:tcPr>
          <w:p w:rsidR="009B5B5A" w:rsidRPr="005A2569" w:rsidRDefault="009B5B5A" w:rsidP="005A2569">
            <w:pPr>
              <w:pStyle w:val="Text1"/>
              <w:ind w:left="0"/>
            </w:pPr>
            <w:r w:rsidRPr="005A2569">
              <w:t>12.900.000 евро</w:t>
            </w:r>
          </w:p>
        </w:tc>
        <w:tc>
          <w:tcPr>
            <w:tcW w:w="3936" w:type="dxa"/>
          </w:tcPr>
          <w:p w:rsidR="009B5B5A" w:rsidRPr="005A2569" w:rsidRDefault="009B5B5A" w:rsidP="005A2569">
            <w:pPr>
              <w:pStyle w:val="Text1"/>
              <w:ind w:left="0"/>
              <w:jc w:val="left"/>
            </w:pPr>
            <w:r w:rsidRPr="005A2569">
              <w:t>Целта е подчертаване на най-малко една от особените характеристики на методите на селскостопанско производство в Съюза, по-специално от гледна точка на безопасността на храните, проследимостта, автентичността, етикетирането, аспектите, свързани с хранителната стойност и опазването на здравето (включително здравословните хранителни навици и отговорното консумиране на алкохолни напитки), хуманното отношение към животните, опазването на околната среда и устойчивостта (различни от изброените в тема А), както и характеристиките на селскостопанските и хранителните продукти, по-специално от гледна точка на тяхното качество, вкус, разнообразие или традиции.</w:t>
            </w:r>
          </w:p>
          <w:p w:rsidR="009B5B5A" w:rsidRPr="005A2569" w:rsidRDefault="009B5B5A" w:rsidP="005A2569">
            <w:pPr>
              <w:pStyle w:val="Text1"/>
              <w:ind w:left="0"/>
              <w:jc w:val="left"/>
            </w:pPr>
            <w:r w:rsidRPr="005A2569">
              <w:t>Очакваните въздействия включват повишаване осведомеността на потребителите относно качествата на селскостопанските продукти на ЕС и увеличена конкурентоспособност и потребление на съответните селскостопански хранителни продукти на Съюза, подобряване на репутацията им и увеличаване на пазарния им дял.</w:t>
            </w:r>
          </w:p>
        </w:tc>
      </w:tr>
    </w:tbl>
    <w:p w:rsidR="009B5B5A" w:rsidRPr="00E2745F" w:rsidRDefault="009B5B5A" w:rsidP="006B7CD6">
      <w:pPr>
        <w:spacing w:before="0" w:after="0"/>
      </w:pPr>
      <w:bookmarkStart w:id="12" w:name="DQCNUMB_12"/>
      <w:bookmarkEnd w:id="12"/>
    </w:p>
    <w:p w:rsidR="009B5B5A" w:rsidRDefault="009B5B5A" w:rsidP="00916A74">
      <w:pPr>
        <w:pStyle w:val="Heading3"/>
        <w:numPr>
          <w:ilvl w:val="2"/>
          <w:numId w:val="5"/>
        </w:numPr>
        <w:rPr>
          <w:rFonts w:eastAsia="Times New Roman"/>
        </w:rPr>
      </w:pPr>
      <w:bookmarkStart w:id="13" w:name="DQCNUMB_13"/>
      <w:bookmarkEnd w:id="13"/>
      <w:r>
        <w:t xml:space="preserve">Дейности в случай на сериозни смущения на пазара, загуба на потребителското доверие или други специфични проблеми с допълнителни покани за представяне на предложения чрез </w:t>
      </w:r>
      <w:r>
        <w:rPr>
          <w:b/>
        </w:rPr>
        <w:t xml:space="preserve">обикновени </w:t>
      </w:r>
      <w:r>
        <w:t>програми</w:t>
      </w:r>
    </w:p>
    <w:p w:rsidR="009B5B5A" w:rsidRPr="00374F03" w:rsidRDefault="009B5B5A" w:rsidP="00916A74">
      <w:pPr>
        <w:pStyle w:val="Text1"/>
        <w:ind w:left="0"/>
      </w:pPr>
      <w:r>
        <w:rPr>
          <w:u w:val="single"/>
        </w:rPr>
        <w:t>Видове действия:</w:t>
      </w:r>
      <w:r>
        <w:t xml:space="preserve"> Безвъзмездни средства, отпускани след покана за представяне на предложения</w:t>
      </w:r>
    </w:p>
    <w:p w:rsidR="009B5B5A" w:rsidRPr="00C156C8" w:rsidRDefault="009B5B5A" w:rsidP="00916A74">
      <w:pPr>
        <w:rPr>
          <w:szCs w:val="24"/>
          <w:u w:val="single"/>
        </w:rPr>
      </w:pPr>
      <w:r>
        <w:rPr>
          <w:u w:val="single"/>
        </w:rPr>
        <w:t>Приоритети за годината, поставени цели и очаквани резултати:</w:t>
      </w:r>
    </w:p>
    <w:p w:rsidR="009B5B5A" w:rsidRPr="007F2A32" w:rsidRDefault="009B5B5A" w:rsidP="00C156C8">
      <w:pPr>
        <w:pStyle w:val="Text1"/>
        <w:ind w:left="0"/>
      </w:pPr>
      <w:r>
        <w:t>Дейностите се състоят в програми за информиране и насърчаване, предназначени за реакция в случай на сериозни смущения на пазара, загуба на потребителското доверие или други специфични проблеми, когато програмите за информиране и насърчаване, съфинансирани от сектора биха били адекватен отговор в подобни случаи и, когато е приложимо, биха допълнили извънредните мерки, предприети съгласно Част V, Глава 1 от Регламент (ЕС) № 1308/2013.</w:t>
      </w:r>
    </w:p>
    <w:p w:rsidR="009B5B5A" w:rsidRPr="00343F80" w:rsidRDefault="009B5B5A" w:rsidP="00AE7688">
      <w:pPr>
        <w:pStyle w:val="Text1"/>
        <w:ind w:left="0"/>
      </w:pPr>
      <w:r>
        <w:t>Тези дейности са ограничени до обикновени програми, които изискват по-малко време за изпълнение и следователно по-подходящи мерки в случай на смущения на пазара или загуба на потребителско доверие.</w:t>
      </w:r>
    </w:p>
    <w:p w:rsidR="009B5B5A" w:rsidRPr="00175BD8" w:rsidRDefault="009B5B5A" w:rsidP="00AE7688">
      <w:pPr>
        <w:pStyle w:val="Text1"/>
        <w:ind w:left="0"/>
        <w:rPr>
          <w:bCs/>
          <w:iCs/>
        </w:rPr>
      </w:pPr>
      <w:r>
        <w:t>Неочакваните смущения на пазара, загуба на потребителското доверие или други специфични проблеми следва да имат европейско измерение.</w:t>
      </w:r>
    </w:p>
    <w:p w:rsidR="009B5B5A" w:rsidRPr="00175BD8" w:rsidRDefault="009B5B5A" w:rsidP="00AE7688">
      <w:pPr>
        <w:pStyle w:val="Text1"/>
        <w:ind w:left="0"/>
      </w:pPr>
      <w:r>
        <w:t>Програмите за информиране и насърчаване следва да имат европейско измерение, от гледна точка на съдържанието и въздействието. Целта на тези програми е да помогне на възстановяването на потребителското доверие и обичайните пазарни условия.</w:t>
      </w:r>
    </w:p>
    <w:p w:rsidR="009B5B5A" w:rsidRDefault="009B5B5A" w:rsidP="00AE7688">
      <w:pPr>
        <w:spacing w:before="0" w:after="240"/>
      </w:pPr>
      <w:r>
        <w:t>Очакваният краен резултат е да се възстановят обичайните пазарни условия за секторите, засегнати от смущенията на пазара.</w:t>
      </w:r>
    </w:p>
    <w:p w:rsidR="009B5B5A" w:rsidRDefault="009B5B5A" w:rsidP="00AE7688">
      <w:r>
        <w:t xml:space="preserve">В случаите, когато смущенията на пазара не са сериозни, както и загубата на потребителското доверие или други специфични проблеми през годината, бюджетът се пренасочва към дейности по тема </w:t>
      </w:r>
    </w:p>
    <w:p w:rsidR="009B5B5A" w:rsidRDefault="009B5B5A" w:rsidP="00916A74">
      <w:r>
        <w:t>7.</w:t>
      </w:r>
    </w:p>
    <w:p w:rsidR="009B5B5A" w:rsidRPr="00C156C8" w:rsidRDefault="009B5B5A" w:rsidP="00916A74">
      <w:pPr>
        <w:rPr>
          <w:szCs w:val="24"/>
          <w:u w:val="single"/>
        </w:rPr>
      </w:pPr>
      <w:r>
        <w:rPr>
          <w:u w:val="single"/>
        </w:rPr>
        <w:t>Описание на дейностите, които се финансират по поканата за представяне на проектни предложения:</w:t>
      </w:r>
    </w:p>
    <w:p w:rsidR="009B5B5A" w:rsidRPr="00DF6575" w:rsidRDefault="009B5B5A" w:rsidP="00916A74">
      <w:pPr>
        <w:rPr>
          <w:szCs w:val="24"/>
        </w:rPr>
      </w:pPr>
      <w:r>
        <w:t>Мерките за информиране и насърчаване следва да се състоят от набор от съгласувани действия. Програмите, предназначени за отговор на сериозни смущения на пазара, загуба на потребителското доверие или други специфични проблеми следва да бъдат по-целенасочени и изпълнявани в едногодишен период.</w:t>
      </w:r>
    </w:p>
    <w:p w:rsidR="009B5B5A" w:rsidRDefault="009B5B5A" w:rsidP="00916A74">
      <w:pPr>
        <w:rPr>
          <w:szCs w:val="24"/>
          <w:u w:val="single"/>
        </w:rPr>
      </w:pPr>
      <w:r>
        <w:rPr>
          <w:u w:val="single"/>
        </w:rPr>
        <w:t>Индикативен график:</w:t>
      </w:r>
    </w:p>
    <w:p w:rsidR="009B5B5A" w:rsidRPr="00C156C8" w:rsidRDefault="009B5B5A" w:rsidP="00916A74">
      <w:pPr>
        <w:rPr>
          <w:szCs w:val="24"/>
          <w:u w:val="single"/>
        </w:rPr>
      </w:pPr>
      <w:r>
        <w:t>Поканата за представяне на предложения би следвало да се публикува малко след началото на смущенията на пазара, загубата на потребителското доверие или други специфични проблеми.</w:t>
      </w:r>
    </w:p>
    <w:p w:rsidR="009B5B5A" w:rsidRPr="00DF6575" w:rsidRDefault="009B5B5A" w:rsidP="00916A74">
      <w:pPr>
        <w:pStyle w:val="Text1"/>
        <w:ind w:left="0"/>
      </w:pPr>
      <w:r>
        <w:rPr>
          <w:u w:val="single"/>
        </w:rPr>
        <w:t>Индикативно разпределение:</w:t>
      </w:r>
      <w:r>
        <w:t xml:space="preserve"> 4.500.000 евро</w:t>
      </w:r>
    </w:p>
    <w:p w:rsidR="009B5B5A" w:rsidRPr="00DF6575" w:rsidRDefault="009B5B5A" w:rsidP="004C4420">
      <w:pPr>
        <w:pStyle w:val="Text1"/>
        <w:spacing w:before="0" w:after="0"/>
        <w:ind w:left="0"/>
      </w:pPr>
      <w:bookmarkStart w:id="14" w:name="DQCNUMB_14"/>
      <w:bookmarkEnd w:id="14"/>
    </w:p>
    <w:p w:rsidR="009B5B5A" w:rsidRPr="00B26279" w:rsidRDefault="009B5B5A" w:rsidP="00916A74">
      <w:pPr>
        <w:pStyle w:val="Heading2"/>
        <w:numPr>
          <w:ilvl w:val="1"/>
          <w:numId w:val="5"/>
        </w:numPr>
        <w:rPr>
          <w:rFonts w:eastAsia="Times New Roman"/>
        </w:rPr>
      </w:pPr>
      <w:bookmarkStart w:id="15" w:name="DQCNUMB_15"/>
      <w:bookmarkEnd w:id="15"/>
      <w:r>
        <w:t>Обществени поръчки (мерки по инициатива на Комисията)</w:t>
      </w:r>
    </w:p>
    <w:p w:rsidR="009B5B5A" w:rsidRDefault="009B5B5A" w:rsidP="00916A74">
      <w:pPr>
        <w:rPr>
          <w:szCs w:val="24"/>
        </w:rPr>
      </w:pPr>
      <w:r>
        <w:t xml:space="preserve">Цялостното бюджетно разпределение за договори по обществени поръчки през 2017 г. възлиза на 9.500.000 евро. </w:t>
      </w:r>
    </w:p>
    <w:p w:rsidR="009B5B5A" w:rsidRPr="00B26279" w:rsidRDefault="009B5B5A" w:rsidP="00916A74">
      <w:pPr>
        <w:rPr>
          <w:szCs w:val="24"/>
        </w:rPr>
      </w:pPr>
      <w:bookmarkStart w:id="16" w:name="DQCNUMB_16"/>
      <w:bookmarkEnd w:id="16"/>
      <w:r>
        <w:t>То обхваща дейности като например комуникационни кампании в трети държави, щандове на Европейския съюз по време на големи изложения на селскостопански хранителни продукти в трети държави, организиране на посещения на бизнес делегации в трети държави, предоставяне на услуги по техническа помощ, организиране на кампании в случаи на сериозни смущения на пазара, загуба на потребителско доверие или други специфични проблеми, както и информация относно реформирания режим на насърчаване. Следва да се публикуват покани за представяне на предложения за сключване на рамкови договори, искания за предоставяне на услуги по съществуващи такива и покани за представяне на предложения. Прегледът на процедурата по обявяване на обществена поръчка, която ще се обяви във връзка с посочените по-горе дейности, включва:</w:t>
      </w:r>
    </w:p>
    <w:p w:rsidR="009B5B5A" w:rsidRPr="00374F03" w:rsidRDefault="009B5B5A" w:rsidP="00916A74">
      <w:pPr>
        <w:pStyle w:val="Heading3"/>
        <w:numPr>
          <w:ilvl w:val="2"/>
          <w:numId w:val="5"/>
        </w:numPr>
        <w:rPr>
          <w:rFonts w:eastAsia="Times New Roman"/>
        </w:rPr>
      </w:pPr>
      <w:bookmarkStart w:id="17" w:name="DQCNUMB_17"/>
      <w:bookmarkEnd w:id="17"/>
      <w:r>
        <w:t>Събития за популяризиране в трети държави</w:t>
      </w:r>
    </w:p>
    <w:p w:rsidR="009B5B5A" w:rsidRPr="00DF6575" w:rsidRDefault="009B5B5A" w:rsidP="00916A74">
      <w:r>
        <w:t>Правно основание</w:t>
      </w:r>
    </w:p>
    <w:tbl>
      <w:tblPr>
        <w:tblW w:w="5000" w:type="pct"/>
        <w:tblCellSpacing w:w="0" w:type="dxa"/>
        <w:tblBorders>
          <w:top w:val="single" w:sz="2" w:space="0" w:color="000000"/>
          <w:left w:val="single" w:sz="2" w:space="0" w:color="000000"/>
          <w:bottom w:val="single" w:sz="2" w:space="0" w:color="000000"/>
          <w:right w:val="single" w:sz="2" w:space="0" w:color="000000"/>
        </w:tblBorders>
        <w:tblLayout w:type="fixed"/>
        <w:tblLook w:val="00A0"/>
      </w:tblPr>
      <w:tblGrid>
        <w:gridCol w:w="9103"/>
      </w:tblGrid>
      <w:tr w:rsidR="009B5B5A" w:rsidRPr="005A2569" w:rsidTr="00AE7688">
        <w:trPr>
          <w:tblCellSpacing w:w="0" w:type="dxa"/>
        </w:trPr>
        <w:tc>
          <w:tcPr>
            <w:tcW w:w="9113" w:type="dxa"/>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AE7688">
            <w:pPr>
              <w:spacing w:after="200" w:line="276" w:lineRule="auto"/>
            </w:pPr>
            <w:r w:rsidRPr="005A2569">
              <w:rPr>
                <w:rStyle w:val="Marker"/>
                <w:color w:val="auto"/>
              </w:rPr>
              <w:t>Член 9, параграф 1 от Регламент (ЕС) № 1144/2014 г.;</w:t>
            </w:r>
          </w:p>
        </w:tc>
      </w:tr>
    </w:tbl>
    <w:p w:rsidR="009B5B5A" w:rsidRPr="000F2583" w:rsidRDefault="009B5B5A" w:rsidP="00916A74">
      <w:pPr>
        <w:rPr>
          <w:sz w:val="22"/>
        </w:rPr>
      </w:pPr>
      <w:r>
        <w:t>Бюджетен ред</w:t>
      </w:r>
    </w:p>
    <w:tbl>
      <w:tblPr>
        <w:tblW w:w="5000" w:type="pct"/>
        <w:tblCellSpacing w:w="0" w:type="dxa"/>
        <w:tblBorders>
          <w:top w:val="single" w:sz="2" w:space="0" w:color="000000"/>
          <w:left w:val="single" w:sz="2" w:space="0" w:color="000000"/>
          <w:bottom w:val="single" w:sz="2" w:space="0" w:color="000000"/>
          <w:right w:val="single" w:sz="2" w:space="0" w:color="000000"/>
        </w:tblBorders>
        <w:tblLayout w:type="fixed"/>
        <w:tblLook w:val="00A0"/>
      </w:tblPr>
      <w:tblGrid>
        <w:gridCol w:w="9103"/>
      </w:tblGrid>
      <w:tr w:rsidR="009B5B5A" w:rsidRPr="005A2569" w:rsidTr="00AE7688">
        <w:trPr>
          <w:tblCellSpacing w:w="0" w:type="dxa"/>
        </w:trPr>
        <w:tc>
          <w:tcPr>
            <w:tcW w:w="9113" w:type="dxa"/>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AE7688">
            <w:pPr>
              <w:spacing w:after="200" w:line="276" w:lineRule="auto"/>
            </w:pPr>
            <w:r w:rsidRPr="005A2569">
              <w:rPr>
                <w:rStyle w:val="Marker"/>
                <w:color w:val="auto"/>
              </w:rPr>
              <w:t>05.02.10.02</w:t>
            </w:r>
          </w:p>
        </w:tc>
      </w:tr>
    </w:tbl>
    <w:p w:rsidR="009B5B5A" w:rsidRDefault="009B5B5A">
      <w:pPr>
        <w:spacing w:before="0" w:after="0"/>
        <w:jc w:val="left"/>
      </w:pPr>
      <w:r>
        <w:br w:type="page"/>
      </w:r>
    </w:p>
    <w:p w:rsidR="009B5B5A" w:rsidRPr="00DF6575" w:rsidRDefault="009B5B5A" w:rsidP="008315ED">
      <w:pPr>
        <w:spacing w:after="0"/>
        <w:rPr>
          <w:i/>
          <w:sz w:val="22"/>
        </w:rPr>
      </w:pPr>
      <w:r>
        <w:t>Предмет на предвидените договори</w:t>
      </w:r>
      <w:r>
        <w:rPr>
          <w:i/>
        </w:rPr>
        <w:t xml:space="preserve">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90"/>
      </w:tblGrid>
      <w:tr w:rsidR="009B5B5A" w:rsidRPr="005A2569" w:rsidTr="00AE7688">
        <w:trPr>
          <w:trHeight w:val="1338"/>
        </w:trPr>
        <w:tc>
          <w:tcPr>
            <w:tcW w:w="9289" w:type="dxa"/>
          </w:tcPr>
          <w:p w:rsidR="009B5B5A" w:rsidRPr="005A2569" w:rsidRDefault="009B5B5A" w:rsidP="008315ED">
            <w:pPr>
              <w:spacing w:after="0"/>
            </w:pPr>
            <w:r w:rsidRPr="005A2569">
              <w:t>Организирането на 1-2 комуникационни кампании в трети държави, попадащи в приоритетните географски райони, изброени по тематичен приоритет 2 от годишната работна програма може да бъде под формата на рекламни дейности и дейности в областта на връзките с обществеността, представяне по интернет, мерки, насочени от бизнеса към бизнеса, дейности по търговски обекти и заведения за хранене, семинари и обучения.</w:t>
            </w:r>
          </w:p>
          <w:p w:rsidR="009B5B5A" w:rsidRPr="005A2569" w:rsidRDefault="009B5B5A" w:rsidP="008315ED">
            <w:pPr>
              <w:spacing w:after="0"/>
            </w:pPr>
            <w:r w:rsidRPr="005A2569">
              <w:t xml:space="preserve">Организирането на 3-4 мероприятия в трети държави, обхванати по приоритетни географски области, изброени по тематичен приоритет 2 на годишната работна програма може да бъде под формата на посещения на бизнес делегации или участие в големи изложения на селскостопански хранителни продукти с щанд на Европейския съюз. </w:t>
            </w:r>
          </w:p>
          <w:p w:rsidR="009B5B5A" w:rsidRPr="005A2569" w:rsidRDefault="009B5B5A" w:rsidP="008315ED">
            <w:pPr>
              <w:spacing w:after="0"/>
            </w:pPr>
            <w:r w:rsidRPr="005A2569">
              <w:t>Посещенията на бизнес делегации в трети държави следва да се състоят от до 50 представители на организации на производители и МСП. Целта на дейността е да се улесни достъпа до пазара, да се установят бизнес контакти и да се подобри репутацията на продуктите на Европейския съюз чрез медиите, бизнеса и потребителите във въпросните трети държави.</w:t>
            </w:r>
          </w:p>
          <w:p w:rsidR="009B5B5A" w:rsidRPr="005A2569" w:rsidRDefault="009B5B5A" w:rsidP="008315ED">
            <w:pPr>
              <w:spacing w:after="0"/>
            </w:pPr>
            <w:r w:rsidRPr="005A2569">
              <w:t xml:space="preserve">Участието в селскостопански изложения следва да бъде под формата на щанд на Съюза по време на големи международни търговски изложения, посветени на продукти и теми, допустими за популяризиране по смисъла на член 9 от Регламент (ЕС) № 1144/2014. Предвидено е участие на производители от Съюза, които да излагат продуктите си на щанда. </w:t>
            </w:r>
          </w:p>
        </w:tc>
      </w:tr>
    </w:tbl>
    <w:p w:rsidR="009B5B5A" w:rsidRPr="00D056BF" w:rsidRDefault="009B5B5A" w:rsidP="008315ED">
      <w:pPr>
        <w:spacing w:after="0"/>
        <w:rPr>
          <w:i/>
          <w:sz w:val="22"/>
        </w:rPr>
      </w:pPr>
      <w:r>
        <w:t xml:space="preserve">Видове договори </w:t>
      </w:r>
    </w:p>
    <w:tbl>
      <w:tblPr>
        <w:tblW w:w="5000" w:type="pct"/>
        <w:tblCellSpacing w:w="0" w:type="dxa"/>
        <w:tblBorders>
          <w:top w:val="single" w:sz="2" w:space="0" w:color="000000"/>
          <w:left w:val="single" w:sz="2" w:space="0" w:color="000000"/>
          <w:bottom w:val="single" w:sz="2" w:space="0" w:color="000000"/>
          <w:right w:val="single" w:sz="2" w:space="0" w:color="000000"/>
        </w:tblBorders>
        <w:tblLayout w:type="fixed"/>
        <w:tblLook w:val="00A0"/>
      </w:tblPr>
      <w:tblGrid>
        <w:gridCol w:w="9103"/>
      </w:tblGrid>
      <w:tr w:rsidR="009B5B5A" w:rsidRPr="005A2569" w:rsidTr="00AE7688">
        <w:trPr>
          <w:tblCellSpacing w:w="0" w:type="dxa"/>
        </w:trPr>
        <w:tc>
          <w:tcPr>
            <w:tcW w:w="9113" w:type="dxa"/>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8315ED">
            <w:pPr>
              <w:spacing w:after="0"/>
            </w:pPr>
            <w:r w:rsidRPr="005A2569">
              <w:rPr>
                <w:rStyle w:val="Marker"/>
                <w:color w:val="auto"/>
              </w:rPr>
              <w:t>Налични рамкови договори за предоставяне на услуги,</w:t>
            </w:r>
            <w:r w:rsidRPr="005A2569">
              <w:t xml:space="preserve"> </w:t>
            </w:r>
            <w:r w:rsidRPr="005A2569">
              <w:rPr>
                <w:rStyle w:val="Marker"/>
                <w:color w:val="auto"/>
              </w:rPr>
              <w:t>нови рамкови договори за предоставяне на услуги;</w:t>
            </w:r>
          </w:p>
        </w:tc>
      </w:tr>
    </w:tbl>
    <w:p w:rsidR="009B5B5A" w:rsidRPr="00D056BF" w:rsidRDefault="009B5B5A" w:rsidP="008315ED">
      <w:pPr>
        <w:spacing w:after="0"/>
        <w:rPr>
          <w:sz w:val="22"/>
        </w:rPr>
      </w:pPr>
      <w:r>
        <w:t>Прогнозен брой договори: 5-6 отделни договори, основани на съществуващ рамков договор (РД);</w:t>
      </w:r>
    </w:p>
    <w:p w:rsidR="009B5B5A" w:rsidRPr="00D056BF" w:rsidRDefault="009B5B5A" w:rsidP="008315ED">
      <w:pPr>
        <w:spacing w:after="0"/>
      </w:pPr>
      <w:r>
        <w:t>Индикативен график за обявяване на обществени поръчки</w:t>
      </w:r>
    </w:p>
    <w:tbl>
      <w:tblPr>
        <w:tblW w:w="5050" w:type="pct"/>
        <w:tblCellSpacing w:w="0" w:type="dxa"/>
        <w:tblInd w:w="-100" w:type="dxa"/>
        <w:tblBorders>
          <w:top w:val="single" w:sz="2" w:space="0" w:color="000000"/>
          <w:left w:val="single" w:sz="2" w:space="0" w:color="000000"/>
          <w:bottom w:val="single" w:sz="2" w:space="0" w:color="000000"/>
          <w:right w:val="single" w:sz="2" w:space="0" w:color="000000"/>
        </w:tblBorders>
        <w:tblLook w:val="00A0"/>
      </w:tblPr>
      <w:tblGrid>
        <w:gridCol w:w="9194"/>
      </w:tblGrid>
      <w:tr w:rsidR="009B5B5A" w:rsidRPr="005A2569" w:rsidTr="00AE7688">
        <w:trPr>
          <w:tblCellSpacing w:w="0" w:type="dxa"/>
        </w:trPr>
        <w:tc>
          <w:tcPr>
            <w:tcW w:w="5000" w:type="pct"/>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8315ED">
            <w:pPr>
              <w:spacing w:after="0"/>
              <w:rPr>
                <w:rStyle w:val="Marker"/>
                <w:color w:val="auto"/>
              </w:rPr>
            </w:pPr>
            <w:r w:rsidRPr="005A2569">
              <w:rPr>
                <w:rStyle w:val="Marker"/>
                <w:color w:val="auto"/>
              </w:rPr>
              <w:t>Първо тримесечие: Процедура за възлагане на нов рамков договор, 2 конкретни договора</w:t>
            </w:r>
          </w:p>
          <w:p w:rsidR="009B5B5A" w:rsidRPr="005A2569" w:rsidRDefault="009B5B5A" w:rsidP="008315ED">
            <w:pPr>
              <w:spacing w:after="0"/>
            </w:pPr>
            <w:r w:rsidRPr="005A2569">
              <w:rPr>
                <w:rStyle w:val="Marker"/>
                <w:color w:val="auto"/>
              </w:rPr>
              <w:t xml:space="preserve">Второ тримесечие: 1 договор; Трето тримесечие: 1 договор; Четвърто тримесечие: 1 договор </w:t>
            </w:r>
          </w:p>
        </w:tc>
      </w:tr>
    </w:tbl>
    <w:p w:rsidR="009B5B5A" w:rsidRPr="00D056BF" w:rsidRDefault="009B5B5A" w:rsidP="008315ED">
      <w:pPr>
        <w:spacing w:after="0"/>
        <w:rPr>
          <w:sz w:val="22"/>
        </w:rPr>
      </w:pPr>
      <w:r>
        <w:t xml:space="preserve">Изпълнение </w:t>
      </w:r>
    </w:p>
    <w:tbl>
      <w:tblPr>
        <w:tblW w:w="5050" w:type="pct"/>
        <w:tblCellSpacing w:w="0" w:type="dxa"/>
        <w:tblInd w:w="-100" w:type="dxa"/>
        <w:tblBorders>
          <w:top w:val="single" w:sz="2" w:space="0" w:color="000000"/>
          <w:left w:val="single" w:sz="2" w:space="0" w:color="000000"/>
          <w:bottom w:val="single" w:sz="2" w:space="0" w:color="000000"/>
          <w:right w:val="single" w:sz="2" w:space="0" w:color="000000"/>
        </w:tblBorders>
        <w:tblLook w:val="00A0"/>
      </w:tblPr>
      <w:tblGrid>
        <w:gridCol w:w="9194"/>
      </w:tblGrid>
      <w:tr w:rsidR="009B5B5A" w:rsidRPr="005A2569" w:rsidTr="00AE7688">
        <w:trPr>
          <w:tblCellSpacing w:w="0" w:type="dxa"/>
        </w:trPr>
        <w:tc>
          <w:tcPr>
            <w:tcW w:w="5000" w:type="pct"/>
            <w:tcBorders>
              <w:top w:val="single" w:sz="2" w:space="0" w:color="000000"/>
              <w:left w:val="nil"/>
              <w:bottom w:val="nil"/>
              <w:right w:val="nil"/>
            </w:tcBorders>
            <w:tcMar>
              <w:top w:w="15" w:type="dxa"/>
              <w:left w:w="15" w:type="dxa"/>
              <w:bottom w:w="15" w:type="dxa"/>
              <w:right w:w="15" w:type="dxa"/>
            </w:tcMar>
          </w:tcPr>
          <w:p w:rsidR="009B5B5A" w:rsidRPr="005A2569" w:rsidRDefault="009B5B5A" w:rsidP="008315ED">
            <w:pPr>
              <w:spacing w:after="0"/>
            </w:pPr>
            <w:r w:rsidRPr="005A2569">
              <w:rPr>
                <w:rStyle w:val="Marker"/>
                <w:color w:val="auto"/>
              </w:rPr>
              <w:t>Изпълнение от Изпълнителната агенция за потребителите, здравеопазването, селското стопанство и храните (CHAFEA) и  ГД „Земеделие и развитие на селските райони“ (AGRI).</w:t>
            </w:r>
          </w:p>
        </w:tc>
        <w:bookmarkStart w:id="18" w:name="DQCNUMB_18"/>
        <w:bookmarkEnd w:id="18"/>
      </w:tr>
    </w:tbl>
    <w:p w:rsidR="009B5B5A" w:rsidRPr="00D056BF" w:rsidRDefault="009B5B5A" w:rsidP="008315ED">
      <w:pPr>
        <w:pStyle w:val="Heading3"/>
        <w:numPr>
          <w:ilvl w:val="2"/>
          <w:numId w:val="5"/>
        </w:numPr>
        <w:spacing w:after="0"/>
        <w:rPr>
          <w:rFonts w:eastAsia="Times New Roman"/>
        </w:rPr>
      </w:pPr>
      <w:bookmarkStart w:id="19" w:name="DQCNUMB_19"/>
      <w:bookmarkEnd w:id="19"/>
      <w:r>
        <w:t>Услуги по техническа поддръжка</w:t>
      </w:r>
    </w:p>
    <w:p w:rsidR="009B5B5A" w:rsidRPr="00D056BF" w:rsidRDefault="009B5B5A" w:rsidP="008315ED">
      <w:pPr>
        <w:spacing w:after="0"/>
      </w:pPr>
      <w:r>
        <w:t>Правно основание</w:t>
      </w:r>
    </w:p>
    <w:tbl>
      <w:tblPr>
        <w:tblW w:w="5000" w:type="pct"/>
        <w:tblCellSpacing w:w="0" w:type="dxa"/>
        <w:tblBorders>
          <w:top w:val="single" w:sz="2" w:space="0" w:color="000000"/>
          <w:left w:val="single" w:sz="2" w:space="0" w:color="000000"/>
          <w:bottom w:val="single" w:sz="2" w:space="0" w:color="000000"/>
          <w:right w:val="single" w:sz="2" w:space="0" w:color="000000"/>
        </w:tblBorders>
        <w:tblLayout w:type="fixed"/>
        <w:tblLook w:val="00A0"/>
      </w:tblPr>
      <w:tblGrid>
        <w:gridCol w:w="9103"/>
      </w:tblGrid>
      <w:tr w:rsidR="009B5B5A" w:rsidRPr="005A2569" w:rsidTr="00AE7688">
        <w:trPr>
          <w:tblCellSpacing w:w="0" w:type="dxa"/>
        </w:trPr>
        <w:tc>
          <w:tcPr>
            <w:tcW w:w="9113" w:type="dxa"/>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8315ED">
            <w:pPr>
              <w:spacing w:after="0"/>
            </w:pPr>
            <w:r w:rsidRPr="005A2569">
              <w:rPr>
                <w:rStyle w:val="Marker"/>
                <w:color w:val="auto"/>
              </w:rPr>
              <w:t>Член 9, параграф 2 от Регламент (ЕС) № 1144/2014 г.;</w:t>
            </w:r>
          </w:p>
        </w:tc>
      </w:tr>
    </w:tbl>
    <w:p w:rsidR="009B5B5A" w:rsidRPr="00D056BF" w:rsidRDefault="009B5B5A" w:rsidP="008315ED">
      <w:pPr>
        <w:spacing w:after="0"/>
        <w:rPr>
          <w:sz w:val="22"/>
        </w:rPr>
      </w:pPr>
      <w:r>
        <w:t>Бюджетен ред</w:t>
      </w:r>
    </w:p>
    <w:tbl>
      <w:tblPr>
        <w:tblW w:w="5000" w:type="pct"/>
        <w:tblCellSpacing w:w="0" w:type="dxa"/>
        <w:tblBorders>
          <w:top w:val="single" w:sz="2" w:space="0" w:color="000000"/>
          <w:left w:val="single" w:sz="2" w:space="0" w:color="000000"/>
          <w:bottom w:val="single" w:sz="2" w:space="0" w:color="000000"/>
          <w:right w:val="single" w:sz="2" w:space="0" w:color="000000"/>
        </w:tblBorders>
        <w:tblLayout w:type="fixed"/>
        <w:tblLook w:val="00A0"/>
      </w:tblPr>
      <w:tblGrid>
        <w:gridCol w:w="9103"/>
      </w:tblGrid>
      <w:tr w:rsidR="009B5B5A" w:rsidRPr="005A2569" w:rsidTr="00AE7688">
        <w:trPr>
          <w:tblCellSpacing w:w="0" w:type="dxa"/>
        </w:trPr>
        <w:tc>
          <w:tcPr>
            <w:tcW w:w="9113" w:type="dxa"/>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AE7688">
            <w:pPr>
              <w:spacing w:after="200" w:line="276" w:lineRule="auto"/>
            </w:pPr>
            <w:r w:rsidRPr="005A2569">
              <w:rPr>
                <w:rStyle w:val="Marker"/>
                <w:color w:val="auto"/>
              </w:rPr>
              <w:t>05.02.10.02</w:t>
            </w:r>
          </w:p>
        </w:tc>
      </w:tr>
    </w:tbl>
    <w:p w:rsidR="009B5B5A" w:rsidRDefault="009B5B5A">
      <w:pPr>
        <w:spacing w:before="0" w:after="0"/>
        <w:jc w:val="left"/>
      </w:pPr>
      <w:r>
        <w:br w:type="page"/>
      </w:r>
    </w:p>
    <w:p w:rsidR="009B5B5A" w:rsidRPr="00D056BF" w:rsidRDefault="009B5B5A" w:rsidP="00916A74">
      <w:pPr>
        <w:rPr>
          <w:i/>
          <w:sz w:val="22"/>
        </w:rPr>
      </w:pPr>
      <w:r>
        <w:t>Предмет на предвидените договори</w:t>
      </w:r>
      <w:r>
        <w:rPr>
          <w:i/>
        </w:rPr>
        <w:t xml:space="preserve">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90"/>
      </w:tblGrid>
      <w:tr w:rsidR="009B5B5A" w:rsidRPr="005A2569" w:rsidTr="00AE7688">
        <w:trPr>
          <w:trHeight w:val="1338"/>
        </w:trPr>
        <w:tc>
          <w:tcPr>
            <w:tcW w:w="9289" w:type="dxa"/>
          </w:tcPr>
          <w:p w:rsidR="009B5B5A" w:rsidRPr="005A2569" w:rsidRDefault="009B5B5A" w:rsidP="00AE7688">
            <w:r w:rsidRPr="005A2569">
              <w:t>С установяването на услугите по техническа поддръжка се определят следните цели:</w:t>
            </w:r>
          </w:p>
          <w:p w:rsidR="009B5B5A" w:rsidRPr="00D056BF" w:rsidRDefault="009B5B5A" w:rsidP="00BB37DE">
            <w:pPr>
              <w:pStyle w:val="CM4"/>
              <w:spacing w:after="120"/>
              <w:ind w:left="227"/>
              <w:rPr>
                <w:rFonts w:ascii="Times New Roman" w:hAnsi="Times New Roman"/>
                <w:szCs w:val="22"/>
              </w:rPr>
            </w:pPr>
            <w:r>
              <w:rPr>
                <w:rFonts w:ascii="Times New Roman" w:hAnsi="Times New Roman"/>
              </w:rPr>
              <w:t>а) насърчаване на осведомеността за различните пазари чрез предоставяне на проучване на държавата и пазара и изготвяне на статистически доклад относно ключови целеви държави, изброени по тематичен приоритет 2 от годишната работна програма;</w:t>
            </w:r>
          </w:p>
          <w:p w:rsidR="009B5B5A" w:rsidRPr="00D056BF" w:rsidRDefault="009B5B5A" w:rsidP="00BB37DE">
            <w:pPr>
              <w:pStyle w:val="CM4"/>
              <w:spacing w:after="120"/>
              <w:ind w:left="227"/>
              <w:rPr>
                <w:rFonts w:ascii="Times New Roman" w:hAnsi="Times New Roman"/>
                <w:szCs w:val="22"/>
              </w:rPr>
            </w:pPr>
            <w:r>
              <w:rPr>
                <w:rFonts w:ascii="Times New Roman" w:hAnsi="Times New Roman"/>
              </w:rPr>
              <w:t>б) поддържане на динамична браншова мрежа, свързана с политиката за информиране и насърчаване, включително чрез предоставяне на консултации на сектора във връзка със заплахата от имитации и фалшиви продукти в трети държави, конкретно чрез публикуване на съответната информация на информационен портал;</w:t>
            </w:r>
          </w:p>
          <w:p w:rsidR="009B5B5A" w:rsidRPr="005A2569" w:rsidRDefault="009B5B5A" w:rsidP="00BB37DE">
            <w:pPr>
              <w:pStyle w:val="ListParagraph"/>
              <w:spacing w:line="276" w:lineRule="auto"/>
              <w:ind w:left="227"/>
            </w:pPr>
            <w:r w:rsidRPr="005A2569">
              <w:t>в) подобряване на осведомеността за правилата на Съюза, свързани с разработването и изпълнението на програмите, главно чрез предоставяне на адекватна информация по интернет, организиране или участие в събития и насърчаване на развитието на мрежа от оператори на селскостопански хранителни продукти с цел подпомагане на операторите да вземат участие в съфинансирани програми, за провеждане на ефективни кампании или развиване на дейностите им в областта на износа.</w:t>
            </w:r>
          </w:p>
          <w:p w:rsidR="009B5B5A" w:rsidRPr="005A2569" w:rsidRDefault="009B5B5A" w:rsidP="00AE7688">
            <w:pPr>
              <w:spacing w:line="276" w:lineRule="auto"/>
            </w:pPr>
            <w:r w:rsidRPr="005A2569">
              <w:t>Предвидените договори са свързани със създаването на мрежов портал, проучване на пазара, държавата и изготвяне на статистически доклад, както и други комуникационни дейности, като например организиране на събития.</w:t>
            </w:r>
          </w:p>
        </w:tc>
      </w:tr>
    </w:tbl>
    <w:p w:rsidR="009B5B5A" w:rsidRPr="00D056BF" w:rsidRDefault="009B5B5A" w:rsidP="00916A74">
      <w:pPr>
        <w:rPr>
          <w:i/>
          <w:sz w:val="22"/>
        </w:rPr>
      </w:pPr>
      <w:r>
        <w:t xml:space="preserve">Видове договори </w:t>
      </w:r>
    </w:p>
    <w:tbl>
      <w:tblPr>
        <w:tblW w:w="5000" w:type="pct"/>
        <w:tblCellSpacing w:w="0" w:type="dxa"/>
        <w:tblBorders>
          <w:top w:val="single" w:sz="2" w:space="0" w:color="000000"/>
          <w:left w:val="single" w:sz="2" w:space="0" w:color="000000"/>
          <w:bottom w:val="single" w:sz="2" w:space="0" w:color="000000"/>
          <w:right w:val="single" w:sz="2" w:space="0" w:color="000000"/>
        </w:tblBorders>
        <w:tblLayout w:type="fixed"/>
        <w:tblLook w:val="00A0"/>
      </w:tblPr>
      <w:tblGrid>
        <w:gridCol w:w="9103"/>
      </w:tblGrid>
      <w:tr w:rsidR="009B5B5A" w:rsidRPr="005A2569" w:rsidTr="00AE7688">
        <w:trPr>
          <w:tblCellSpacing w:w="0" w:type="dxa"/>
        </w:trPr>
        <w:tc>
          <w:tcPr>
            <w:tcW w:w="9113" w:type="dxa"/>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AE7688">
            <w:r w:rsidRPr="005A2569">
              <w:t>Наличен рамков договор за предоставяне на услуги;</w:t>
            </w:r>
          </w:p>
          <w:p w:rsidR="009B5B5A" w:rsidRPr="005A2569" w:rsidRDefault="009B5B5A" w:rsidP="00AE7688">
            <w:r w:rsidRPr="005A2569">
              <w:t>Нов рамков договор за предоставяне на услуги;</w:t>
            </w:r>
          </w:p>
          <w:p w:rsidR="009B5B5A" w:rsidRPr="005A2569" w:rsidRDefault="009B5B5A" w:rsidP="00AE7688">
            <w:r w:rsidRPr="005A2569">
              <w:t>Договор за пряко предоставяне на услуги.</w:t>
            </w:r>
          </w:p>
        </w:tc>
      </w:tr>
    </w:tbl>
    <w:p w:rsidR="009B5B5A" w:rsidRPr="00D056BF" w:rsidRDefault="009B5B5A" w:rsidP="00916A74">
      <w:pPr>
        <w:rPr>
          <w:sz w:val="22"/>
        </w:rPr>
      </w:pPr>
      <w:r>
        <w:t>Прогнозен брой договори: 3-4 отделни договора, основани на съществуващи рамкови договори, 1 нов рамков договор или договор за пряко предоставяне на услуги</w:t>
      </w:r>
    </w:p>
    <w:p w:rsidR="009B5B5A" w:rsidRPr="00D056BF" w:rsidRDefault="009B5B5A" w:rsidP="00916A74">
      <w:r>
        <w:t>Индикативен график за обявяване на обществени поръчки</w:t>
      </w:r>
    </w:p>
    <w:tbl>
      <w:tblPr>
        <w:tblW w:w="5050" w:type="pct"/>
        <w:tblCellSpacing w:w="0" w:type="dxa"/>
        <w:tblInd w:w="-100" w:type="dxa"/>
        <w:tblBorders>
          <w:top w:val="single" w:sz="2" w:space="0" w:color="000000"/>
          <w:left w:val="single" w:sz="2" w:space="0" w:color="000000"/>
          <w:bottom w:val="single" w:sz="2" w:space="0" w:color="000000"/>
          <w:right w:val="single" w:sz="2" w:space="0" w:color="000000"/>
        </w:tblBorders>
        <w:tblLook w:val="00A0"/>
      </w:tblPr>
      <w:tblGrid>
        <w:gridCol w:w="9194"/>
      </w:tblGrid>
      <w:tr w:rsidR="009B5B5A" w:rsidRPr="005A2569" w:rsidTr="00AE7688">
        <w:trPr>
          <w:tblCellSpacing w:w="0" w:type="dxa"/>
        </w:trPr>
        <w:tc>
          <w:tcPr>
            <w:tcW w:w="5000" w:type="pct"/>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AE7688">
            <w:pPr>
              <w:rPr>
                <w:rStyle w:val="Marker"/>
                <w:color w:val="auto"/>
              </w:rPr>
            </w:pPr>
            <w:r w:rsidRPr="005A2569">
              <w:rPr>
                <w:rStyle w:val="Marker"/>
                <w:color w:val="auto"/>
              </w:rPr>
              <w:t>Първо тримесечие: 1 отделен договор; Трето тримесечие: 2 отделни договора</w:t>
            </w:r>
          </w:p>
          <w:p w:rsidR="009B5B5A" w:rsidRPr="005A2569" w:rsidRDefault="009B5B5A" w:rsidP="00AE7688">
            <w:pPr>
              <w:spacing w:after="200" w:line="276" w:lineRule="auto"/>
            </w:pPr>
            <w:r w:rsidRPr="005A2569">
              <w:rPr>
                <w:rStyle w:val="Marker"/>
                <w:color w:val="auto"/>
              </w:rPr>
              <w:t xml:space="preserve">Трето тримесечие: нов </w:t>
            </w:r>
            <w:r w:rsidRPr="005A2569">
              <w:t>рамков договор</w:t>
            </w:r>
            <w:r w:rsidRPr="005A2569">
              <w:rPr>
                <w:rStyle w:val="Marker"/>
                <w:color w:val="auto"/>
              </w:rPr>
              <w:t xml:space="preserve"> или договор за пряко предоставяне на услуги.</w:t>
            </w:r>
          </w:p>
        </w:tc>
      </w:tr>
    </w:tbl>
    <w:p w:rsidR="009B5B5A" w:rsidRPr="00D056BF" w:rsidRDefault="009B5B5A" w:rsidP="00916A74">
      <w:pPr>
        <w:rPr>
          <w:sz w:val="22"/>
        </w:rPr>
      </w:pPr>
      <w:r>
        <w:t xml:space="preserve">Изпълнение </w:t>
      </w:r>
    </w:p>
    <w:tbl>
      <w:tblPr>
        <w:tblW w:w="5050" w:type="pct"/>
        <w:tblCellSpacing w:w="0" w:type="dxa"/>
        <w:tblInd w:w="-100" w:type="dxa"/>
        <w:tblBorders>
          <w:top w:val="single" w:sz="2" w:space="0" w:color="000000"/>
          <w:left w:val="single" w:sz="2" w:space="0" w:color="000000"/>
          <w:bottom w:val="single" w:sz="2" w:space="0" w:color="000000"/>
          <w:right w:val="single" w:sz="2" w:space="0" w:color="000000"/>
        </w:tblBorders>
        <w:tblLook w:val="00A0"/>
      </w:tblPr>
      <w:tblGrid>
        <w:gridCol w:w="9194"/>
      </w:tblGrid>
      <w:tr w:rsidR="009B5B5A" w:rsidRPr="005A2569" w:rsidTr="00AE7688">
        <w:trPr>
          <w:tblCellSpacing w:w="0" w:type="dxa"/>
        </w:trPr>
        <w:tc>
          <w:tcPr>
            <w:tcW w:w="5000" w:type="pct"/>
            <w:tcBorders>
              <w:top w:val="single" w:sz="2" w:space="0" w:color="000000"/>
              <w:left w:val="nil"/>
              <w:bottom w:val="nil"/>
              <w:right w:val="nil"/>
            </w:tcBorders>
            <w:tcMar>
              <w:top w:w="15" w:type="dxa"/>
              <w:left w:w="15" w:type="dxa"/>
              <w:bottom w:w="15" w:type="dxa"/>
              <w:right w:w="15" w:type="dxa"/>
            </w:tcMar>
          </w:tcPr>
          <w:p w:rsidR="009B5B5A" w:rsidRPr="005A2569" w:rsidRDefault="009B5B5A">
            <w:pPr>
              <w:spacing w:after="200" w:line="276" w:lineRule="auto"/>
            </w:pPr>
            <w:r w:rsidRPr="005A2569">
              <w:rPr>
                <w:rStyle w:val="Marker"/>
                <w:color w:val="auto"/>
              </w:rPr>
              <w:t>Изпълнение от Изпълнителната агенция за потребителите, здравеопазването, селското стопанство и храните (CHAFEA).</w:t>
            </w:r>
          </w:p>
        </w:tc>
        <w:bookmarkStart w:id="20" w:name="DQCNUMB_20"/>
        <w:bookmarkEnd w:id="20"/>
      </w:tr>
    </w:tbl>
    <w:p w:rsidR="009B5B5A" w:rsidRPr="00D056BF" w:rsidRDefault="009B5B5A" w:rsidP="00916A74">
      <w:pPr>
        <w:pStyle w:val="Heading3"/>
        <w:numPr>
          <w:ilvl w:val="2"/>
          <w:numId w:val="5"/>
        </w:numPr>
        <w:rPr>
          <w:rFonts w:eastAsia="Times New Roman"/>
        </w:rPr>
      </w:pPr>
      <w:bookmarkStart w:id="21" w:name="DQCNUMB_21"/>
      <w:bookmarkEnd w:id="21"/>
      <w:r>
        <w:t>Мерки за информиране и насърчаване в случай на сериозни смущения на пазара, загуба на доверието на потребителите или други специфични проблеми</w:t>
      </w:r>
    </w:p>
    <w:p w:rsidR="009B5B5A" w:rsidRPr="00D056BF" w:rsidRDefault="009B5B5A" w:rsidP="00916A74">
      <w:r>
        <w:t>Правно основание</w:t>
      </w:r>
    </w:p>
    <w:tbl>
      <w:tblPr>
        <w:tblW w:w="5000" w:type="pct"/>
        <w:tblCellSpacing w:w="0" w:type="dxa"/>
        <w:tblBorders>
          <w:top w:val="single" w:sz="2" w:space="0" w:color="000000"/>
          <w:left w:val="single" w:sz="2" w:space="0" w:color="000000"/>
          <w:bottom w:val="single" w:sz="2" w:space="0" w:color="000000"/>
          <w:right w:val="single" w:sz="2" w:space="0" w:color="000000"/>
        </w:tblBorders>
        <w:tblLayout w:type="fixed"/>
        <w:tblLook w:val="00A0"/>
      </w:tblPr>
      <w:tblGrid>
        <w:gridCol w:w="9103"/>
      </w:tblGrid>
      <w:tr w:rsidR="009B5B5A" w:rsidRPr="005A2569" w:rsidTr="00AE7688">
        <w:trPr>
          <w:tblCellSpacing w:w="0" w:type="dxa"/>
        </w:trPr>
        <w:tc>
          <w:tcPr>
            <w:tcW w:w="9113" w:type="dxa"/>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AE7688">
            <w:pPr>
              <w:spacing w:after="200" w:line="276" w:lineRule="auto"/>
            </w:pPr>
            <w:r>
              <w:rPr>
                <w:rStyle w:val="Marker"/>
                <w:color w:val="auto"/>
              </w:rPr>
              <w:t>Член 2, параграф 2, букв</w:t>
            </w:r>
            <w:r w:rsidRPr="005A2569">
              <w:rPr>
                <w:rStyle w:val="Marker"/>
                <w:color w:val="auto"/>
              </w:rPr>
              <w:t>а д) и член 9, параграф 1 от Регламент (ЕС) № 1144/2014.</w:t>
            </w:r>
          </w:p>
        </w:tc>
      </w:tr>
    </w:tbl>
    <w:p w:rsidR="009B5B5A" w:rsidRPr="00D056BF" w:rsidRDefault="009B5B5A" w:rsidP="00916A74">
      <w:pPr>
        <w:rPr>
          <w:sz w:val="22"/>
        </w:rPr>
      </w:pPr>
      <w:r>
        <w:t>Бюджетен ред</w:t>
      </w:r>
    </w:p>
    <w:tbl>
      <w:tblPr>
        <w:tblW w:w="5000" w:type="pct"/>
        <w:tblCellSpacing w:w="0" w:type="dxa"/>
        <w:tblBorders>
          <w:top w:val="single" w:sz="2" w:space="0" w:color="000000"/>
          <w:left w:val="single" w:sz="2" w:space="0" w:color="000000"/>
          <w:bottom w:val="single" w:sz="2" w:space="0" w:color="000000"/>
          <w:right w:val="single" w:sz="2" w:space="0" w:color="000000"/>
        </w:tblBorders>
        <w:tblLayout w:type="fixed"/>
        <w:tblLook w:val="00A0"/>
      </w:tblPr>
      <w:tblGrid>
        <w:gridCol w:w="9103"/>
      </w:tblGrid>
      <w:tr w:rsidR="009B5B5A" w:rsidRPr="005A2569" w:rsidTr="00AE7688">
        <w:trPr>
          <w:tblCellSpacing w:w="0" w:type="dxa"/>
        </w:trPr>
        <w:tc>
          <w:tcPr>
            <w:tcW w:w="9113" w:type="dxa"/>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AE7688">
            <w:pPr>
              <w:spacing w:after="200" w:line="276" w:lineRule="auto"/>
            </w:pPr>
            <w:r w:rsidRPr="005A2569">
              <w:rPr>
                <w:rStyle w:val="Marker"/>
                <w:color w:val="auto"/>
              </w:rPr>
              <w:t>05.02.10.02</w:t>
            </w:r>
          </w:p>
        </w:tc>
      </w:tr>
    </w:tbl>
    <w:p w:rsidR="009B5B5A" w:rsidRPr="00D056BF" w:rsidRDefault="009B5B5A" w:rsidP="00916A74">
      <w:pPr>
        <w:rPr>
          <w:i/>
          <w:sz w:val="22"/>
        </w:rPr>
      </w:pPr>
      <w:r>
        <w:t>Предмет на предвидените договори</w:t>
      </w:r>
      <w:r>
        <w:rPr>
          <w:i/>
        </w:rPr>
        <w:t xml:space="preserve">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90"/>
      </w:tblGrid>
      <w:tr w:rsidR="009B5B5A" w:rsidRPr="005A2569" w:rsidTr="00AE7688">
        <w:trPr>
          <w:trHeight w:val="1338"/>
        </w:trPr>
        <w:tc>
          <w:tcPr>
            <w:tcW w:w="9289" w:type="dxa"/>
          </w:tcPr>
          <w:p w:rsidR="009B5B5A" w:rsidRPr="005A2569" w:rsidRDefault="009B5B5A" w:rsidP="007F2A32">
            <w:pPr>
              <w:spacing w:line="276" w:lineRule="auto"/>
            </w:pPr>
            <w:r w:rsidRPr="005A2569">
              <w:t>В случай на сериозни смущения на пазара, загуба на потребителското доверие или други специфични проблеми целевите мерки за информиране и насърчаване следва да бъдат стартирани с цел възстановяване на нормалните пазарни условия. Тези мерки могат да бъдат по-специално под формата на информационни кампании, мисии на високо равнище, на участие чрез щандове в търговски панаири и изложения с международно значение или на други дейности, предназначени да подобрят репутацията за продуктите от Съюза.</w:t>
            </w:r>
          </w:p>
        </w:tc>
      </w:tr>
    </w:tbl>
    <w:p w:rsidR="009B5B5A" w:rsidRPr="00D056BF" w:rsidRDefault="009B5B5A" w:rsidP="00916A74">
      <w:pPr>
        <w:rPr>
          <w:i/>
          <w:sz w:val="22"/>
        </w:rPr>
      </w:pPr>
      <w:r>
        <w:t xml:space="preserve">Видове договори </w:t>
      </w:r>
    </w:p>
    <w:tbl>
      <w:tblPr>
        <w:tblW w:w="5000" w:type="pct"/>
        <w:tblCellSpacing w:w="0" w:type="dxa"/>
        <w:tblBorders>
          <w:top w:val="single" w:sz="2" w:space="0" w:color="000000"/>
          <w:left w:val="single" w:sz="2" w:space="0" w:color="000000"/>
          <w:bottom w:val="single" w:sz="2" w:space="0" w:color="000000"/>
          <w:right w:val="single" w:sz="2" w:space="0" w:color="000000"/>
        </w:tblBorders>
        <w:tblLayout w:type="fixed"/>
        <w:tblLook w:val="00A0"/>
      </w:tblPr>
      <w:tblGrid>
        <w:gridCol w:w="9103"/>
      </w:tblGrid>
      <w:tr w:rsidR="009B5B5A" w:rsidRPr="005A2569" w:rsidTr="00AE7688">
        <w:trPr>
          <w:tblCellSpacing w:w="0" w:type="dxa"/>
        </w:trPr>
        <w:tc>
          <w:tcPr>
            <w:tcW w:w="9113" w:type="dxa"/>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AE7688">
            <w:pPr>
              <w:spacing w:after="200" w:line="276" w:lineRule="auto"/>
            </w:pPr>
            <w:r w:rsidRPr="005A2569">
              <w:t>Съществуващи рамкови договори</w:t>
            </w:r>
          </w:p>
        </w:tc>
      </w:tr>
    </w:tbl>
    <w:p w:rsidR="009B5B5A" w:rsidRPr="00D056BF" w:rsidRDefault="009B5B5A" w:rsidP="00916A74">
      <w:pPr>
        <w:rPr>
          <w:sz w:val="22"/>
        </w:rPr>
      </w:pPr>
      <w:r>
        <w:t xml:space="preserve">Прогнозен брой договори: 1 отделен договор </w:t>
      </w:r>
    </w:p>
    <w:p w:rsidR="009B5B5A" w:rsidRPr="00D056BF" w:rsidRDefault="009B5B5A" w:rsidP="00916A74">
      <w:r>
        <w:t>Индикативен график за обявяване на обществени поръчки</w:t>
      </w:r>
    </w:p>
    <w:tbl>
      <w:tblPr>
        <w:tblW w:w="5050" w:type="pct"/>
        <w:tblCellSpacing w:w="0" w:type="dxa"/>
        <w:tblInd w:w="-100" w:type="dxa"/>
        <w:tblBorders>
          <w:top w:val="single" w:sz="2" w:space="0" w:color="000000"/>
          <w:left w:val="single" w:sz="2" w:space="0" w:color="000000"/>
          <w:bottom w:val="single" w:sz="2" w:space="0" w:color="000000"/>
          <w:right w:val="single" w:sz="2" w:space="0" w:color="000000"/>
        </w:tblBorders>
        <w:tblLook w:val="00A0"/>
      </w:tblPr>
      <w:tblGrid>
        <w:gridCol w:w="9194"/>
      </w:tblGrid>
      <w:tr w:rsidR="009B5B5A" w:rsidRPr="005A2569" w:rsidTr="00AE7688">
        <w:trPr>
          <w:tblCellSpacing w:w="0" w:type="dxa"/>
        </w:trPr>
        <w:tc>
          <w:tcPr>
            <w:tcW w:w="5000" w:type="pct"/>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7F2A32">
            <w:pPr>
              <w:spacing w:after="200" w:line="276" w:lineRule="auto"/>
            </w:pPr>
            <w:r w:rsidRPr="005A2569">
              <w:t>N/A: отделни договори ще се подписват само в случай на сериозни смущения на пазара, загуба на доверието на потребителите или други специфични проблеми</w:t>
            </w:r>
          </w:p>
        </w:tc>
      </w:tr>
    </w:tbl>
    <w:p w:rsidR="009B5B5A" w:rsidRPr="00D056BF" w:rsidRDefault="009B5B5A" w:rsidP="00916A74">
      <w:pPr>
        <w:rPr>
          <w:sz w:val="22"/>
        </w:rPr>
      </w:pPr>
      <w:r>
        <w:t xml:space="preserve">Изпълнение </w:t>
      </w:r>
    </w:p>
    <w:tbl>
      <w:tblPr>
        <w:tblW w:w="5050" w:type="pct"/>
        <w:tblCellSpacing w:w="0" w:type="dxa"/>
        <w:tblInd w:w="-100" w:type="dxa"/>
        <w:tblBorders>
          <w:top w:val="single" w:sz="2" w:space="0" w:color="000000"/>
          <w:left w:val="single" w:sz="2" w:space="0" w:color="000000"/>
          <w:bottom w:val="single" w:sz="2" w:space="0" w:color="000000"/>
          <w:right w:val="single" w:sz="2" w:space="0" w:color="000000"/>
        </w:tblBorders>
        <w:tblLook w:val="00A0"/>
      </w:tblPr>
      <w:tblGrid>
        <w:gridCol w:w="9194"/>
      </w:tblGrid>
      <w:tr w:rsidR="009B5B5A" w:rsidRPr="005A2569" w:rsidTr="00AE7688">
        <w:trPr>
          <w:tblCellSpacing w:w="0" w:type="dxa"/>
        </w:trPr>
        <w:tc>
          <w:tcPr>
            <w:tcW w:w="5000" w:type="pct"/>
            <w:tcBorders>
              <w:top w:val="single" w:sz="2" w:space="0" w:color="000000"/>
              <w:left w:val="nil"/>
              <w:bottom w:val="nil"/>
              <w:right w:val="nil"/>
            </w:tcBorders>
            <w:tcMar>
              <w:top w:w="15" w:type="dxa"/>
              <w:left w:w="15" w:type="dxa"/>
              <w:bottom w:w="15" w:type="dxa"/>
              <w:right w:w="15" w:type="dxa"/>
            </w:tcMar>
          </w:tcPr>
          <w:p w:rsidR="009B5B5A" w:rsidRPr="005A2569" w:rsidRDefault="009B5B5A" w:rsidP="00AE7688">
            <w:pPr>
              <w:spacing w:after="200" w:line="276" w:lineRule="auto"/>
            </w:pPr>
            <w:r w:rsidRPr="005A2569">
              <w:rPr>
                <w:rStyle w:val="Marker"/>
                <w:color w:val="auto"/>
              </w:rPr>
              <w:t>Изпълнение от Изпълнителната агенция за потребителите, здравеопазването, селското стопанство и храните (CHAFEA).</w:t>
            </w:r>
          </w:p>
        </w:tc>
      </w:tr>
    </w:tbl>
    <w:p w:rsidR="009B5B5A" w:rsidRPr="00D056BF" w:rsidRDefault="009B5B5A" w:rsidP="00916A74">
      <w:pPr>
        <w:pStyle w:val="Heading3"/>
        <w:numPr>
          <w:ilvl w:val="2"/>
          <w:numId w:val="5"/>
        </w:numPr>
        <w:rPr>
          <w:rFonts w:eastAsia="Times New Roman"/>
        </w:rPr>
      </w:pPr>
      <w:r>
        <w:t xml:space="preserve">Експерти </w:t>
      </w:r>
    </w:p>
    <w:p w:rsidR="009B5B5A" w:rsidRPr="00D056BF" w:rsidRDefault="009B5B5A" w:rsidP="00916A74">
      <w:r>
        <w:t>Правно основание</w:t>
      </w:r>
    </w:p>
    <w:tbl>
      <w:tblPr>
        <w:tblW w:w="5000" w:type="pct"/>
        <w:tblCellSpacing w:w="0" w:type="dxa"/>
        <w:tblBorders>
          <w:top w:val="single" w:sz="2" w:space="0" w:color="000000"/>
          <w:left w:val="single" w:sz="2" w:space="0" w:color="000000"/>
          <w:bottom w:val="single" w:sz="2" w:space="0" w:color="000000"/>
          <w:right w:val="single" w:sz="2" w:space="0" w:color="000000"/>
        </w:tblBorders>
        <w:tblLayout w:type="fixed"/>
        <w:tblLook w:val="00A0"/>
      </w:tblPr>
      <w:tblGrid>
        <w:gridCol w:w="9103"/>
      </w:tblGrid>
      <w:tr w:rsidR="009B5B5A" w:rsidRPr="005A2569" w:rsidTr="00AE7688">
        <w:trPr>
          <w:tblCellSpacing w:w="0" w:type="dxa"/>
        </w:trPr>
        <w:tc>
          <w:tcPr>
            <w:tcW w:w="9113" w:type="dxa"/>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AE7688">
            <w:pPr>
              <w:spacing w:after="200" w:line="276" w:lineRule="auto"/>
              <w:rPr>
                <w:rStyle w:val="Marker"/>
                <w:color w:val="auto"/>
              </w:rPr>
            </w:pPr>
            <w:r w:rsidRPr="005A2569">
              <w:rPr>
                <w:rStyle w:val="Marker"/>
                <w:color w:val="auto"/>
              </w:rPr>
              <w:t>Член 15, параграф 5 от Регламент (ЕС) № 1144/2014 г.;</w:t>
            </w:r>
          </w:p>
          <w:p w:rsidR="009B5B5A" w:rsidRPr="005A2569" w:rsidRDefault="009B5B5A" w:rsidP="00AE7688">
            <w:pPr>
              <w:spacing w:after="200" w:line="276" w:lineRule="auto"/>
            </w:pPr>
            <w:r w:rsidRPr="005A2569">
              <w:rPr>
                <w:rStyle w:val="Marker"/>
                <w:color w:val="auto"/>
              </w:rPr>
              <w:t>Член 133 от Регламент (ЕС, Евратом) № 966/2012.</w:t>
            </w:r>
          </w:p>
        </w:tc>
      </w:tr>
    </w:tbl>
    <w:p w:rsidR="009B5B5A" w:rsidRPr="00D056BF" w:rsidRDefault="009B5B5A" w:rsidP="00916A74">
      <w:pPr>
        <w:rPr>
          <w:sz w:val="22"/>
        </w:rPr>
      </w:pPr>
      <w:r>
        <w:t>Бюджетен ред</w:t>
      </w:r>
    </w:p>
    <w:tbl>
      <w:tblPr>
        <w:tblW w:w="5000" w:type="pct"/>
        <w:tblCellSpacing w:w="0" w:type="dxa"/>
        <w:tblBorders>
          <w:top w:val="single" w:sz="2" w:space="0" w:color="000000"/>
          <w:left w:val="single" w:sz="2" w:space="0" w:color="000000"/>
          <w:bottom w:val="single" w:sz="2" w:space="0" w:color="000000"/>
          <w:right w:val="single" w:sz="2" w:space="0" w:color="000000"/>
        </w:tblBorders>
        <w:tblLayout w:type="fixed"/>
        <w:tblLook w:val="00A0"/>
      </w:tblPr>
      <w:tblGrid>
        <w:gridCol w:w="9103"/>
      </w:tblGrid>
      <w:tr w:rsidR="009B5B5A" w:rsidRPr="005A2569" w:rsidTr="00AE7688">
        <w:trPr>
          <w:tblCellSpacing w:w="0" w:type="dxa"/>
        </w:trPr>
        <w:tc>
          <w:tcPr>
            <w:tcW w:w="9113" w:type="dxa"/>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AE7688">
            <w:pPr>
              <w:spacing w:after="200" w:line="276" w:lineRule="auto"/>
            </w:pPr>
            <w:r w:rsidRPr="005A2569">
              <w:rPr>
                <w:rStyle w:val="Marker"/>
                <w:color w:val="auto"/>
              </w:rPr>
              <w:t>05.02.10.02</w:t>
            </w:r>
          </w:p>
        </w:tc>
      </w:tr>
    </w:tbl>
    <w:p w:rsidR="009B5B5A" w:rsidRPr="00D056BF" w:rsidRDefault="009B5B5A" w:rsidP="00916A74">
      <w:pPr>
        <w:rPr>
          <w:i/>
          <w:sz w:val="22"/>
        </w:rPr>
      </w:pPr>
      <w:r>
        <w:t>Предмет на предвидените договори</w:t>
      </w:r>
      <w:r>
        <w:rPr>
          <w:i/>
        </w:rPr>
        <w:t xml:space="preserve">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90"/>
      </w:tblGrid>
      <w:tr w:rsidR="009B5B5A" w:rsidRPr="005A2569" w:rsidTr="00AE7688">
        <w:trPr>
          <w:trHeight w:val="1338"/>
        </w:trPr>
        <w:tc>
          <w:tcPr>
            <w:tcW w:w="9289" w:type="dxa"/>
          </w:tcPr>
          <w:p w:rsidR="009B5B5A" w:rsidRPr="005A2569" w:rsidRDefault="009B5B5A" w:rsidP="00AE7688">
            <w:pPr>
              <w:spacing w:line="276" w:lineRule="auto"/>
            </w:pPr>
            <w:r w:rsidRPr="005A2569">
              <w:rPr>
                <w:sz w:val="22"/>
              </w:rPr>
              <w:t>Експерти за предоставяне на техническа и лингвистична помощ в контекста на оценката на предложенията, подадени след покани за представяне на предложения в изпълнение на настоящата работна програма.</w:t>
            </w:r>
          </w:p>
        </w:tc>
      </w:tr>
    </w:tbl>
    <w:p w:rsidR="009B5B5A" w:rsidRPr="00D056BF" w:rsidRDefault="009B5B5A" w:rsidP="00916A74">
      <w:pPr>
        <w:rPr>
          <w:i/>
          <w:sz w:val="22"/>
        </w:rPr>
      </w:pPr>
      <w:r>
        <w:t xml:space="preserve">Видове договори </w:t>
      </w:r>
    </w:p>
    <w:tbl>
      <w:tblPr>
        <w:tblW w:w="5000" w:type="pct"/>
        <w:tblCellSpacing w:w="0" w:type="dxa"/>
        <w:tblBorders>
          <w:top w:val="single" w:sz="2" w:space="0" w:color="000000"/>
          <w:left w:val="single" w:sz="2" w:space="0" w:color="000000"/>
          <w:bottom w:val="single" w:sz="2" w:space="0" w:color="000000"/>
          <w:right w:val="single" w:sz="2" w:space="0" w:color="000000"/>
        </w:tblBorders>
        <w:tblLayout w:type="fixed"/>
        <w:tblLook w:val="00A0"/>
      </w:tblPr>
      <w:tblGrid>
        <w:gridCol w:w="9103"/>
      </w:tblGrid>
      <w:tr w:rsidR="009B5B5A" w:rsidRPr="005A2569" w:rsidTr="00AE7688">
        <w:trPr>
          <w:tblCellSpacing w:w="0" w:type="dxa"/>
        </w:trPr>
        <w:tc>
          <w:tcPr>
            <w:tcW w:w="9113" w:type="dxa"/>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AE7688">
            <w:pPr>
              <w:spacing w:after="200" w:line="276" w:lineRule="auto"/>
            </w:pPr>
            <w:r w:rsidRPr="005A2569">
              <w:t>Договор за предоставяне на услуги; подбор на експерти от списъка с проявилите интерес за участие (</w:t>
            </w:r>
            <w:r w:rsidRPr="005A2569">
              <w:rPr>
                <w:i/>
              </w:rPr>
              <w:t>appel à manifestation d’intérêt</w:t>
            </w:r>
            <w:r w:rsidRPr="005A2569">
              <w:t>)</w:t>
            </w:r>
          </w:p>
        </w:tc>
      </w:tr>
    </w:tbl>
    <w:p w:rsidR="009B5B5A" w:rsidRPr="00D056BF" w:rsidRDefault="009B5B5A" w:rsidP="00916A74">
      <w:pPr>
        <w:rPr>
          <w:sz w:val="22"/>
        </w:rPr>
      </w:pPr>
      <w:r>
        <w:t xml:space="preserve">Прогнозен брой договори: 50. </w:t>
      </w:r>
    </w:p>
    <w:p w:rsidR="009B5B5A" w:rsidRPr="00D056BF" w:rsidRDefault="009B5B5A" w:rsidP="00916A74">
      <w:r>
        <w:t>Индикативен график за обявяване на обществени поръчки</w:t>
      </w:r>
    </w:p>
    <w:tbl>
      <w:tblPr>
        <w:tblW w:w="5050" w:type="pct"/>
        <w:tblCellSpacing w:w="0" w:type="dxa"/>
        <w:tblInd w:w="-100" w:type="dxa"/>
        <w:tblBorders>
          <w:top w:val="single" w:sz="2" w:space="0" w:color="000000"/>
          <w:left w:val="single" w:sz="2" w:space="0" w:color="000000"/>
          <w:bottom w:val="single" w:sz="2" w:space="0" w:color="000000"/>
          <w:right w:val="single" w:sz="2" w:space="0" w:color="000000"/>
        </w:tblBorders>
        <w:tblLook w:val="00A0"/>
      </w:tblPr>
      <w:tblGrid>
        <w:gridCol w:w="9194"/>
      </w:tblGrid>
      <w:tr w:rsidR="009B5B5A" w:rsidRPr="005A2569" w:rsidTr="00AE7688">
        <w:trPr>
          <w:tblCellSpacing w:w="0" w:type="dxa"/>
        </w:trPr>
        <w:tc>
          <w:tcPr>
            <w:tcW w:w="5000" w:type="pct"/>
            <w:tcBorders>
              <w:top w:val="single" w:sz="2" w:space="0" w:color="000000"/>
              <w:left w:val="nil"/>
              <w:bottom w:val="single" w:sz="2" w:space="0" w:color="000000"/>
              <w:right w:val="nil"/>
            </w:tcBorders>
            <w:tcMar>
              <w:top w:w="15" w:type="dxa"/>
              <w:left w:w="15" w:type="dxa"/>
              <w:bottom w:w="15" w:type="dxa"/>
              <w:right w:w="15" w:type="dxa"/>
            </w:tcMar>
          </w:tcPr>
          <w:p w:rsidR="009B5B5A" w:rsidRPr="005A2569" w:rsidRDefault="009B5B5A" w:rsidP="00743651">
            <w:pPr>
              <w:spacing w:after="200" w:line="276" w:lineRule="auto"/>
            </w:pPr>
            <w:r w:rsidRPr="005A2569">
              <w:rPr>
                <w:sz w:val="22"/>
              </w:rPr>
              <w:t>Второ тримесечие на 2017 г.</w:t>
            </w:r>
          </w:p>
        </w:tc>
      </w:tr>
    </w:tbl>
    <w:p w:rsidR="009B5B5A" w:rsidRPr="00D056BF" w:rsidRDefault="009B5B5A" w:rsidP="00916A74">
      <w:pPr>
        <w:rPr>
          <w:sz w:val="22"/>
        </w:rPr>
      </w:pPr>
      <w:r>
        <w:t xml:space="preserve">Изпълнение </w:t>
      </w:r>
    </w:p>
    <w:tbl>
      <w:tblPr>
        <w:tblW w:w="5050" w:type="pct"/>
        <w:tblCellSpacing w:w="0" w:type="dxa"/>
        <w:tblInd w:w="-100" w:type="dxa"/>
        <w:tblBorders>
          <w:top w:val="single" w:sz="2" w:space="0" w:color="000000"/>
          <w:left w:val="single" w:sz="2" w:space="0" w:color="000000"/>
          <w:bottom w:val="single" w:sz="2" w:space="0" w:color="000000"/>
          <w:right w:val="single" w:sz="2" w:space="0" w:color="000000"/>
        </w:tblBorders>
        <w:tblLook w:val="00A0"/>
      </w:tblPr>
      <w:tblGrid>
        <w:gridCol w:w="9194"/>
      </w:tblGrid>
      <w:tr w:rsidR="009B5B5A" w:rsidRPr="005A2569" w:rsidTr="00AE7688">
        <w:trPr>
          <w:tblCellSpacing w:w="0" w:type="dxa"/>
        </w:trPr>
        <w:tc>
          <w:tcPr>
            <w:tcW w:w="5000" w:type="pct"/>
            <w:tcBorders>
              <w:top w:val="single" w:sz="2" w:space="0" w:color="000000"/>
              <w:left w:val="nil"/>
              <w:bottom w:val="nil"/>
              <w:right w:val="nil"/>
            </w:tcBorders>
            <w:tcMar>
              <w:top w:w="15" w:type="dxa"/>
              <w:left w:w="15" w:type="dxa"/>
              <w:bottom w:w="15" w:type="dxa"/>
              <w:right w:w="15" w:type="dxa"/>
            </w:tcMar>
          </w:tcPr>
          <w:p w:rsidR="009B5B5A" w:rsidRPr="005A2569" w:rsidRDefault="009B5B5A" w:rsidP="00AE7688">
            <w:pPr>
              <w:spacing w:after="200" w:line="276" w:lineRule="auto"/>
            </w:pPr>
            <w:r w:rsidRPr="005A2569">
              <w:rPr>
                <w:rStyle w:val="Marker"/>
                <w:color w:val="auto"/>
              </w:rPr>
              <w:t>Изпълнение от Изпълнителната агенция за потребителите, здравеопазването, селското стопанство и храните (CHAFEA).</w:t>
            </w:r>
          </w:p>
        </w:tc>
      </w:tr>
    </w:tbl>
    <w:p w:rsidR="009B5B5A" w:rsidRPr="00D056BF" w:rsidRDefault="009B5B5A" w:rsidP="00916A74">
      <w:pPr>
        <w:spacing w:before="0" w:after="200" w:line="276" w:lineRule="auto"/>
        <w:jc w:val="left"/>
        <w:rPr>
          <w:szCs w:val="24"/>
        </w:rPr>
      </w:pPr>
    </w:p>
    <w:p w:rsidR="009B5B5A" w:rsidRPr="00D056BF" w:rsidRDefault="009B5B5A" w:rsidP="00916A74">
      <w:pPr>
        <w:spacing w:before="0" w:after="200" w:line="276" w:lineRule="auto"/>
        <w:jc w:val="left"/>
        <w:rPr>
          <w:b/>
          <w:noProof/>
          <w:szCs w:val="24"/>
        </w:rPr>
      </w:pPr>
      <w:r>
        <w:br w:type="page"/>
      </w:r>
    </w:p>
    <w:p w:rsidR="009B5B5A" w:rsidRPr="00D056BF" w:rsidRDefault="009B5B5A" w:rsidP="00916A74">
      <w:pPr>
        <w:jc w:val="center"/>
        <w:rPr>
          <w:b/>
          <w:noProof/>
          <w:szCs w:val="24"/>
        </w:rPr>
      </w:pPr>
      <w:r>
        <w:rPr>
          <w:b/>
          <w:noProof/>
        </w:rPr>
        <w:t>ПРИЛОЖЕНИЕ II</w:t>
      </w:r>
    </w:p>
    <w:p w:rsidR="009B5B5A" w:rsidRPr="00073007" w:rsidRDefault="009B5B5A" w:rsidP="004C4420">
      <w:pPr>
        <w:spacing w:after="360"/>
        <w:jc w:val="center"/>
        <w:rPr>
          <w:b/>
          <w:szCs w:val="24"/>
        </w:rPr>
      </w:pPr>
      <w:r>
        <w:rPr>
          <w:b/>
        </w:rPr>
        <w:t>Критерии за финансово участие в обикновени програми, посочени в член 1</w:t>
      </w:r>
    </w:p>
    <w:p w:rsidR="009B5B5A" w:rsidRPr="00D056BF" w:rsidRDefault="009B5B5A" w:rsidP="00916A74">
      <w:pPr>
        <w:rPr>
          <w:szCs w:val="24"/>
        </w:rPr>
      </w:pPr>
      <w:r>
        <w:t xml:space="preserve">Финансовият регламент, Регламент (ЕС, Евратом) № 966/2012 и Правилника за прилагането му и Делегиран регламент (ЕС) № 1268/2012 на Комисията се прилагат при оценката на обикновени програми. </w:t>
      </w:r>
    </w:p>
    <w:p w:rsidR="009B5B5A" w:rsidRPr="00D056BF" w:rsidRDefault="009B5B5A" w:rsidP="00916A74">
      <w:pPr>
        <w:rPr>
          <w:szCs w:val="24"/>
        </w:rPr>
      </w:pPr>
      <w:r>
        <w:t>Предложенията се оценяват въз основа на четири категории критерии:</w:t>
      </w:r>
    </w:p>
    <w:p w:rsidR="009B5B5A" w:rsidRPr="004C4420" w:rsidRDefault="009B5B5A" w:rsidP="004C4420">
      <w:pPr>
        <w:pStyle w:val="ListParagraph"/>
        <w:numPr>
          <w:ilvl w:val="0"/>
          <w:numId w:val="32"/>
        </w:numPr>
        <w:ind w:left="357" w:hanging="357"/>
        <w:contextualSpacing w:val="0"/>
        <w:rPr>
          <w:szCs w:val="24"/>
        </w:rPr>
      </w:pPr>
      <w:r>
        <w:t>Критерии за допустимост, за да се определи дали даден кандидат има право да участва в поканата за представяне на предложения.</w:t>
      </w:r>
    </w:p>
    <w:p w:rsidR="009B5B5A" w:rsidRPr="004C4420" w:rsidRDefault="009B5B5A" w:rsidP="004C4420">
      <w:pPr>
        <w:pStyle w:val="ListParagraph"/>
        <w:numPr>
          <w:ilvl w:val="0"/>
          <w:numId w:val="32"/>
        </w:numPr>
        <w:ind w:left="357" w:hanging="357"/>
        <w:contextualSpacing w:val="0"/>
        <w:rPr>
          <w:szCs w:val="24"/>
        </w:rPr>
      </w:pPr>
      <w:r>
        <w:t>Критерии за изключване, за да елиминират от участие в процедурата или отпускането на средства кандидатите, които са в едно от положенията за отстраняване от участие, посочени по-долу.</w:t>
      </w:r>
    </w:p>
    <w:p w:rsidR="009B5B5A" w:rsidRPr="004C4420" w:rsidRDefault="009B5B5A" w:rsidP="004C4420">
      <w:pPr>
        <w:pStyle w:val="ListParagraph"/>
        <w:numPr>
          <w:ilvl w:val="0"/>
          <w:numId w:val="32"/>
        </w:numPr>
        <w:ind w:left="357" w:hanging="357"/>
        <w:contextualSpacing w:val="0"/>
        <w:rPr>
          <w:szCs w:val="24"/>
        </w:rPr>
      </w:pPr>
      <w:r>
        <w:t>Критерии за подбор, с цел оценка на финансовия и оперативния капацитет на кандидата за изпълнение на предложеното действие.</w:t>
      </w:r>
    </w:p>
    <w:p w:rsidR="009B5B5A" w:rsidRPr="004C4420" w:rsidRDefault="009B5B5A" w:rsidP="004C4420">
      <w:pPr>
        <w:pStyle w:val="ListParagraph"/>
        <w:numPr>
          <w:ilvl w:val="0"/>
          <w:numId w:val="32"/>
        </w:numPr>
        <w:ind w:left="357" w:hanging="357"/>
        <w:contextualSpacing w:val="0"/>
        <w:rPr>
          <w:szCs w:val="24"/>
        </w:rPr>
      </w:pPr>
      <w:r>
        <w:t>Критерии за възлагане, за да се оцени значимостта на обхвата на предложението за обявените приоритети и други аспекти на качеството, като се вземат предвид разходите.</w:t>
      </w:r>
    </w:p>
    <w:p w:rsidR="009B5B5A" w:rsidRPr="00D056BF" w:rsidRDefault="009B5B5A" w:rsidP="004C4420">
      <w:pPr>
        <w:spacing w:before="0" w:after="0"/>
        <w:rPr>
          <w:szCs w:val="24"/>
        </w:rPr>
      </w:pPr>
      <w:bookmarkStart w:id="22" w:name="DQCNUMB_22"/>
      <w:bookmarkEnd w:id="22"/>
    </w:p>
    <w:p w:rsidR="009B5B5A" w:rsidRPr="00D056BF" w:rsidRDefault="009B5B5A" w:rsidP="00AE7688">
      <w:pPr>
        <w:pStyle w:val="Point0number"/>
        <w:rPr>
          <w:b/>
        </w:rPr>
      </w:pPr>
      <w:bookmarkStart w:id="23" w:name="DQCNUMB_23"/>
      <w:bookmarkEnd w:id="23"/>
      <w:r>
        <w:rPr>
          <w:b/>
        </w:rPr>
        <w:t xml:space="preserve">Критерии за допустимост </w:t>
      </w:r>
    </w:p>
    <w:p w:rsidR="009B5B5A" w:rsidRPr="00D056BF" w:rsidRDefault="009B5B5A" w:rsidP="00AE7688">
      <w:pPr>
        <w:spacing w:before="0" w:after="240"/>
        <w:rPr>
          <w:szCs w:val="24"/>
        </w:rPr>
      </w:pPr>
      <w:bookmarkStart w:id="24" w:name="DQCNUMB_24"/>
      <w:bookmarkEnd w:id="24"/>
      <w:r>
        <w:t>Предложения за обикновени програми могат да бъдат подавани само от юридически лица или други лица, които могат да не притежават статут на юридическо лице съгласно приложимото национално законодателство, при условие че техните представители са упълномощени да поемат правни задължения от името на организацията и да гарантират закрила на финансовите интереси на Съюза, които са равностойни на тези, предлагани от юридически лица, както е посочено в член 131 (2) от регламент (Евратом, ЕС) № 966/2012. Такива юридически лица са:</w:t>
      </w:r>
    </w:p>
    <w:p w:rsidR="009B5B5A" w:rsidRPr="00D056BF" w:rsidRDefault="009B5B5A" w:rsidP="001225ED">
      <w:pPr>
        <w:pStyle w:val="Point0letter"/>
        <w:numPr>
          <w:ilvl w:val="0"/>
          <w:numId w:val="0"/>
        </w:numPr>
        <w:ind w:left="360"/>
      </w:pPr>
      <w:r>
        <w:t>а) една или повече предлагащи организации, изброени в член 7, параграф 1, букви а), в), или г) от Регламент (ЕС) № 1144/2014;</w:t>
      </w:r>
    </w:p>
    <w:p w:rsidR="009B5B5A" w:rsidRPr="00D056BF" w:rsidRDefault="009B5B5A" w:rsidP="001225ED">
      <w:pPr>
        <w:pStyle w:val="ListParagraph"/>
        <w:spacing w:before="0" w:after="240"/>
        <w:ind w:left="360"/>
        <w:rPr>
          <w:szCs w:val="24"/>
        </w:rPr>
      </w:pPr>
      <w:r>
        <w:t>б) представител на сектора или съответния продукт във връзка с предложението при спазване на условията, посочени в член 1, параграф 1 или член 1, параграф 2 от Делегиран регламент (ЕС) № 2015/1829</w:t>
      </w:r>
      <w:r>
        <w:rPr>
          <w:rStyle w:val="FootnoteReference"/>
          <w:noProof/>
        </w:rPr>
        <w:footnoteReference w:id="6"/>
      </w:r>
      <w:r>
        <w:t>.</w:t>
      </w:r>
    </w:p>
    <w:p w:rsidR="009B5B5A" w:rsidRPr="00D056BF" w:rsidRDefault="009B5B5A" w:rsidP="00A92A52">
      <w:r>
        <w:t>Кандидатите, които вече получават финансиране от Съюза за същите мерки за информиране и насърчаване, не са допустими за финансиране от Съюза за тези мерки, съгласно Регламент (ЕС) № 1144/2014.</w:t>
      </w:r>
    </w:p>
    <w:p w:rsidR="009B5B5A" w:rsidRPr="00D056BF" w:rsidRDefault="009B5B5A" w:rsidP="004C4420">
      <w:pPr>
        <w:autoSpaceDE w:val="0"/>
        <w:autoSpaceDN w:val="0"/>
        <w:adjustRightInd w:val="0"/>
        <w:jc w:val="left"/>
        <w:rPr>
          <w:szCs w:val="24"/>
        </w:rPr>
      </w:pPr>
      <w:r>
        <w:t>Освен това:</w:t>
      </w:r>
    </w:p>
    <w:p w:rsidR="009B5B5A" w:rsidRPr="00D056BF" w:rsidRDefault="009B5B5A" w:rsidP="00F32333">
      <w:pPr>
        <w:pStyle w:val="ListParagraph"/>
        <w:spacing w:before="0" w:after="240"/>
        <w:ind w:left="360"/>
        <w:rPr>
          <w:szCs w:val="24"/>
        </w:rPr>
      </w:pPr>
      <w:r>
        <w:t>а) предложенията могат да обхващат само продукти и схеми, посочени в член 5 от Регламент (ЕС) № 1144/2014;</w:t>
      </w:r>
    </w:p>
    <w:p w:rsidR="009B5B5A" w:rsidRPr="00D056BF" w:rsidRDefault="009B5B5A" w:rsidP="0068059C">
      <w:pPr>
        <w:pStyle w:val="ListParagraph"/>
        <w:spacing w:before="0" w:after="240"/>
        <w:ind w:left="360"/>
        <w:rPr>
          <w:szCs w:val="24"/>
        </w:rPr>
      </w:pPr>
      <w:r>
        <w:t>б) предложенията следва да гарантират, че мерките се прилагат чрез прилагащи организации, както е посочено в член 13 от Регламент (ЕС) № 1144/2014. Предлагащите организации трябва да изберат органи, отговорни за прилагането на програмите, гарантиращи най-добрата парична стойност (вж. член 2 на делегирания Регламент (ЕС) 2015/1829). Предлагащата организация се задължава, че органът, който отговаря за изпълнението на програмата следва да бъде избран най-късно преди подписването на договора (вж. член 10 от Регламент за изпълнение на Комисията (ЕС) 2015/1831</w:t>
      </w:r>
      <w:r>
        <w:footnoteReference w:id="7"/>
      </w:r>
      <w:r>
        <w:t>);</w:t>
      </w:r>
    </w:p>
    <w:p w:rsidR="009B5B5A" w:rsidRPr="00D056BF" w:rsidRDefault="009B5B5A" w:rsidP="0068059C">
      <w:pPr>
        <w:pStyle w:val="ListParagraph"/>
        <w:spacing w:before="0" w:after="240"/>
        <w:ind w:left="360"/>
        <w:rPr>
          <w:szCs w:val="24"/>
        </w:rPr>
      </w:pPr>
      <w:r>
        <w:t>в) в случай, че предлагащата организация предлага да изпълни самостоятелно определена част от предложението, следва да гарантира, че разходите за мярката, която тя планира да изпълни самостоятелно, не превишават обичайните пазарни цени.</w:t>
      </w:r>
    </w:p>
    <w:p w:rsidR="009B5B5A" w:rsidRPr="00D056BF" w:rsidRDefault="009B5B5A" w:rsidP="0068059C">
      <w:pPr>
        <w:pStyle w:val="ListParagraph"/>
        <w:spacing w:before="0" w:after="240"/>
        <w:ind w:left="360"/>
        <w:rPr>
          <w:szCs w:val="24"/>
        </w:rPr>
      </w:pPr>
      <w:r>
        <w:t>г) предложенията трябва да бъдат в съответствие с правото на Съюза относно съответните продукти и с всички разпоредби, описани в член 3, параграф 1 на Делегиран регламент (ЕС) 2015/1829;</w:t>
      </w:r>
    </w:p>
    <w:p w:rsidR="009B5B5A" w:rsidRPr="00D056BF" w:rsidRDefault="009B5B5A" w:rsidP="0068059C">
      <w:pPr>
        <w:pStyle w:val="ListParagraph"/>
        <w:spacing w:before="0" w:after="240"/>
        <w:ind w:left="360"/>
        <w:rPr>
          <w:szCs w:val="24"/>
        </w:rPr>
      </w:pPr>
      <w:r>
        <w:t>д) ако изпратено съобщение съдържа информация относно въздействие върху здравето, предложенията следва да бъдат в съответствие с правилата, посочени в член 3, параграф 2 от Делегиран Регламент (ЕС) 2015/1829;</w:t>
      </w:r>
    </w:p>
    <w:p w:rsidR="009B5B5A" w:rsidRPr="004C4420" w:rsidRDefault="009B5B5A" w:rsidP="0068059C">
      <w:pPr>
        <w:pStyle w:val="ListParagraph"/>
        <w:spacing w:before="0" w:after="240"/>
        <w:ind w:left="360"/>
        <w:rPr>
          <w:szCs w:val="24"/>
        </w:rPr>
      </w:pPr>
      <w:r>
        <w:t>е) ако предложението предвижда споменаване на произход или марки, то трябва да отговаря на правилата, посочени в Глава II от Регламента за изпълнение (ЕС) 2015/1831.</w:t>
      </w:r>
    </w:p>
    <w:p w:rsidR="009B5B5A" w:rsidRPr="00D056BF" w:rsidRDefault="009B5B5A" w:rsidP="004C4420">
      <w:pPr>
        <w:spacing w:before="0" w:after="0"/>
        <w:rPr>
          <w:szCs w:val="24"/>
        </w:rPr>
      </w:pPr>
    </w:p>
    <w:p w:rsidR="009B5B5A" w:rsidRPr="00D056BF" w:rsidRDefault="009B5B5A" w:rsidP="00AE7688">
      <w:pPr>
        <w:pStyle w:val="Point0number"/>
        <w:rPr>
          <w:b/>
        </w:rPr>
      </w:pPr>
      <w:bookmarkStart w:id="25" w:name="DQCNUMB_25"/>
      <w:bookmarkStart w:id="26" w:name="DQCNUMB_26"/>
      <w:bookmarkStart w:id="27" w:name="DQCNUMB_27"/>
      <w:bookmarkStart w:id="28" w:name="DQCNUMB_28"/>
      <w:bookmarkStart w:id="29" w:name="DQCNUMB_29"/>
      <w:bookmarkStart w:id="30" w:name="DQCNUMB_30"/>
      <w:bookmarkStart w:id="31" w:name="DQCNUMB_31"/>
      <w:bookmarkStart w:id="32" w:name="DQCNUMB_32"/>
      <w:bookmarkStart w:id="33" w:name="DQCNUMB_33"/>
      <w:bookmarkStart w:id="34" w:name="DQCNUMB_34"/>
      <w:bookmarkStart w:id="35" w:name="DQCNUMB_35"/>
      <w:bookmarkStart w:id="36" w:name="DQCNUMB_36"/>
      <w:bookmarkStart w:id="37" w:name="DQCNUMB_37"/>
      <w:bookmarkStart w:id="38" w:name="DQCNUMB_38"/>
      <w:bookmarkStart w:id="39" w:name="DQCNUMB_3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b/>
        </w:rPr>
        <w:t>Критерии за изключване</w:t>
      </w:r>
    </w:p>
    <w:p w:rsidR="009B5B5A" w:rsidRPr="00D056BF" w:rsidRDefault="009B5B5A" w:rsidP="00AE7688">
      <w:pPr>
        <w:pStyle w:val="Point0number"/>
        <w:numPr>
          <w:ilvl w:val="0"/>
          <w:numId w:val="0"/>
        </w:numPr>
      </w:pPr>
      <w:bookmarkStart w:id="40" w:name="DQCNUMB_40"/>
      <w:bookmarkEnd w:id="40"/>
      <w:r>
        <w:t>Кандидатите не следва да се намират в ситуации, предполагащи изключване, изброени в членове 106, параграф 1, 107, 108 и 109 от Регламент (ЕС) № 966/2012.</w:t>
      </w:r>
    </w:p>
    <w:p w:rsidR="009B5B5A" w:rsidRPr="00D056BF" w:rsidRDefault="009B5B5A" w:rsidP="004C4420">
      <w:pPr>
        <w:pStyle w:val="Point0number"/>
        <w:numPr>
          <w:ilvl w:val="0"/>
          <w:numId w:val="0"/>
        </w:numPr>
        <w:spacing w:before="0" w:after="0"/>
      </w:pPr>
    </w:p>
    <w:p w:rsidR="009B5B5A" w:rsidRPr="00D056BF" w:rsidRDefault="009B5B5A" w:rsidP="00AE7688">
      <w:pPr>
        <w:pStyle w:val="Point0number"/>
        <w:rPr>
          <w:b/>
        </w:rPr>
      </w:pPr>
      <w:bookmarkStart w:id="41" w:name="DQCNUMB_41"/>
      <w:bookmarkEnd w:id="41"/>
      <w:r>
        <w:rPr>
          <w:b/>
        </w:rPr>
        <w:t>Критерии за подбор</w:t>
      </w:r>
    </w:p>
    <w:p w:rsidR="009B5B5A" w:rsidRPr="00D056BF" w:rsidRDefault="009B5B5A" w:rsidP="00AE7688">
      <w:pPr>
        <w:rPr>
          <w:szCs w:val="24"/>
        </w:rPr>
      </w:pPr>
      <w:r>
        <w:t>Предлагащите организации трябва да притежават стабилни и достатъчни източници на финансиране за изпълнение на дейностите си по време на периода на осъществяване на програмата, както и да участват във финансирането й.</w:t>
      </w:r>
    </w:p>
    <w:p w:rsidR="009B5B5A" w:rsidRPr="00D056BF" w:rsidRDefault="009B5B5A" w:rsidP="00AE7688">
      <w:pPr>
        <w:rPr>
          <w:szCs w:val="24"/>
        </w:rPr>
      </w:pPr>
      <w:r>
        <w:t>Предлагащите организации трябва да притежават професионална компетентност и квалификация, необходими за изпълнението на програмата. В случай че предлагат да изпълнят самостоятелно определени части от предложението, те трябва да притежават най-малко три години опит в изпълнението на мерки за информиране и насърчаване.</w:t>
      </w:r>
    </w:p>
    <w:p w:rsidR="009B5B5A" w:rsidRPr="00D056BF" w:rsidRDefault="009B5B5A" w:rsidP="00AE7688">
      <w:pPr>
        <w:rPr>
          <w:szCs w:val="24"/>
        </w:rPr>
      </w:pPr>
      <w:r>
        <w:t>Критериите ще бъдат подробно разяснени в поканата за представяне на предложения.</w:t>
      </w:r>
    </w:p>
    <w:p w:rsidR="009B5B5A" w:rsidRPr="00D056BF" w:rsidRDefault="009B5B5A" w:rsidP="00AE7688">
      <w:pPr>
        <w:rPr>
          <w:szCs w:val="24"/>
        </w:rPr>
      </w:pPr>
    </w:p>
    <w:p w:rsidR="009B5B5A" w:rsidRPr="00D056BF" w:rsidRDefault="009B5B5A" w:rsidP="00AE7688">
      <w:pPr>
        <w:pStyle w:val="Point0number"/>
        <w:rPr>
          <w:b/>
        </w:rPr>
      </w:pPr>
      <w:bookmarkStart w:id="42" w:name="DQCNUMB_42"/>
      <w:bookmarkStart w:id="43" w:name="DQCNUMB_43"/>
      <w:bookmarkEnd w:id="42"/>
      <w:bookmarkEnd w:id="43"/>
      <w:r>
        <w:rPr>
          <w:b/>
        </w:rPr>
        <w:t>Критерии за отпускане на безвъзмездни средства</w:t>
      </w:r>
    </w:p>
    <w:p w:rsidR="009B5B5A" w:rsidRPr="00D056BF" w:rsidRDefault="009B5B5A" w:rsidP="00C156C8">
      <w:pPr>
        <w:autoSpaceDE w:val="0"/>
        <w:autoSpaceDN w:val="0"/>
        <w:adjustRightInd w:val="0"/>
        <w:spacing w:after="0"/>
        <w:jc w:val="left"/>
      </w:pPr>
      <w:bookmarkStart w:id="44" w:name="DQCNUMB_44"/>
      <w:bookmarkEnd w:id="44"/>
      <w:r>
        <w:t xml:space="preserve">За да бъде оценено въз основа на критериите за възлагане, предложението трябва да отговаря на критериите за допустимост, изключване и подбор.  </w:t>
      </w:r>
    </w:p>
    <w:p w:rsidR="009B5B5A" w:rsidRPr="00D056BF" w:rsidRDefault="009B5B5A" w:rsidP="00916A74">
      <w:pPr>
        <w:autoSpaceDE w:val="0"/>
        <w:autoSpaceDN w:val="0"/>
        <w:adjustRightInd w:val="0"/>
        <w:spacing w:after="0"/>
        <w:rPr>
          <w:szCs w:val="24"/>
        </w:rPr>
      </w:pPr>
      <w:r>
        <w:t>Ще бъдат прилагани следните критерии за възлагане:</w:t>
      </w:r>
    </w:p>
    <w:p w:rsidR="009B5B5A" w:rsidRPr="00A17365" w:rsidRDefault="009B5B5A" w:rsidP="0095781A">
      <w:pPr>
        <w:pStyle w:val="Point0letter"/>
        <w:numPr>
          <w:ilvl w:val="0"/>
          <w:numId w:val="0"/>
        </w:numPr>
        <w:ind w:left="360"/>
      </w:pPr>
      <w:r>
        <w:t>а) Европейско измерение (20 точки от 100; праг 14);</w:t>
      </w:r>
    </w:p>
    <w:p w:rsidR="009B5B5A" w:rsidRPr="00A17365" w:rsidRDefault="009B5B5A" w:rsidP="0095781A">
      <w:pPr>
        <w:pStyle w:val="Point0letter"/>
        <w:numPr>
          <w:ilvl w:val="0"/>
          <w:numId w:val="0"/>
        </w:numPr>
        <w:ind w:left="360"/>
      </w:pPr>
      <w:r>
        <w:t>б) Техническо качество на проекта (40 точки от 100; праг 24);</w:t>
      </w:r>
    </w:p>
    <w:p w:rsidR="009B5B5A" w:rsidRPr="00A17365" w:rsidRDefault="009B5B5A" w:rsidP="0095781A">
      <w:pPr>
        <w:pStyle w:val="Point0letter"/>
        <w:numPr>
          <w:ilvl w:val="0"/>
          <w:numId w:val="0"/>
        </w:numPr>
        <w:ind w:left="360"/>
      </w:pPr>
      <w:r>
        <w:t>в) Управление на качеството (10 точки от 100; праг 6);</w:t>
      </w:r>
    </w:p>
    <w:p w:rsidR="009B5B5A" w:rsidRPr="00D056BF" w:rsidRDefault="009B5B5A" w:rsidP="0095781A">
      <w:pPr>
        <w:pStyle w:val="Point0letter"/>
        <w:numPr>
          <w:ilvl w:val="0"/>
          <w:numId w:val="0"/>
        </w:numPr>
        <w:ind w:left="360"/>
      </w:pPr>
      <w:bookmarkStart w:id="45" w:name="DQCNUMB_45"/>
      <w:bookmarkEnd w:id="45"/>
      <w:r>
        <w:t>г) Бюджет и ефективност на разходите (30 точки от 100; праг 18).</w:t>
      </w:r>
    </w:p>
    <w:p w:rsidR="009B5B5A" w:rsidRPr="00D056BF" w:rsidRDefault="009B5B5A" w:rsidP="0007723D">
      <w:pPr>
        <w:autoSpaceDE w:val="0"/>
        <w:autoSpaceDN w:val="0"/>
        <w:adjustRightInd w:val="0"/>
        <w:spacing w:after="0"/>
        <w:rPr>
          <w:szCs w:val="24"/>
        </w:rPr>
      </w:pPr>
      <w:r>
        <w:t xml:space="preserve">Финансиране се предоставя на най-високо оценените предложения в списъка до изчерпване на наличния бюджет. </w:t>
      </w:r>
      <w:r>
        <w:rPr>
          <w:u w:val="single"/>
        </w:rPr>
        <w:t>Отделен списък с класиране</w:t>
      </w:r>
      <w:r>
        <w:t xml:space="preserve"> ще бъде разработен за </w:t>
      </w:r>
      <w:r>
        <w:rPr>
          <w:u w:val="single"/>
        </w:rPr>
        <w:t>всяка от приоритетните теми</w:t>
      </w:r>
      <w:r>
        <w:t xml:space="preserve">, изброени в Раздели 1.2.1.1 и 1.2.1.2 от годишната работна програма, определена в Приложение І. </w:t>
      </w:r>
    </w:p>
    <w:p w:rsidR="009B5B5A" w:rsidRPr="00D056BF" w:rsidRDefault="009B5B5A">
      <w:pPr>
        <w:autoSpaceDE w:val="0"/>
        <w:autoSpaceDN w:val="0"/>
        <w:adjustRightInd w:val="0"/>
        <w:spacing w:before="0" w:after="0"/>
        <w:rPr>
          <w:szCs w:val="24"/>
        </w:rPr>
      </w:pPr>
    </w:p>
    <w:p w:rsidR="009B5B5A" w:rsidRPr="00D056BF" w:rsidRDefault="009B5B5A">
      <w:pPr>
        <w:autoSpaceDE w:val="0"/>
        <w:autoSpaceDN w:val="0"/>
        <w:adjustRightInd w:val="0"/>
        <w:spacing w:before="0" w:after="0"/>
        <w:rPr>
          <w:szCs w:val="24"/>
        </w:rPr>
      </w:pPr>
      <w:r>
        <w:t xml:space="preserve">Следващите под-критерии трябва да бъдат взети под внимание при оценката на всеки от основните критерии за възлагане: </w:t>
      </w:r>
    </w:p>
    <w:p w:rsidR="009B5B5A" w:rsidRPr="00D056BF" w:rsidRDefault="009B5B5A" w:rsidP="002745D4">
      <w:pPr>
        <w:autoSpaceDE w:val="0"/>
        <w:autoSpaceDN w:val="0"/>
        <w:adjustRightInd w:val="0"/>
        <w:spacing w:after="0"/>
        <w:rPr>
          <w:szCs w:val="24"/>
        </w:rPr>
      </w:pPr>
      <w:r>
        <w:t xml:space="preserve">Европейско измерение </w:t>
      </w:r>
    </w:p>
    <w:p w:rsidR="009B5B5A" w:rsidRPr="00D056BF" w:rsidRDefault="009B5B5A" w:rsidP="005830E1">
      <w:pPr>
        <w:pStyle w:val="ListParagraph"/>
        <w:autoSpaceDE w:val="0"/>
        <w:autoSpaceDN w:val="0"/>
        <w:adjustRightInd w:val="0"/>
        <w:spacing w:after="0"/>
        <w:ind w:left="360"/>
        <w:rPr>
          <w:szCs w:val="24"/>
        </w:rPr>
      </w:pPr>
      <w:r>
        <w:t>а) Връзка на предложените информационни и промоционални мерки с общите и специфичните цели, изброени в член 2 от Регламент (ЕС) № 1144/2014, целите, изброени в член 3 от същия регламент, както и за приоритетите, целите и очакваните резултати, обявени по съответния тематичен приоритет;</w:t>
      </w:r>
    </w:p>
    <w:p w:rsidR="009B5B5A" w:rsidRPr="00D056BF" w:rsidRDefault="009B5B5A" w:rsidP="005830E1">
      <w:pPr>
        <w:pStyle w:val="ListParagraph"/>
        <w:autoSpaceDE w:val="0"/>
        <w:autoSpaceDN w:val="0"/>
        <w:adjustRightInd w:val="0"/>
        <w:spacing w:after="0"/>
        <w:ind w:left="360"/>
        <w:rPr>
          <w:szCs w:val="24"/>
        </w:rPr>
      </w:pPr>
      <w:r>
        <w:t>б) Послание на кампанията, свързано със Съюза;</w:t>
      </w:r>
    </w:p>
    <w:p w:rsidR="009B5B5A" w:rsidRPr="00D056BF" w:rsidRDefault="009B5B5A" w:rsidP="005830E1">
      <w:pPr>
        <w:pStyle w:val="ListParagraph"/>
        <w:autoSpaceDE w:val="0"/>
        <w:autoSpaceDN w:val="0"/>
        <w:adjustRightInd w:val="0"/>
        <w:spacing w:after="0"/>
        <w:ind w:left="360"/>
        <w:rPr>
          <w:szCs w:val="24"/>
        </w:rPr>
      </w:pPr>
      <w:r>
        <w:t>в) Въздействие на проекта на равнище ЕС.</w:t>
      </w:r>
    </w:p>
    <w:p w:rsidR="009B5B5A" w:rsidRPr="00D056BF" w:rsidRDefault="009B5B5A" w:rsidP="002745D4">
      <w:pPr>
        <w:autoSpaceDE w:val="0"/>
        <w:autoSpaceDN w:val="0"/>
        <w:adjustRightInd w:val="0"/>
        <w:spacing w:after="0"/>
        <w:rPr>
          <w:szCs w:val="24"/>
        </w:rPr>
      </w:pPr>
      <w:r>
        <w:t>Техническо качество</w:t>
      </w:r>
    </w:p>
    <w:p w:rsidR="009B5B5A" w:rsidRPr="00D056BF" w:rsidRDefault="009B5B5A" w:rsidP="005830E1">
      <w:pPr>
        <w:pStyle w:val="ListParagraph"/>
        <w:autoSpaceDE w:val="0"/>
        <w:autoSpaceDN w:val="0"/>
        <w:adjustRightInd w:val="0"/>
        <w:spacing w:after="0"/>
        <w:ind w:left="360"/>
        <w:rPr>
          <w:szCs w:val="24"/>
        </w:rPr>
      </w:pPr>
      <w:r>
        <w:t>а) Качество и приложимост на пазарния анализ;</w:t>
      </w:r>
    </w:p>
    <w:p w:rsidR="009B5B5A" w:rsidRPr="00D056BF" w:rsidRDefault="009B5B5A" w:rsidP="005830E1">
      <w:pPr>
        <w:pStyle w:val="ListParagraph"/>
        <w:autoSpaceDE w:val="0"/>
        <w:autoSpaceDN w:val="0"/>
        <w:adjustRightInd w:val="0"/>
        <w:spacing w:after="0"/>
        <w:ind w:left="360"/>
        <w:rPr>
          <w:szCs w:val="24"/>
        </w:rPr>
      </w:pPr>
      <w:r>
        <w:t>б) Уместност на програмната стратегия, цели и ключови послания;</w:t>
      </w:r>
    </w:p>
    <w:p w:rsidR="009B5B5A" w:rsidRPr="00D056BF" w:rsidRDefault="009B5B5A" w:rsidP="005830E1">
      <w:pPr>
        <w:pStyle w:val="ListParagraph"/>
        <w:autoSpaceDE w:val="0"/>
        <w:autoSpaceDN w:val="0"/>
        <w:adjustRightInd w:val="0"/>
        <w:spacing w:after="0"/>
        <w:ind w:left="360"/>
        <w:rPr>
          <w:szCs w:val="24"/>
        </w:rPr>
      </w:pPr>
      <w:r>
        <w:t>в) Подходящ избор на дейности във връзка с целите и стратегията на програмата, балансиран комуникационен микс, синергия между дейностите;</w:t>
      </w:r>
    </w:p>
    <w:p w:rsidR="009B5B5A" w:rsidRPr="00D056BF" w:rsidRDefault="009B5B5A" w:rsidP="005830E1">
      <w:pPr>
        <w:pStyle w:val="ListParagraph"/>
        <w:autoSpaceDE w:val="0"/>
        <w:autoSpaceDN w:val="0"/>
        <w:adjustRightInd w:val="0"/>
        <w:spacing w:after="0"/>
        <w:ind w:left="360"/>
        <w:rPr>
          <w:szCs w:val="24"/>
        </w:rPr>
      </w:pPr>
      <w:r>
        <w:t>г) Кратко описание на дейностите;</w:t>
      </w:r>
    </w:p>
    <w:p w:rsidR="009B5B5A" w:rsidRPr="00D056BF" w:rsidRDefault="009B5B5A" w:rsidP="005830E1">
      <w:pPr>
        <w:pStyle w:val="ListParagraph"/>
        <w:autoSpaceDE w:val="0"/>
        <w:autoSpaceDN w:val="0"/>
        <w:adjustRightInd w:val="0"/>
        <w:spacing w:after="0"/>
        <w:ind w:left="360"/>
        <w:rPr>
          <w:szCs w:val="24"/>
        </w:rPr>
      </w:pPr>
      <w:r>
        <w:t>д) Качество на предложените методи и показатели за оценяване.</w:t>
      </w:r>
    </w:p>
    <w:p w:rsidR="009B5B5A" w:rsidRPr="00D056BF" w:rsidRDefault="009B5B5A" w:rsidP="002745D4">
      <w:pPr>
        <w:autoSpaceDE w:val="0"/>
        <w:autoSpaceDN w:val="0"/>
        <w:adjustRightInd w:val="0"/>
        <w:spacing w:after="0"/>
        <w:rPr>
          <w:szCs w:val="24"/>
        </w:rPr>
      </w:pPr>
      <w:r>
        <w:t>Качество на управлението</w:t>
      </w:r>
    </w:p>
    <w:p w:rsidR="009B5B5A" w:rsidRPr="00D056BF" w:rsidRDefault="009B5B5A" w:rsidP="00783E50">
      <w:pPr>
        <w:pStyle w:val="ListParagraph"/>
        <w:autoSpaceDE w:val="0"/>
        <w:autoSpaceDN w:val="0"/>
        <w:adjustRightInd w:val="0"/>
        <w:spacing w:after="0"/>
        <w:ind w:left="360"/>
        <w:rPr>
          <w:szCs w:val="24"/>
        </w:rPr>
      </w:pPr>
      <w:r>
        <w:t>а) Управление на проекта и структура на управление;</w:t>
      </w:r>
    </w:p>
    <w:p w:rsidR="009B5B5A" w:rsidRPr="00D056BF" w:rsidRDefault="009B5B5A" w:rsidP="00783E50">
      <w:pPr>
        <w:pStyle w:val="ListParagraph"/>
        <w:autoSpaceDE w:val="0"/>
        <w:autoSpaceDN w:val="0"/>
        <w:adjustRightInd w:val="0"/>
        <w:spacing w:after="0"/>
        <w:ind w:left="360"/>
        <w:rPr>
          <w:szCs w:val="24"/>
        </w:rPr>
      </w:pPr>
      <w:r>
        <w:t>б) Механизми за контрол на качеството и управление на риска.</w:t>
      </w:r>
    </w:p>
    <w:p w:rsidR="009B5B5A" w:rsidRPr="00D056BF" w:rsidRDefault="009B5B5A" w:rsidP="002745D4">
      <w:pPr>
        <w:autoSpaceDE w:val="0"/>
        <w:autoSpaceDN w:val="0"/>
        <w:adjustRightInd w:val="0"/>
        <w:spacing w:after="0"/>
        <w:rPr>
          <w:szCs w:val="24"/>
        </w:rPr>
      </w:pPr>
      <w:r>
        <w:t>Бюджет и ефективност на разходите</w:t>
      </w:r>
    </w:p>
    <w:p w:rsidR="009B5B5A" w:rsidRPr="00D056BF" w:rsidRDefault="009B5B5A" w:rsidP="00783E50">
      <w:pPr>
        <w:pStyle w:val="ListParagraph"/>
        <w:autoSpaceDE w:val="0"/>
        <w:autoSpaceDN w:val="0"/>
        <w:adjustRightInd w:val="0"/>
        <w:spacing w:after="0"/>
        <w:ind w:left="360"/>
        <w:rPr>
          <w:szCs w:val="24"/>
        </w:rPr>
      </w:pPr>
      <w:r>
        <w:t xml:space="preserve">а) Възвращаемост на инвестициите; </w:t>
      </w:r>
    </w:p>
    <w:p w:rsidR="009B5B5A" w:rsidRPr="00D056BF" w:rsidRDefault="009B5B5A" w:rsidP="00783E50">
      <w:pPr>
        <w:pStyle w:val="ListParagraph"/>
        <w:autoSpaceDE w:val="0"/>
        <w:autoSpaceDN w:val="0"/>
        <w:adjustRightInd w:val="0"/>
        <w:spacing w:after="0"/>
        <w:ind w:left="360"/>
        <w:rPr>
          <w:szCs w:val="24"/>
        </w:rPr>
      </w:pPr>
      <w:r>
        <w:t>б) Балансирано разпределение на бюджета във връзка с целите и обхвата на дейностите;</w:t>
      </w:r>
    </w:p>
    <w:p w:rsidR="009B5B5A" w:rsidRPr="00D056BF" w:rsidRDefault="009B5B5A" w:rsidP="00783E50">
      <w:pPr>
        <w:pStyle w:val="ListParagraph"/>
        <w:autoSpaceDE w:val="0"/>
        <w:autoSpaceDN w:val="0"/>
        <w:adjustRightInd w:val="0"/>
        <w:spacing w:after="0"/>
        <w:ind w:left="360"/>
        <w:rPr>
          <w:szCs w:val="24"/>
        </w:rPr>
      </w:pPr>
      <w:r>
        <w:t>в) Съвместимост между очакваните разходи и получените резултати;</w:t>
      </w:r>
    </w:p>
    <w:p w:rsidR="009B5B5A" w:rsidRPr="00D056BF" w:rsidRDefault="009B5B5A" w:rsidP="00783E50">
      <w:pPr>
        <w:pStyle w:val="ListParagraph"/>
        <w:autoSpaceDE w:val="0"/>
        <w:autoSpaceDN w:val="0"/>
        <w:adjustRightInd w:val="0"/>
        <w:spacing w:after="0"/>
        <w:ind w:left="360"/>
        <w:rPr>
          <w:szCs w:val="24"/>
        </w:rPr>
      </w:pPr>
      <w:r>
        <w:t>г) Реалистично изчисление на хора/дни за дейностите, изпълнявани от предлагащата организация, включително разходи за координиране на проекта.</w:t>
      </w:r>
    </w:p>
    <w:p w:rsidR="009B5B5A" w:rsidRPr="00D056BF" w:rsidRDefault="009B5B5A" w:rsidP="0007723D">
      <w:pPr>
        <w:autoSpaceDE w:val="0"/>
        <w:autoSpaceDN w:val="0"/>
        <w:adjustRightInd w:val="0"/>
        <w:spacing w:after="0"/>
        <w:rPr>
          <w:szCs w:val="24"/>
        </w:rPr>
      </w:pPr>
    </w:p>
    <w:p w:rsidR="009B5B5A" w:rsidRPr="00D056BF" w:rsidRDefault="009B5B5A" w:rsidP="00916A74">
      <w:pPr>
        <w:autoSpaceDE w:val="0"/>
        <w:autoSpaceDN w:val="0"/>
        <w:adjustRightInd w:val="0"/>
        <w:spacing w:before="0" w:after="0" w:line="276" w:lineRule="auto"/>
        <w:rPr>
          <w:szCs w:val="24"/>
        </w:rPr>
      </w:pPr>
      <w:bookmarkStart w:id="46" w:name="DQCNUMB_46"/>
      <w:bookmarkStart w:id="47" w:name="DQCNUMB_47"/>
      <w:bookmarkStart w:id="48" w:name="DQCNUMB_48"/>
      <w:bookmarkStart w:id="49" w:name="DQCNUMB_49"/>
      <w:bookmarkStart w:id="50" w:name="DQCNUMB_50"/>
      <w:bookmarkStart w:id="51" w:name="DQCNUMB_51"/>
      <w:bookmarkStart w:id="52" w:name="DQCNUMB_52"/>
      <w:bookmarkStart w:id="53" w:name="DQCNUMB_53"/>
      <w:bookmarkEnd w:id="46"/>
      <w:bookmarkEnd w:id="47"/>
      <w:bookmarkEnd w:id="48"/>
      <w:bookmarkEnd w:id="49"/>
      <w:bookmarkEnd w:id="50"/>
      <w:bookmarkEnd w:id="51"/>
      <w:bookmarkEnd w:id="52"/>
      <w:bookmarkEnd w:id="53"/>
      <w:r>
        <w:t xml:space="preserve">Ако има две (или повече) предложения с еднакъв брой точки в един и същи списък с класирани проекти, тогава остава за финансиране предложението(ята), което дава възможност за диверсификация по отношение на продукти или целеви пазари. Това означава, че между двете </w:t>
      </w:r>
      <w:r>
        <w:rPr>
          <w:i/>
        </w:rPr>
        <w:t>ex aequo</w:t>
      </w:r>
      <w:r>
        <w:t xml:space="preserve"> предложения, Комисията първо избира това, чието съдържание (на първо място по отношение на продукти, на второ място по отношение на целевия пазар) все още не е представено в списъка с класирането. В случай, че този критерий не е достатъчен за разграничаване на проектните предложения, тогава Комисията трябва да избере първата програма, която получи най-висока оценка за отделните критерии за възлагане. Първо се сравняват резултатите за критерия „Европейско измерение“, след това за критерия „Техническо качество“ и накрая – за критерия „Бюджет и ефективност на разходите“.</w:t>
      </w:r>
    </w:p>
    <w:p w:rsidR="009B5B5A" w:rsidRPr="00D056BF" w:rsidRDefault="009B5B5A" w:rsidP="00916A74">
      <w:pPr>
        <w:autoSpaceDE w:val="0"/>
        <w:autoSpaceDN w:val="0"/>
        <w:adjustRightInd w:val="0"/>
        <w:spacing w:before="0" w:after="0" w:line="276" w:lineRule="auto"/>
        <w:jc w:val="left"/>
        <w:rPr>
          <w:szCs w:val="24"/>
        </w:rPr>
      </w:pPr>
      <w:bookmarkStart w:id="54" w:name="DQCNUMB_54"/>
      <w:bookmarkEnd w:id="54"/>
    </w:p>
    <w:p w:rsidR="009B5B5A" w:rsidRPr="00D056BF" w:rsidRDefault="009B5B5A" w:rsidP="00916A74">
      <w:pPr>
        <w:pStyle w:val="Point0number"/>
        <w:rPr>
          <w:b/>
        </w:rPr>
      </w:pPr>
      <w:bookmarkStart w:id="55" w:name="DQCNUMB_55"/>
      <w:bookmarkEnd w:id="55"/>
      <w:r>
        <w:rPr>
          <w:b/>
        </w:rPr>
        <w:t>Критерии за преразпределяне на предвидени суми</w:t>
      </w:r>
    </w:p>
    <w:p w:rsidR="009B5B5A" w:rsidRPr="00D056BF" w:rsidRDefault="009B5B5A" w:rsidP="00916A74">
      <w:r>
        <w:t>В случай, че по определена тема няма достатъчно предложения в списъка с класираните проекти, за които да се изразходва предвидената сума, останалите средства се преразпределят към други теми, съгласно следните критерии:</w:t>
      </w:r>
    </w:p>
    <w:p w:rsidR="009B5B5A" w:rsidRPr="00A17365" w:rsidRDefault="009B5B5A" w:rsidP="00C92464">
      <w:pPr>
        <w:pStyle w:val="Point0letter"/>
        <w:numPr>
          <w:ilvl w:val="0"/>
          <w:numId w:val="0"/>
        </w:numPr>
        <w:ind w:left="360"/>
      </w:pPr>
      <w:r>
        <w:t xml:space="preserve">а) общата оставаща предвидена сума за двете теми по вътрешния пазар се преразпределя за проекти, насочени към вътрешния пазар, получили най-високия брой точки, без значение темата, по която е кандидатствано; </w:t>
      </w:r>
    </w:p>
    <w:p w:rsidR="009B5B5A" w:rsidRPr="00A17365" w:rsidRDefault="009B5B5A" w:rsidP="00C92464">
      <w:pPr>
        <w:pStyle w:val="Point0letter"/>
        <w:numPr>
          <w:ilvl w:val="0"/>
          <w:numId w:val="0"/>
        </w:numPr>
        <w:ind w:left="360"/>
      </w:pPr>
      <w:r>
        <w:t>б) същият подход се прилага и към предложенията, насочени към трети държави (теми 3-7);</w:t>
      </w:r>
    </w:p>
    <w:p w:rsidR="009B5B5A" w:rsidRPr="00D056BF" w:rsidRDefault="009B5B5A" w:rsidP="00C92464">
      <w:pPr>
        <w:pStyle w:val="Point0letter"/>
        <w:numPr>
          <w:ilvl w:val="0"/>
          <w:numId w:val="0"/>
        </w:numPr>
        <w:ind w:left="360"/>
        <w:rPr>
          <w:szCs w:val="24"/>
        </w:rPr>
      </w:pPr>
      <w:r>
        <w:t>в) в случай, че предвидените средства все още не са разходвани, останалите суми за вътрешния пазар и третите държави се обединяват и разпределят към проекти с най-висок брой точки, без значение приоритета и темата на кандидатстване.</w:t>
      </w:r>
    </w:p>
    <w:p w:rsidR="009B5B5A" w:rsidRDefault="009B5B5A" w:rsidP="00916A74">
      <w:pPr>
        <w:autoSpaceDE w:val="0"/>
        <w:autoSpaceDN w:val="0"/>
        <w:adjustRightInd w:val="0"/>
        <w:spacing w:after="0"/>
        <w:rPr>
          <w:szCs w:val="24"/>
        </w:rPr>
      </w:pPr>
      <w:r>
        <w:t>Редът в списъка с класирането следва да се спазва стриктно.</w:t>
      </w:r>
    </w:p>
    <w:p w:rsidR="009B5B5A" w:rsidRPr="00D056BF" w:rsidRDefault="009B5B5A" w:rsidP="00916A74">
      <w:pPr>
        <w:autoSpaceDE w:val="0"/>
        <w:autoSpaceDN w:val="0"/>
        <w:adjustRightInd w:val="0"/>
        <w:spacing w:after="0"/>
        <w:rPr>
          <w:i/>
          <w:szCs w:val="24"/>
        </w:rPr>
      </w:pPr>
    </w:p>
    <w:p w:rsidR="009B5B5A" w:rsidRPr="00D056BF" w:rsidRDefault="009B5B5A" w:rsidP="00916A74">
      <w:pPr>
        <w:spacing w:before="0" w:after="200" w:line="276" w:lineRule="auto"/>
        <w:jc w:val="left"/>
        <w:rPr>
          <w:szCs w:val="24"/>
        </w:rPr>
      </w:pPr>
      <w:bookmarkStart w:id="56" w:name="DQCNUMB_56"/>
      <w:bookmarkEnd w:id="56"/>
      <w:r>
        <w:br w:type="page"/>
      </w:r>
    </w:p>
    <w:p w:rsidR="009B5B5A" w:rsidRPr="00BB37DE" w:rsidRDefault="009B5B5A" w:rsidP="00916A74">
      <w:pPr>
        <w:jc w:val="center"/>
        <w:rPr>
          <w:b/>
          <w:szCs w:val="24"/>
        </w:rPr>
      </w:pPr>
      <w:r>
        <w:rPr>
          <w:b/>
        </w:rPr>
        <w:t xml:space="preserve">ПРИЛОЖЕНИЕ ІІІ </w:t>
      </w:r>
    </w:p>
    <w:p w:rsidR="009B5B5A" w:rsidRPr="00BB37DE" w:rsidRDefault="009B5B5A" w:rsidP="008808A2">
      <w:pPr>
        <w:spacing w:after="360"/>
        <w:jc w:val="center"/>
        <w:rPr>
          <w:b/>
          <w:szCs w:val="24"/>
        </w:rPr>
      </w:pPr>
      <w:r>
        <w:rPr>
          <w:b/>
        </w:rPr>
        <w:t>Критерии за финансово участие в многонационални програми, посочени в член 1</w:t>
      </w:r>
    </w:p>
    <w:p w:rsidR="009B5B5A" w:rsidRPr="00D056BF" w:rsidRDefault="009B5B5A" w:rsidP="00916A74">
      <w:pPr>
        <w:rPr>
          <w:szCs w:val="24"/>
        </w:rPr>
      </w:pPr>
      <w:r>
        <w:t>Финансовият регламент, Регламент (ЕС, Евратом) № 966/2012 и Правилника за прилагането му и Делегиран регламент (ЕС) № 1268/2012 на Комисията се прилагат при оценката на многонационални програми.</w:t>
      </w:r>
    </w:p>
    <w:p w:rsidR="009B5B5A" w:rsidRPr="00D056BF" w:rsidRDefault="009B5B5A" w:rsidP="00916A74">
      <w:pPr>
        <w:rPr>
          <w:szCs w:val="24"/>
        </w:rPr>
      </w:pPr>
      <w:r>
        <w:t>Предложенията се оценяват въз основа на четири категории критерии:</w:t>
      </w:r>
    </w:p>
    <w:p w:rsidR="009B5B5A" w:rsidRPr="008808A2" w:rsidRDefault="009B5B5A" w:rsidP="008808A2">
      <w:pPr>
        <w:pStyle w:val="ListParagraph"/>
        <w:numPr>
          <w:ilvl w:val="0"/>
          <w:numId w:val="28"/>
        </w:numPr>
        <w:ind w:left="357" w:hanging="357"/>
        <w:contextualSpacing w:val="0"/>
        <w:rPr>
          <w:szCs w:val="24"/>
        </w:rPr>
      </w:pPr>
      <w:r>
        <w:t>Критерии за допустимост, за да се определи дали даден кандидат има право да участва в поканата за представяне на предложения.</w:t>
      </w:r>
    </w:p>
    <w:p w:rsidR="009B5B5A" w:rsidRPr="008808A2" w:rsidRDefault="009B5B5A" w:rsidP="008808A2">
      <w:pPr>
        <w:pStyle w:val="ListParagraph"/>
        <w:numPr>
          <w:ilvl w:val="0"/>
          <w:numId w:val="28"/>
        </w:numPr>
        <w:ind w:left="357" w:hanging="357"/>
        <w:contextualSpacing w:val="0"/>
        <w:rPr>
          <w:szCs w:val="24"/>
        </w:rPr>
      </w:pPr>
      <w:r>
        <w:t>Критерии за изключване, за да елиминират от участие в процедурата или отпускането на средства.</w:t>
      </w:r>
    </w:p>
    <w:p w:rsidR="009B5B5A" w:rsidRPr="008808A2" w:rsidRDefault="009B5B5A" w:rsidP="008808A2">
      <w:pPr>
        <w:pStyle w:val="ListParagraph"/>
        <w:numPr>
          <w:ilvl w:val="0"/>
          <w:numId w:val="28"/>
        </w:numPr>
        <w:ind w:left="357" w:hanging="357"/>
        <w:contextualSpacing w:val="0"/>
        <w:rPr>
          <w:szCs w:val="24"/>
        </w:rPr>
      </w:pPr>
      <w:r>
        <w:t>Критерии за подбор, с цел оценка на финансовия и оперативния капацитет на кандидата за изпълнение на предложеното действие.</w:t>
      </w:r>
    </w:p>
    <w:p w:rsidR="009B5B5A" w:rsidRPr="008808A2" w:rsidRDefault="009B5B5A" w:rsidP="008808A2">
      <w:pPr>
        <w:pStyle w:val="ListParagraph"/>
        <w:numPr>
          <w:ilvl w:val="0"/>
          <w:numId w:val="28"/>
        </w:numPr>
        <w:ind w:left="357" w:hanging="357"/>
        <w:contextualSpacing w:val="0"/>
        <w:rPr>
          <w:szCs w:val="24"/>
        </w:rPr>
      </w:pPr>
      <w:r>
        <w:t>Критерии за възлагане, за да се оцени значимостта на обхвата и качеството на предложението, като се вземат предвид разходите.</w:t>
      </w:r>
    </w:p>
    <w:p w:rsidR="009B5B5A" w:rsidRPr="00D056BF" w:rsidRDefault="009B5B5A" w:rsidP="00916A74">
      <w:pPr>
        <w:rPr>
          <w:szCs w:val="24"/>
        </w:rPr>
      </w:pPr>
    </w:p>
    <w:p w:rsidR="009B5B5A" w:rsidRPr="00D056BF" w:rsidRDefault="009B5B5A" w:rsidP="00916A74">
      <w:pPr>
        <w:pStyle w:val="Point0number"/>
        <w:numPr>
          <w:ilvl w:val="0"/>
          <w:numId w:val="8"/>
        </w:numPr>
        <w:rPr>
          <w:b/>
        </w:rPr>
      </w:pPr>
      <w:r>
        <w:rPr>
          <w:b/>
        </w:rPr>
        <w:t>Критерии за допустимост</w:t>
      </w:r>
    </w:p>
    <w:p w:rsidR="009B5B5A" w:rsidRPr="00D056BF" w:rsidRDefault="009B5B5A" w:rsidP="00AE7688">
      <w:pPr>
        <w:spacing w:before="0" w:after="240"/>
        <w:rPr>
          <w:szCs w:val="24"/>
        </w:rPr>
      </w:pPr>
      <w:r>
        <w:t>Предложения за многонационални програми могат да бъдат подавани само от юридически лица или образувания, които могат да не притежават статут на юридическо лице съгласно приложимото национално законодателство, при условие че техните представители са упълномощени да поемат правни задължения от името на организацията и да гарантират закрила на финансовите интереси на Съюза, които са равностойни на тези, предлагани от юридически лица, както е посочено в член 131 (2) от регламент (Евратом, ЕС) № 966/2012. Такива юридически лица са:</w:t>
      </w:r>
    </w:p>
    <w:p w:rsidR="009B5B5A" w:rsidRPr="00A17365" w:rsidRDefault="009B5B5A" w:rsidP="00F55A26">
      <w:pPr>
        <w:pStyle w:val="Point0letter"/>
        <w:numPr>
          <w:ilvl w:val="0"/>
          <w:numId w:val="0"/>
        </w:numPr>
        <w:ind w:left="360"/>
      </w:pPr>
      <w:r>
        <w:t>а) най-малко две предлагащи организации, посочени в член 7, параграф 1, букви а), в) или г) от Регламент (ЕС) № 1144/2014 от най-малко две държави членки или една или повече организации на Европейския съюз, посочени в член 7, параграф 1, буква б) от Регламент (ЕС) № 1144/2014;</w:t>
      </w:r>
    </w:p>
    <w:p w:rsidR="009B5B5A" w:rsidRPr="00D056BF" w:rsidRDefault="009B5B5A" w:rsidP="00F55A26">
      <w:pPr>
        <w:pStyle w:val="Point0letter"/>
        <w:numPr>
          <w:ilvl w:val="0"/>
          <w:numId w:val="0"/>
        </w:numPr>
        <w:ind w:left="360"/>
        <w:rPr>
          <w:szCs w:val="24"/>
        </w:rPr>
      </w:pPr>
      <w:r>
        <w:t>б) представител на сектора или съответния продукт във връзка с предложението при спазване на условията, посочени в членове 1.1 или 1.2 от Делегиран регламент (ЕС) № 2015/1829.</w:t>
      </w:r>
    </w:p>
    <w:p w:rsidR="009B5B5A" w:rsidRPr="00D056BF" w:rsidRDefault="009B5B5A" w:rsidP="00AE7688">
      <w:pPr>
        <w:spacing w:before="0" w:after="240"/>
        <w:ind w:left="783"/>
        <w:contextualSpacing/>
        <w:rPr>
          <w:szCs w:val="24"/>
        </w:rPr>
      </w:pPr>
    </w:p>
    <w:p w:rsidR="009B5B5A" w:rsidRPr="00D056BF" w:rsidRDefault="009B5B5A" w:rsidP="00C156C8">
      <w:pPr>
        <w:spacing w:before="0" w:after="240"/>
        <w:contextualSpacing/>
      </w:pPr>
      <w:r>
        <w:t>Кандидатите, които вече получават финансиране от Съюза за същите мерки за информиране и насърчаване, не са допустими за финансиране от Съюза за тези мерки, съгласно Регламент (ЕС) № 1144/2014.</w:t>
      </w:r>
    </w:p>
    <w:p w:rsidR="009B5B5A" w:rsidRPr="00D056BF" w:rsidRDefault="009B5B5A" w:rsidP="00C156C8">
      <w:pPr>
        <w:spacing w:before="0" w:after="240"/>
        <w:contextualSpacing/>
      </w:pPr>
    </w:p>
    <w:p w:rsidR="009B5B5A" w:rsidRPr="00D056BF" w:rsidRDefault="009B5B5A" w:rsidP="008808A2">
      <w:pPr>
        <w:autoSpaceDE w:val="0"/>
        <w:autoSpaceDN w:val="0"/>
        <w:adjustRightInd w:val="0"/>
        <w:jc w:val="left"/>
        <w:rPr>
          <w:szCs w:val="24"/>
        </w:rPr>
      </w:pPr>
      <w:r>
        <w:t>Освен това:</w:t>
      </w:r>
    </w:p>
    <w:p w:rsidR="009B5B5A" w:rsidRPr="00A17365" w:rsidRDefault="009B5B5A" w:rsidP="00944A52">
      <w:pPr>
        <w:pStyle w:val="Point0letter"/>
        <w:numPr>
          <w:ilvl w:val="0"/>
          <w:numId w:val="0"/>
        </w:numPr>
        <w:ind w:left="360"/>
      </w:pPr>
      <w:r>
        <w:t>а) предложенията могат да обхващат само продукти и схеми, посочени в член 5 от Регламент (ЕС) № 1144/2014;</w:t>
      </w:r>
    </w:p>
    <w:p w:rsidR="009B5B5A" w:rsidRPr="00A17365" w:rsidRDefault="009B5B5A" w:rsidP="00944A52">
      <w:pPr>
        <w:pStyle w:val="Point0letter"/>
        <w:numPr>
          <w:ilvl w:val="0"/>
          <w:numId w:val="0"/>
        </w:numPr>
        <w:ind w:left="360"/>
      </w:pPr>
      <w:r>
        <w:t>б) предложенията трябва да бъдат в съответствие с правото на Съюза относно съответните продукти и тяхното предлагане на пазара и да притежават Европейско измерение;</w:t>
      </w:r>
    </w:p>
    <w:p w:rsidR="009B5B5A" w:rsidRPr="00A17365" w:rsidRDefault="009B5B5A" w:rsidP="006010CC">
      <w:pPr>
        <w:pStyle w:val="Point0letter"/>
        <w:numPr>
          <w:ilvl w:val="0"/>
          <w:numId w:val="0"/>
        </w:numPr>
        <w:spacing w:before="20" w:after="0"/>
        <w:ind w:left="360"/>
      </w:pPr>
      <w:r>
        <w:t>в) предложения в рамките на вътрешния пазар, които обхващат една или повече схеми, както е посочено в член 5, параграф 4 от Регламент (ЕС) № 1144/2014, трябва да са съсредоточени върху схемата(ите) в основното си послание на Съюза. Когато в тази програма един или няколко продукта илюстрират тази схема или тези схеми, продуктът или продуктите трябва да присъстват като второстепенно послание спрямо главното послание на Съюза.</w:t>
      </w:r>
    </w:p>
    <w:p w:rsidR="009B5B5A" w:rsidRPr="00A17365" w:rsidRDefault="009B5B5A" w:rsidP="006010CC">
      <w:pPr>
        <w:pStyle w:val="Point0letter"/>
        <w:numPr>
          <w:ilvl w:val="0"/>
          <w:numId w:val="0"/>
        </w:numPr>
        <w:spacing w:before="20" w:after="0"/>
        <w:ind w:left="360"/>
      </w:pPr>
      <w:r>
        <w:t>г) Ако послание, предадено от многонационална програма се отнася за информация относно въздействието върху здравето, това съобщение трябва да:</w:t>
      </w:r>
    </w:p>
    <w:p w:rsidR="009B5B5A" w:rsidRPr="00A17365" w:rsidRDefault="009B5B5A" w:rsidP="008315ED">
      <w:pPr>
        <w:pStyle w:val="ListParagraph"/>
        <w:numPr>
          <w:ilvl w:val="0"/>
          <w:numId w:val="51"/>
        </w:numPr>
        <w:spacing w:before="20" w:after="0"/>
        <w:contextualSpacing w:val="0"/>
        <w:rPr>
          <w:szCs w:val="24"/>
        </w:rPr>
      </w:pPr>
      <w:r>
        <w:t>в рамките на вътрешния пазар, да бъде в съответствие с Приложението към Регламент (ЕО) № 1924/2006 на Европейския парламент и на Съвета</w:t>
      </w:r>
      <w:r>
        <w:rPr>
          <w:rStyle w:val="FootnoteReference"/>
        </w:rPr>
        <w:footnoteReference w:id="8"/>
      </w:r>
      <w:r>
        <w:t>, или да бъде прието от националния орган, който отговаря за здравеопазването в държавата членка, където се извършват дейностите;</w:t>
      </w:r>
    </w:p>
    <w:p w:rsidR="009B5B5A" w:rsidRPr="00A17365" w:rsidRDefault="009B5B5A" w:rsidP="008315ED">
      <w:pPr>
        <w:pStyle w:val="ListParagraph"/>
        <w:numPr>
          <w:ilvl w:val="0"/>
          <w:numId w:val="51"/>
        </w:numPr>
        <w:spacing w:before="20" w:after="0"/>
        <w:contextualSpacing w:val="0"/>
        <w:rPr>
          <w:szCs w:val="24"/>
        </w:rPr>
      </w:pPr>
      <w:r>
        <w:t>в трети държави — да бъде прието от националния орган в областта на общественото здравеопазване в държавата, в която се осъществяват операциите;</w:t>
      </w:r>
    </w:p>
    <w:p w:rsidR="009B5B5A" w:rsidRPr="00A17365" w:rsidRDefault="009B5B5A" w:rsidP="006010CC">
      <w:pPr>
        <w:pStyle w:val="Point0letter"/>
        <w:numPr>
          <w:ilvl w:val="0"/>
          <w:numId w:val="0"/>
        </w:numPr>
        <w:spacing w:before="20" w:after="0"/>
        <w:ind w:left="360"/>
      </w:pPr>
      <w:r>
        <w:t>д) ако предложението предлага да спомене произход или марки, то трябва да отговаря на правилата, посочени в глава II от Регламента за изпълнение (ЕС) 2015/1831.</w:t>
      </w:r>
    </w:p>
    <w:p w:rsidR="009B5B5A" w:rsidRPr="00D056BF" w:rsidRDefault="009B5B5A" w:rsidP="008315ED">
      <w:pPr>
        <w:spacing w:before="20" w:after="0"/>
      </w:pPr>
    </w:p>
    <w:p w:rsidR="009B5B5A" w:rsidRPr="00D056BF" w:rsidRDefault="009B5B5A" w:rsidP="008315ED">
      <w:pPr>
        <w:pStyle w:val="Point0number"/>
        <w:spacing w:before="20" w:after="0"/>
        <w:rPr>
          <w:b/>
        </w:rPr>
      </w:pPr>
      <w:r>
        <w:rPr>
          <w:b/>
        </w:rPr>
        <w:t>Критерии за изключване</w:t>
      </w:r>
    </w:p>
    <w:p w:rsidR="009B5B5A" w:rsidRPr="00D056BF" w:rsidRDefault="009B5B5A" w:rsidP="008315ED">
      <w:pPr>
        <w:pStyle w:val="Point0number"/>
        <w:numPr>
          <w:ilvl w:val="0"/>
          <w:numId w:val="0"/>
        </w:numPr>
        <w:spacing w:before="20" w:after="0"/>
      </w:pPr>
      <w:r>
        <w:t>Кандидатите не следва да се намират в ситуации, предполагащи изключване, изброени в членове 106, параграф 1, 107, 108 и 109 от Регламент (Евратом, ЕС) № 966/2012.</w:t>
      </w:r>
    </w:p>
    <w:p w:rsidR="009B5B5A" w:rsidRPr="00D056BF" w:rsidRDefault="009B5B5A" w:rsidP="008315ED">
      <w:pPr>
        <w:pStyle w:val="Point0number"/>
        <w:numPr>
          <w:ilvl w:val="0"/>
          <w:numId w:val="0"/>
        </w:numPr>
        <w:spacing w:before="20" w:after="0"/>
      </w:pPr>
    </w:p>
    <w:p w:rsidR="009B5B5A" w:rsidRPr="00D056BF" w:rsidRDefault="009B5B5A" w:rsidP="008315ED">
      <w:pPr>
        <w:pStyle w:val="Point0number"/>
        <w:spacing w:before="20" w:after="0"/>
        <w:rPr>
          <w:b/>
        </w:rPr>
      </w:pPr>
      <w:r>
        <w:rPr>
          <w:b/>
        </w:rPr>
        <w:t>Критерии за подбор</w:t>
      </w:r>
    </w:p>
    <w:p w:rsidR="009B5B5A" w:rsidRPr="00D056BF" w:rsidRDefault="009B5B5A" w:rsidP="008315ED">
      <w:pPr>
        <w:spacing w:before="20" w:after="0"/>
        <w:rPr>
          <w:szCs w:val="24"/>
        </w:rPr>
      </w:pPr>
      <w:r>
        <w:t>Предлагащите организации трябва да притежават стабилни и достатъчни източници на финансиране за изпълнение на дейностите си по време на периода на осъществяване на програмата, както и да участват във финансирането й.</w:t>
      </w:r>
    </w:p>
    <w:p w:rsidR="009B5B5A" w:rsidRPr="00D056BF" w:rsidRDefault="009B5B5A" w:rsidP="008315ED">
      <w:pPr>
        <w:spacing w:before="20" w:after="0"/>
        <w:rPr>
          <w:szCs w:val="24"/>
        </w:rPr>
      </w:pPr>
      <w:r>
        <w:t>Предлагащите организации трябва да притежават професионална компетентност и квалификация, необходими за изпълнението на програмата.</w:t>
      </w:r>
    </w:p>
    <w:p w:rsidR="009B5B5A" w:rsidRPr="00D056BF" w:rsidRDefault="009B5B5A" w:rsidP="008315ED">
      <w:pPr>
        <w:spacing w:before="20" w:after="0"/>
        <w:rPr>
          <w:szCs w:val="24"/>
        </w:rPr>
      </w:pPr>
      <w:r>
        <w:t>Критериите ще бъдат подробно разяснени в поканата за представяне на предложения.</w:t>
      </w:r>
    </w:p>
    <w:p w:rsidR="009B5B5A" w:rsidRPr="00D056BF" w:rsidRDefault="009B5B5A" w:rsidP="008315ED">
      <w:pPr>
        <w:spacing w:before="20" w:after="0"/>
        <w:rPr>
          <w:szCs w:val="24"/>
        </w:rPr>
      </w:pPr>
    </w:p>
    <w:p w:rsidR="009B5B5A" w:rsidRPr="00D056BF" w:rsidRDefault="009B5B5A" w:rsidP="008315ED">
      <w:pPr>
        <w:pStyle w:val="Point0number"/>
        <w:spacing w:before="20" w:after="0"/>
        <w:rPr>
          <w:b/>
        </w:rPr>
      </w:pPr>
      <w:r>
        <w:rPr>
          <w:b/>
        </w:rPr>
        <w:t>Критерии за отпускане на безвъзмездни средства</w:t>
      </w:r>
    </w:p>
    <w:p w:rsidR="009B5B5A" w:rsidRPr="00D056BF" w:rsidRDefault="009B5B5A" w:rsidP="008315ED">
      <w:pPr>
        <w:autoSpaceDE w:val="0"/>
        <w:autoSpaceDN w:val="0"/>
        <w:adjustRightInd w:val="0"/>
        <w:spacing w:before="20" w:after="0"/>
        <w:jc w:val="left"/>
        <w:rPr>
          <w:szCs w:val="24"/>
        </w:rPr>
      </w:pPr>
      <w:r>
        <w:t>За да бъде оценено въз основа на критериите за възлагане, предложението трябва да отговаря на критериите за допустимост, изключване и подбор.</w:t>
      </w:r>
    </w:p>
    <w:p w:rsidR="009B5B5A" w:rsidRPr="00D056BF" w:rsidRDefault="009B5B5A" w:rsidP="008315ED">
      <w:pPr>
        <w:autoSpaceDE w:val="0"/>
        <w:autoSpaceDN w:val="0"/>
        <w:adjustRightInd w:val="0"/>
        <w:spacing w:before="20" w:after="0"/>
        <w:rPr>
          <w:szCs w:val="24"/>
        </w:rPr>
      </w:pPr>
      <w:r>
        <w:t>Ще бъдат прилагани следните критерии за възлагане:</w:t>
      </w:r>
    </w:p>
    <w:p w:rsidR="009B5B5A" w:rsidRPr="00D056BF" w:rsidRDefault="009B5B5A" w:rsidP="000C2ABF">
      <w:pPr>
        <w:pStyle w:val="ListParagraph"/>
        <w:autoSpaceDE w:val="0"/>
        <w:autoSpaceDN w:val="0"/>
        <w:adjustRightInd w:val="0"/>
        <w:spacing w:before="20" w:after="0"/>
        <w:ind w:left="360"/>
        <w:contextualSpacing w:val="0"/>
        <w:rPr>
          <w:szCs w:val="24"/>
        </w:rPr>
      </w:pPr>
      <w:r>
        <w:t>а) Европейско измерение (20 точки от 100; праг 14);</w:t>
      </w:r>
    </w:p>
    <w:p w:rsidR="009B5B5A" w:rsidRPr="00D056BF" w:rsidRDefault="009B5B5A" w:rsidP="000C2ABF">
      <w:pPr>
        <w:pStyle w:val="ListParagraph"/>
        <w:autoSpaceDE w:val="0"/>
        <w:autoSpaceDN w:val="0"/>
        <w:adjustRightInd w:val="0"/>
        <w:spacing w:before="20" w:after="0"/>
        <w:ind w:left="360"/>
        <w:contextualSpacing w:val="0"/>
        <w:rPr>
          <w:szCs w:val="24"/>
        </w:rPr>
      </w:pPr>
      <w:r>
        <w:t>б) Техническо качество на проекта (40 точки от 100; праг 24);</w:t>
      </w:r>
    </w:p>
    <w:p w:rsidR="009B5B5A" w:rsidRPr="00D056BF" w:rsidRDefault="009B5B5A" w:rsidP="000C2ABF">
      <w:pPr>
        <w:pStyle w:val="ListParagraph"/>
        <w:autoSpaceDE w:val="0"/>
        <w:autoSpaceDN w:val="0"/>
        <w:adjustRightInd w:val="0"/>
        <w:spacing w:before="20" w:after="0"/>
        <w:ind w:left="360"/>
        <w:contextualSpacing w:val="0"/>
        <w:rPr>
          <w:szCs w:val="24"/>
        </w:rPr>
      </w:pPr>
      <w:r>
        <w:t>в) Управление на качеството (10 точки от 100; праг 6);</w:t>
      </w:r>
    </w:p>
    <w:p w:rsidR="009B5B5A" w:rsidRPr="00D056BF" w:rsidRDefault="009B5B5A" w:rsidP="000C2ABF">
      <w:pPr>
        <w:pStyle w:val="ListParagraph"/>
        <w:autoSpaceDE w:val="0"/>
        <w:autoSpaceDN w:val="0"/>
        <w:adjustRightInd w:val="0"/>
        <w:spacing w:before="20" w:after="0"/>
        <w:ind w:left="360"/>
        <w:contextualSpacing w:val="0"/>
        <w:rPr>
          <w:szCs w:val="24"/>
        </w:rPr>
      </w:pPr>
      <w:r>
        <w:t>г) Бюджет и ефективност на разходите (30 точки от 100; праг 18).</w:t>
      </w:r>
    </w:p>
    <w:p w:rsidR="009B5B5A" w:rsidRPr="00D056BF" w:rsidRDefault="009B5B5A" w:rsidP="008315ED">
      <w:pPr>
        <w:pStyle w:val="Tiret0"/>
        <w:numPr>
          <w:ilvl w:val="0"/>
          <w:numId w:val="0"/>
        </w:numPr>
        <w:spacing w:before="20" w:after="0"/>
      </w:pPr>
      <w:r>
        <w:t>Финансиране се предоставя на най-високо оценените предложения в списъка до изчерпване на наличния бюджет. Отделен списък с класиране ще бъде разработен за всяка от приоритетните теми, изброени в Раздели 1.2.1.3 на годишната работна програма, поместена в Приложение І.</w:t>
      </w:r>
    </w:p>
    <w:p w:rsidR="009B5B5A" w:rsidRPr="00D056BF" w:rsidRDefault="009B5B5A" w:rsidP="008315ED">
      <w:pPr>
        <w:pStyle w:val="Tiret0"/>
        <w:numPr>
          <w:ilvl w:val="0"/>
          <w:numId w:val="0"/>
        </w:numPr>
        <w:spacing w:before="20" w:after="0"/>
      </w:pPr>
      <w:r>
        <w:t>Следващите под-критерии трябва да бъдат взети под внимание при оценката на всеки от основните критерии за възлагане:</w:t>
      </w:r>
    </w:p>
    <w:p w:rsidR="009B5B5A" w:rsidRDefault="009B5B5A">
      <w:pPr>
        <w:spacing w:before="0" w:after="0"/>
        <w:jc w:val="left"/>
      </w:pPr>
      <w:r>
        <w:br w:type="page"/>
      </w:r>
    </w:p>
    <w:p w:rsidR="009B5B5A" w:rsidRPr="00D056BF" w:rsidRDefault="009B5B5A" w:rsidP="00494AB6">
      <w:pPr>
        <w:pStyle w:val="Tiret0"/>
        <w:numPr>
          <w:ilvl w:val="0"/>
          <w:numId w:val="0"/>
        </w:numPr>
        <w:ind w:left="850" w:hanging="850"/>
      </w:pPr>
      <w:r>
        <w:t>Европейско измерение:</w:t>
      </w:r>
    </w:p>
    <w:p w:rsidR="009B5B5A" w:rsidRPr="00A17365" w:rsidRDefault="009B5B5A" w:rsidP="00ED59DE">
      <w:pPr>
        <w:pStyle w:val="ListParagraph"/>
        <w:numPr>
          <w:ilvl w:val="0"/>
          <w:numId w:val="38"/>
        </w:numPr>
        <w:autoSpaceDE w:val="0"/>
        <w:autoSpaceDN w:val="0"/>
        <w:adjustRightInd w:val="0"/>
        <w:spacing w:after="0"/>
        <w:rPr>
          <w:szCs w:val="24"/>
        </w:rPr>
      </w:pPr>
      <w:r>
        <w:t>Връзка на предложените информационни и промоционални мерки с общите и специфичните цели, изброени в член 2 от Регламент (ЕС) № 1144/2014, целите, изброени в член 3 от същия регламент, както и за приоритетите, целите и очакваните резултати, обявени по съответния тематичен приоритет;</w:t>
      </w:r>
    </w:p>
    <w:p w:rsidR="009B5B5A" w:rsidRPr="00A17365" w:rsidRDefault="009B5B5A" w:rsidP="00ED59DE">
      <w:pPr>
        <w:pStyle w:val="ListParagraph"/>
        <w:autoSpaceDE w:val="0"/>
        <w:autoSpaceDN w:val="0"/>
        <w:adjustRightInd w:val="0"/>
        <w:spacing w:after="0"/>
        <w:ind w:left="360"/>
        <w:rPr>
          <w:szCs w:val="24"/>
        </w:rPr>
      </w:pPr>
      <w:r>
        <w:t>б)  Послание на кампанията, свързано със Съюза;</w:t>
      </w:r>
    </w:p>
    <w:p w:rsidR="009B5B5A" w:rsidRPr="00D056BF" w:rsidRDefault="009B5B5A" w:rsidP="00ED59DE">
      <w:pPr>
        <w:pStyle w:val="ListParagraph"/>
        <w:autoSpaceDE w:val="0"/>
        <w:autoSpaceDN w:val="0"/>
        <w:adjustRightInd w:val="0"/>
        <w:spacing w:after="0"/>
        <w:ind w:left="360"/>
      </w:pPr>
      <w:r>
        <w:t>в)  Въздействие на проекта на равнище ЕС.</w:t>
      </w:r>
    </w:p>
    <w:p w:rsidR="009B5B5A" w:rsidRPr="00D056BF" w:rsidRDefault="009B5B5A" w:rsidP="00494AB6">
      <w:pPr>
        <w:pStyle w:val="Tiret0"/>
        <w:numPr>
          <w:ilvl w:val="0"/>
          <w:numId w:val="0"/>
        </w:numPr>
        <w:ind w:left="-130"/>
      </w:pPr>
      <w:r>
        <w:t>Техническо качество:</w:t>
      </w:r>
    </w:p>
    <w:p w:rsidR="009B5B5A" w:rsidRPr="00A17365" w:rsidRDefault="009B5B5A" w:rsidP="00E45CB6">
      <w:pPr>
        <w:pStyle w:val="ListParagraph"/>
        <w:autoSpaceDE w:val="0"/>
        <w:autoSpaceDN w:val="0"/>
        <w:adjustRightInd w:val="0"/>
        <w:spacing w:after="0"/>
        <w:ind w:left="360"/>
        <w:rPr>
          <w:szCs w:val="24"/>
        </w:rPr>
      </w:pPr>
      <w:r>
        <w:t>а) Качество и приложимост на пазарния анализ;</w:t>
      </w:r>
    </w:p>
    <w:p w:rsidR="009B5B5A" w:rsidRPr="00A17365" w:rsidRDefault="009B5B5A" w:rsidP="00E45CB6">
      <w:pPr>
        <w:pStyle w:val="ListParagraph"/>
        <w:autoSpaceDE w:val="0"/>
        <w:autoSpaceDN w:val="0"/>
        <w:adjustRightInd w:val="0"/>
        <w:spacing w:after="0"/>
        <w:ind w:left="360"/>
        <w:rPr>
          <w:szCs w:val="24"/>
        </w:rPr>
      </w:pPr>
      <w:r>
        <w:t>б) Уместност на програмната стратегия, цели и ключови послания;</w:t>
      </w:r>
    </w:p>
    <w:p w:rsidR="009B5B5A" w:rsidRPr="00A17365" w:rsidRDefault="009B5B5A" w:rsidP="00E45CB6">
      <w:pPr>
        <w:pStyle w:val="ListParagraph"/>
        <w:autoSpaceDE w:val="0"/>
        <w:autoSpaceDN w:val="0"/>
        <w:adjustRightInd w:val="0"/>
        <w:spacing w:after="0"/>
        <w:ind w:left="360"/>
        <w:rPr>
          <w:szCs w:val="24"/>
        </w:rPr>
      </w:pPr>
      <w:r>
        <w:t>в) Подходящ избор на дейности във връзка с целите и целевите групи, балансиран комуникационен микс, синергия между дейностите;</w:t>
      </w:r>
    </w:p>
    <w:p w:rsidR="009B5B5A" w:rsidRPr="00A17365" w:rsidRDefault="009B5B5A" w:rsidP="00E45CB6">
      <w:pPr>
        <w:pStyle w:val="ListParagraph"/>
        <w:autoSpaceDE w:val="0"/>
        <w:autoSpaceDN w:val="0"/>
        <w:adjustRightInd w:val="0"/>
        <w:spacing w:after="0"/>
        <w:ind w:left="360"/>
        <w:rPr>
          <w:szCs w:val="24"/>
        </w:rPr>
      </w:pPr>
      <w:r>
        <w:t>г) Кратко описание на дейностите;</w:t>
      </w:r>
    </w:p>
    <w:p w:rsidR="009B5B5A" w:rsidRPr="00A17365" w:rsidRDefault="009B5B5A" w:rsidP="00E45CB6">
      <w:pPr>
        <w:pStyle w:val="ListParagraph"/>
        <w:autoSpaceDE w:val="0"/>
        <w:autoSpaceDN w:val="0"/>
        <w:adjustRightInd w:val="0"/>
        <w:spacing w:after="0"/>
        <w:ind w:left="360"/>
        <w:rPr>
          <w:szCs w:val="24"/>
        </w:rPr>
      </w:pPr>
      <w:r>
        <w:t>д) Качество на предложените методи и показатели за оценяване.</w:t>
      </w:r>
    </w:p>
    <w:p w:rsidR="009B5B5A" w:rsidRPr="00D056BF" w:rsidRDefault="009B5B5A" w:rsidP="00494AB6">
      <w:pPr>
        <w:pStyle w:val="Tiret0"/>
        <w:numPr>
          <w:ilvl w:val="0"/>
          <w:numId w:val="0"/>
        </w:numPr>
        <w:ind w:left="-130"/>
      </w:pPr>
      <w:r>
        <w:t>Качество на управлението:</w:t>
      </w:r>
    </w:p>
    <w:p w:rsidR="009B5B5A" w:rsidRPr="00A17365" w:rsidRDefault="009B5B5A" w:rsidP="00BF62A9">
      <w:pPr>
        <w:pStyle w:val="ListParagraph"/>
        <w:autoSpaceDE w:val="0"/>
        <w:autoSpaceDN w:val="0"/>
        <w:adjustRightInd w:val="0"/>
        <w:spacing w:after="0"/>
        <w:ind w:left="360"/>
        <w:rPr>
          <w:szCs w:val="24"/>
        </w:rPr>
      </w:pPr>
      <w:r>
        <w:t>а) Управление на проекта и структура на управление;</w:t>
      </w:r>
    </w:p>
    <w:p w:rsidR="009B5B5A" w:rsidRPr="00D056BF" w:rsidRDefault="009B5B5A" w:rsidP="00BF62A9">
      <w:pPr>
        <w:pStyle w:val="ListParagraph"/>
        <w:autoSpaceDE w:val="0"/>
        <w:autoSpaceDN w:val="0"/>
        <w:adjustRightInd w:val="0"/>
        <w:spacing w:after="0"/>
        <w:ind w:left="360"/>
      </w:pPr>
      <w:r>
        <w:t>б) Механизми за контрол на качеството и управление на риска.</w:t>
      </w:r>
    </w:p>
    <w:p w:rsidR="009B5B5A" w:rsidRPr="00D056BF" w:rsidRDefault="009B5B5A" w:rsidP="00494AB6">
      <w:pPr>
        <w:pStyle w:val="Tiret0"/>
        <w:numPr>
          <w:ilvl w:val="0"/>
          <w:numId w:val="0"/>
        </w:numPr>
        <w:ind w:left="-130"/>
      </w:pPr>
      <w:r>
        <w:t>Бюджет и ефективност на разходите:</w:t>
      </w:r>
    </w:p>
    <w:p w:rsidR="009B5B5A" w:rsidRPr="00D056BF" w:rsidRDefault="009B5B5A" w:rsidP="00BF62A9">
      <w:pPr>
        <w:pStyle w:val="ListParagraph"/>
        <w:autoSpaceDE w:val="0"/>
        <w:autoSpaceDN w:val="0"/>
        <w:adjustRightInd w:val="0"/>
        <w:spacing w:after="0"/>
        <w:ind w:left="360"/>
      </w:pPr>
      <w:r>
        <w:t xml:space="preserve">а) Възвращаемост на инвестициите; </w:t>
      </w:r>
    </w:p>
    <w:p w:rsidR="009B5B5A" w:rsidRPr="00D056BF" w:rsidRDefault="009B5B5A" w:rsidP="00BF62A9">
      <w:pPr>
        <w:pStyle w:val="ListParagraph"/>
        <w:autoSpaceDE w:val="0"/>
        <w:autoSpaceDN w:val="0"/>
        <w:adjustRightInd w:val="0"/>
        <w:spacing w:after="0"/>
        <w:ind w:left="360"/>
      </w:pPr>
      <w:r>
        <w:t>б) Балансирано разпределение на бюджета във връзка с целите и обхвата на дейностите;</w:t>
      </w:r>
    </w:p>
    <w:p w:rsidR="009B5B5A" w:rsidRPr="00D056BF" w:rsidRDefault="009B5B5A" w:rsidP="00BF62A9">
      <w:pPr>
        <w:pStyle w:val="ListParagraph"/>
        <w:autoSpaceDE w:val="0"/>
        <w:autoSpaceDN w:val="0"/>
        <w:adjustRightInd w:val="0"/>
        <w:spacing w:after="0"/>
        <w:ind w:left="360"/>
      </w:pPr>
      <w:r>
        <w:t>в) Съвместимост между очакваните разходи и получените резултати;</w:t>
      </w:r>
    </w:p>
    <w:p w:rsidR="009B5B5A" w:rsidRPr="00D056BF" w:rsidRDefault="009B5B5A" w:rsidP="00BF62A9">
      <w:pPr>
        <w:pStyle w:val="ListParagraph"/>
        <w:autoSpaceDE w:val="0"/>
        <w:autoSpaceDN w:val="0"/>
        <w:adjustRightInd w:val="0"/>
        <w:spacing w:after="0"/>
        <w:ind w:left="360"/>
      </w:pPr>
      <w:r>
        <w:t>г) Реалистично изчисление на хора/дни за дейностите, изпълнявани от предлагащата организация, включително разходи за координиране на проекта.</w:t>
      </w:r>
    </w:p>
    <w:p w:rsidR="009B5B5A" w:rsidRDefault="009B5B5A" w:rsidP="00494AB6">
      <w:pPr>
        <w:autoSpaceDE w:val="0"/>
        <w:autoSpaceDN w:val="0"/>
        <w:adjustRightInd w:val="0"/>
        <w:spacing w:before="0" w:after="0" w:line="276" w:lineRule="auto"/>
      </w:pPr>
    </w:p>
    <w:p w:rsidR="009B5B5A" w:rsidRDefault="009B5B5A" w:rsidP="00494AB6">
      <w:pPr>
        <w:autoSpaceDE w:val="0"/>
        <w:autoSpaceDN w:val="0"/>
        <w:adjustRightInd w:val="0"/>
        <w:spacing w:before="0" w:after="0" w:line="276" w:lineRule="auto"/>
        <w:rPr>
          <w:szCs w:val="24"/>
        </w:rPr>
      </w:pPr>
      <w:r>
        <w:t xml:space="preserve">Ако има две (или повече) предложения с еднакъв брой точки на последното място в списъка с класираните проекти, тогава остава за финансиране предложението (и), което дава възможност за диверсификация по отношение на продукти или целеви пазари. Това означава, че между двете </w:t>
      </w:r>
      <w:r>
        <w:rPr>
          <w:i/>
        </w:rPr>
        <w:t>ex aequo</w:t>
      </w:r>
      <w:r>
        <w:t xml:space="preserve"> предложения, Комисията първо избира това, чието съдържание (на първо място по отношение на продукти, на второ място по отношение на целевия пазар) все още не е представено в списъка с класирането. В случай, че този критерий не е достатъчен за разграничаване на проектните предложения, тогава Комисията трябва да избере първата програма, която получи най-висока оценка за отделните критерии за възлагане. Първо се сравняват резултатите за критерия „Европейско измерение“, след това за критерия „Техническо качество“ и накрая – за критерия „Бюджет и ефективност на разходите“.</w:t>
      </w:r>
    </w:p>
    <w:p w:rsidR="009B5B5A" w:rsidRPr="00D056BF" w:rsidRDefault="009B5B5A" w:rsidP="00091F19">
      <w:pPr>
        <w:autoSpaceDE w:val="0"/>
        <w:autoSpaceDN w:val="0"/>
        <w:adjustRightInd w:val="0"/>
        <w:spacing w:before="0" w:after="0" w:line="276" w:lineRule="auto"/>
        <w:jc w:val="left"/>
        <w:rPr>
          <w:szCs w:val="24"/>
        </w:rPr>
      </w:pPr>
    </w:p>
    <w:p w:rsidR="009B5B5A" w:rsidRPr="00D056BF" w:rsidRDefault="009B5B5A" w:rsidP="008808A2">
      <w:pPr>
        <w:pStyle w:val="Point0number"/>
        <w:rPr>
          <w:b/>
        </w:rPr>
      </w:pPr>
      <w:r>
        <w:rPr>
          <w:b/>
        </w:rPr>
        <w:t>Критерии за преразпределяне на предвидени суми</w:t>
      </w:r>
    </w:p>
    <w:p w:rsidR="009B5B5A" w:rsidRPr="00D056BF" w:rsidRDefault="009B5B5A" w:rsidP="00DA228B">
      <w:r>
        <w:t>В случай, че по определена тема няма достатъчно предложения в списъка с класираните проекти, за които да се изразходва предвидената сума, останалите средства се преразпределят към други теми, съгласно следния критерий:</w:t>
      </w:r>
    </w:p>
    <w:p w:rsidR="009B5B5A" w:rsidRPr="00D056BF" w:rsidRDefault="009B5B5A" w:rsidP="00BB37DE">
      <w:r>
        <w:t>Общата оставаща предвидена сума за всичките три теми се събира и преразпределя за проекти, получили най-високия брой точки, без значение темата, по която е кандидатствано;</w:t>
      </w:r>
    </w:p>
    <w:p w:rsidR="009B5B5A" w:rsidRDefault="009B5B5A" w:rsidP="00494AB6">
      <w:r>
        <w:t>Редът в списъка с класирането следва да се спазва стриктно.</w:t>
      </w:r>
    </w:p>
    <w:sectPr w:rsidR="009B5B5A" w:rsidSect="00AE7688">
      <w:footerReference w:type="default" r:id="rId7"/>
      <w:pgSz w:w="11907" w:h="16839"/>
      <w:pgMar w:top="1134" w:right="1417" w:bottom="1134"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B5A" w:rsidRDefault="009B5B5A" w:rsidP="00916A74">
      <w:pPr>
        <w:spacing w:before="0" w:after="0"/>
      </w:pPr>
      <w:r>
        <w:separator/>
      </w:r>
    </w:p>
  </w:endnote>
  <w:endnote w:type="continuationSeparator" w:id="0">
    <w:p w:rsidR="009B5B5A" w:rsidRDefault="009B5B5A" w:rsidP="00916A74">
      <w:pPr>
        <w:spacing w:before="0" w:after="0"/>
      </w:pPr>
      <w:r>
        <w:continuationSeparator/>
      </w:r>
    </w:p>
  </w:endnote>
  <w:endnote w:type="continuationNotice" w:id="1">
    <w:p w:rsidR="009B5B5A" w:rsidRDefault="009B5B5A">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skoola Pota">
    <w:altName w:val="Nirmala UI"/>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5A" w:rsidRPr="00333A10" w:rsidRDefault="009B5B5A" w:rsidP="00AE7688">
    <w:pPr>
      <w:pStyle w:val="Footer"/>
      <w:jc w:val="center"/>
    </w:pPr>
    <w:fldSimple w:instr=" PAGE   \* MERGEFORMAT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B5A" w:rsidRDefault="009B5B5A" w:rsidP="00916A74">
      <w:pPr>
        <w:spacing w:before="0" w:after="0"/>
      </w:pPr>
      <w:r>
        <w:separator/>
      </w:r>
    </w:p>
  </w:footnote>
  <w:footnote w:type="continuationSeparator" w:id="0">
    <w:p w:rsidR="009B5B5A" w:rsidRDefault="009B5B5A" w:rsidP="00916A74">
      <w:pPr>
        <w:spacing w:before="0" w:after="0"/>
      </w:pPr>
      <w:r>
        <w:continuationSeparator/>
      </w:r>
    </w:p>
  </w:footnote>
  <w:footnote w:type="continuationNotice" w:id="1">
    <w:p w:rsidR="009B5B5A" w:rsidRDefault="009B5B5A">
      <w:pPr>
        <w:spacing w:before="0" w:after="0"/>
      </w:pPr>
    </w:p>
  </w:footnote>
  <w:footnote w:id="2">
    <w:p w:rsidR="009B5B5A" w:rsidRDefault="009B5B5A">
      <w:pPr>
        <w:pStyle w:val="FootnoteText"/>
      </w:pPr>
      <w:r>
        <w:rPr>
          <w:rStyle w:val="FootnoteReference"/>
        </w:rPr>
        <w:footnoteRef/>
      </w:r>
      <w:r>
        <w:t xml:space="preserve"> </w:t>
      </w:r>
      <w:r>
        <w:tab/>
        <w:t xml:space="preserve">Съставът на регионите следва класификацията на Организацията на обединените нации на държавите и регионите. За повече информация относно списъка на държавите, съставляващи географски район, вж. </w:t>
      </w:r>
      <w:hyperlink r:id="rId1">
        <w:r>
          <w:rPr>
            <w:rStyle w:val="Hyperlink"/>
          </w:rPr>
          <w:t>http://unstats.un.org/unsd/methods/m49/m49regin.htm</w:t>
        </w:r>
      </w:hyperlink>
    </w:p>
  </w:footnote>
  <w:footnote w:id="3">
    <w:p w:rsidR="009B5B5A" w:rsidRDefault="009B5B5A">
      <w:pPr>
        <w:pStyle w:val="FootnoteText"/>
      </w:pPr>
      <w:r>
        <w:rPr>
          <w:rStyle w:val="FootnoteReference"/>
        </w:rPr>
        <w:footnoteRef/>
      </w:r>
      <w:r>
        <w:t xml:space="preserve">  Средният Изток се отнася също до „Западна Азия“.</w:t>
      </w:r>
    </w:p>
  </w:footnote>
  <w:footnote w:id="4">
    <w:p w:rsidR="009B5B5A" w:rsidRDefault="009B5B5A" w:rsidP="006E30D6">
      <w:pPr>
        <w:pStyle w:val="FootnoteText"/>
        <w:ind w:left="142" w:hanging="142"/>
      </w:pPr>
      <w:r>
        <w:rPr>
          <w:rStyle w:val="FootnoteReference"/>
        </w:rPr>
        <w:footnoteRef/>
      </w:r>
      <w:r>
        <w:t xml:space="preserve">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 (ОВ L 347, 20.12.2013 г., стр. 671).</w:t>
      </w:r>
    </w:p>
    <w:p w:rsidR="009B5B5A" w:rsidRDefault="009B5B5A" w:rsidP="006E30D6">
      <w:pPr>
        <w:pStyle w:val="FootnoteText"/>
        <w:ind w:left="142" w:hanging="142"/>
      </w:pPr>
    </w:p>
  </w:footnote>
  <w:footnote w:id="5">
    <w:p w:rsidR="009B5B5A" w:rsidRDefault="009B5B5A">
      <w:pPr>
        <w:pStyle w:val="FootnoteText"/>
      </w:pPr>
      <w:r>
        <w:rPr>
          <w:rStyle w:val="FootnoteReference"/>
        </w:rPr>
        <w:footnoteRef/>
      </w:r>
      <w:r>
        <w:t xml:space="preserve">  Основното послание на кампаниите по тема А не може да бъде насочено към метода на биологично производство на Съюза.</w:t>
      </w:r>
    </w:p>
  </w:footnote>
  <w:footnote w:id="6">
    <w:p w:rsidR="009B5B5A" w:rsidRDefault="009B5B5A">
      <w:pPr>
        <w:pStyle w:val="FootnoteText"/>
      </w:pPr>
      <w:r>
        <w:rPr>
          <w:rStyle w:val="FootnoteReference"/>
        </w:rPr>
        <w:footnoteRef/>
      </w:r>
      <w:r>
        <w:t xml:space="preserve"> </w:t>
      </w:r>
      <w:r>
        <w:tab/>
        <w:t>Делегиран регламент (ЕС) 2015/1829 на Комисията от 23 април 2015 г. за допълване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 (ОВ L 266, 13.10.2015 г., стр. 3).</w:t>
      </w:r>
    </w:p>
  </w:footnote>
  <w:footnote w:id="7">
    <w:p w:rsidR="009B5B5A" w:rsidRDefault="009B5B5A" w:rsidP="00BB37DE">
      <w:pPr>
        <w:pStyle w:val="Default"/>
      </w:pPr>
      <w:r>
        <w:rPr>
          <w:rStyle w:val="FootnoteReference"/>
          <w:rFonts w:cs="EUAlbertina"/>
        </w:rPr>
        <w:footnoteRef/>
      </w:r>
      <w:r>
        <w:t xml:space="preserve"> </w:t>
      </w:r>
      <w:r>
        <w:tab/>
      </w:r>
      <w:r>
        <w:rPr>
          <w:rFonts w:ascii="Times New Roman" w:hAnsi="Times New Roman"/>
          <w:color w:val="auto"/>
          <w:sz w:val="19"/>
        </w:rPr>
        <w:t>Регламент за изпълнение на Комисията (ЕС) 2015/1831 от 7 октомври 2015 г. за определяне на правила за прилагане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трети държави (ОВ L 266, 13.10.2015 г., стр. 14).</w:t>
      </w:r>
    </w:p>
  </w:footnote>
  <w:footnote w:id="8">
    <w:p w:rsidR="009B5B5A" w:rsidRDefault="009B5B5A" w:rsidP="008808A2">
      <w:pPr>
        <w:pStyle w:val="doc-ti"/>
        <w:jc w:val="left"/>
      </w:pPr>
      <w:r>
        <w:rPr>
          <w:rStyle w:val="FootnoteReference"/>
        </w:rPr>
        <w:footnoteRef/>
      </w:r>
      <w:r>
        <w:t xml:space="preserve"> </w:t>
      </w:r>
      <w:r>
        <w:tab/>
      </w:r>
      <w:r>
        <w:rPr>
          <w:b w:val="0"/>
          <w:sz w:val="20"/>
        </w:rPr>
        <w:t>Регламент (ЕО) № 1924/2006 на Европейския парламент и на Съвета от 20 декември 2006 г. относно хранителни и здравни претенции за храните (ОВ L 404, 30.12.2006 г., стр. 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8BA"/>
    <w:multiLevelType w:val="hybridMultilevel"/>
    <w:tmpl w:val="80547CB2"/>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09B655C"/>
    <w:multiLevelType w:val="hybridMultilevel"/>
    <w:tmpl w:val="79E48890"/>
    <w:lvl w:ilvl="0" w:tplc="253A685A">
      <w:start w:val="1"/>
      <w:numFmt w:val="decimal"/>
      <w:lvlText w:val="%1."/>
      <w:lvlJc w:val="left"/>
      <w:pPr>
        <w:ind w:left="360" w:hanging="360"/>
      </w:pPr>
      <w:rPr>
        <w:rFonts w:ascii="Times New Roman" w:hAnsi="Times New Roman" w:cs="Times New Roman" w:hint="default"/>
        <w:b w:val="0"/>
        <w:i w:val="0"/>
        <w:caps w:val="0"/>
        <w:strike w:val="0"/>
        <w:dstrike w:val="0"/>
        <w:vanish w:val="0"/>
        <w:sz w:val="24"/>
        <w:vertAlign w:val="baseline"/>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12506D0"/>
    <w:multiLevelType w:val="hybridMultilevel"/>
    <w:tmpl w:val="24E6EBC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2E24BCE"/>
    <w:multiLevelType w:val="hybridMultilevel"/>
    <w:tmpl w:val="D1A2D72E"/>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3A50CC6"/>
    <w:multiLevelType w:val="hybridMultilevel"/>
    <w:tmpl w:val="6E402F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nsid w:val="05CA5377"/>
    <w:multiLevelType w:val="hybridMultilevel"/>
    <w:tmpl w:val="7A72F67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B700551"/>
    <w:multiLevelType w:val="hybridMultilevel"/>
    <w:tmpl w:val="AA9A72CE"/>
    <w:lvl w:ilvl="0" w:tplc="D6B8E69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1AE6728"/>
    <w:multiLevelType w:val="hybridMultilevel"/>
    <w:tmpl w:val="3604AFEC"/>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3FF5F8F"/>
    <w:multiLevelType w:val="hybridMultilevel"/>
    <w:tmpl w:val="6AFCC7B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5EC4591"/>
    <w:multiLevelType w:val="hybridMultilevel"/>
    <w:tmpl w:val="C72A3204"/>
    <w:lvl w:ilvl="0" w:tplc="0172C40E">
      <w:numFmt w:val="bullet"/>
      <w:lvlText w:val="•"/>
      <w:lvlJc w:val="left"/>
      <w:pPr>
        <w:ind w:left="1080" w:hanging="72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A36BAC"/>
    <w:multiLevelType w:val="hybridMultilevel"/>
    <w:tmpl w:val="0490831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98B2B6D"/>
    <w:multiLevelType w:val="hybridMultilevel"/>
    <w:tmpl w:val="FAAE81EE"/>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3">
    <w:nsid w:val="1D70770B"/>
    <w:multiLevelType w:val="hybridMultilevel"/>
    <w:tmpl w:val="4A80A3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3C1336"/>
    <w:multiLevelType w:val="hybridMultilevel"/>
    <w:tmpl w:val="E0FCC034"/>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0966039"/>
    <w:multiLevelType w:val="hybridMultilevel"/>
    <w:tmpl w:val="F5A8D83E"/>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2695303"/>
    <w:multiLevelType w:val="hybridMultilevel"/>
    <w:tmpl w:val="578E5B86"/>
    <w:lvl w:ilvl="0" w:tplc="F560FF86">
      <w:numFmt w:val="bullet"/>
      <w:lvlText w:val="•"/>
      <w:lvlJc w:val="left"/>
      <w:pPr>
        <w:ind w:left="1080" w:hanging="72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D91E32"/>
    <w:multiLevelType w:val="hybridMultilevel"/>
    <w:tmpl w:val="76A61EA8"/>
    <w:lvl w:ilvl="0" w:tplc="32E6F520">
      <w:numFmt w:val="bullet"/>
      <w:lvlText w:val="•"/>
      <w:lvlJc w:val="left"/>
      <w:pPr>
        <w:ind w:left="1080" w:hanging="72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14089E"/>
    <w:multiLevelType w:val="hybridMultilevel"/>
    <w:tmpl w:val="7D54930E"/>
    <w:lvl w:ilvl="0" w:tplc="253A685A">
      <w:start w:val="1"/>
      <w:numFmt w:val="decimal"/>
      <w:lvlText w:val="%1."/>
      <w:lvlJc w:val="left"/>
      <w:pPr>
        <w:ind w:left="360" w:hanging="360"/>
      </w:pPr>
      <w:rPr>
        <w:rFonts w:ascii="Times New Roman" w:hAnsi="Times New Roman" w:cs="Times New Roman" w:hint="default"/>
        <w:b w:val="0"/>
        <w:i w:val="0"/>
        <w:caps w:val="0"/>
        <w:strike w:val="0"/>
        <w:dstrike w:val="0"/>
        <w:vanish w:val="0"/>
        <w:sz w:val="24"/>
        <w:vertAlign w:val="baseline"/>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29820966"/>
    <w:multiLevelType w:val="hybridMultilevel"/>
    <w:tmpl w:val="E6AABB82"/>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D5420E6"/>
    <w:multiLevelType w:val="hybridMultilevel"/>
    <w:tmpl w:val="BD8E9EF4"/>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2EBF1D60"/>
    <w:multiLevelType w:val="hybridMultilevel"/>
    <w:tmpl w:val="37CE286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11953E0"/>
    <w:multiLevelType w:val="hybridMultilevel"/>
    <w:tmpl w:val="23CEF26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31728CD"/>
    <w:multiLevelType w:val="hybridMultilevel"/>
    <w:tmpl w:val="552AB25A"/>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727199C"/>
    <w:multiLevelType w:val="hybridMultilevel"/>
    <w:tmpl w:val="3D8EE9C4"/>
    <w:lvl w:ilvl="0" w:tplc="D50498CA">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nsid w:val="37AE5EE7"/>
    <w:multiLevelType w:val="hybridMultilevel"/>
    <w:tmpl w:val="6F4AD61E"/>
    <w:lvl w:ilvl="0" w:tplc="DFAA06B4">
      <w:numFmt w:val="bullet"/>
      <w:lvlText w:val="•"/>
      <w:lvlJc w:val="left"/>
      <w:pPr>
        <w:ind w:left="1080" w:hanging="72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6257C9"/>
    <w:multiLevelType w:val="hybridMultilevel"/>
    <w:tmpl w:val="EC88AA46"/>
    <w:lvl w:ilvl="0" w:tplc="8B92EB7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3BD76AB7"/>
    <w:multiLevelType w:val="hybridMultilevel"/>
    <w:tmpl w:val="7A6E52F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54B1700"/>
    <w:multiLevelType w:val="hybridMultilevel"/>
    <w:tmpl w:val="3A0C717A"/>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7A24BA6"/>
    <w:multiLevelType w:val="hybridMultilevel"/>
    <w:tmpl w:val="620CD3FE"/>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7BA740E"/>
    <w:multiLevelType w:val="hybridMultilevel"/>
    <w:tmpl w:val="F606D18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E8D3F8D"/>
    <w:multiLevelType w:val="hybridMultilevel"/>
    <w:tmpl w:val="9C304CAA"/>
    <w:lvl w:ilvl="0" w:tplc="0E623FAE">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9A66BB3"/>
    <w:multiLevelType w:val="hybridMultilevel"/>
    <w:tmpl w:val="AE3A9B90"/>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A6E076F"/>
    <w:multiLevelType w:val="hybridMultilevel"/>
    <w:tmpl w:val="B0A2C284"/>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B4D6E48"/>
    <w:multiLevelType w:val="hybridMultilevel"/>
    <w:tmpl w:val="0650969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D874618"/>
    <w:multiLevelType w:val="hybridMultilevel"/>
    <w:tmpl w:val="B830AB0E"/>
    <w:lvl w:ilvl="0" w:tplc="42AAFCC6">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5F3708C8"/>
    <w:multiLevelType w:val="hybridMultilevel"/>
    <w:tmpl w:val="3AC877FE"/>
    <w:lvl w:ilvl="0" w:tplc="08090017">
      <w:start w:val="1"/>
      <w:numFmt w:val="lowerLetter"/>
      <w:lvlText w:val="%1)"/>
      <w:lvlJc w:val="left"/>
      <w:pPr>
        <w:ind w:left="72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2576E74"/>
    <w:multiLevelType w:val="hybridMultilevel"/>
    <w:tmpl w:val="38C4388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4002DA0"/>
    <w:multiLevelType w:val="hybridMultilevel"/>
    <w:tmpl w:val="FCEA4596"/>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4A12FA4"/>
    <w:multiLevelType w:val="multilevel"/>
    <w:tmpl w:val="67E4F032"/>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1690"/>
        </w:tabs>
        <w:ind w:left="1690" w:hanging="850"/>
      </w:pPr>
      <w:rPr>
        <w:rFonts w:cs="Times New Roman"/>
        <w:b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652455D7"/>
    <w:multiLevelType w:val="hybridMultilevel"/>
    <w:tmpl w:val="32D8094E"/>
    <w:lvl w:ilvl="0" w:tplc="2254646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48C5DC8"/>
    <w:multiLevelType w:val="hybridMultilevel"/>
    <w:tmpl w:val="0DE8EE9C"/>
    <w:lvl w:ilvl="0" w:tplc="0E623FA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num>
  <w:num w:numId="4">
    <w:abstractNumId w:val="35"/>
  </w:num>
  <w:num w:numId="5">
    <w:abstractNumId w:val="40"/>
  </w:num>
  <w:num w:numId="6">
    <w:abstractNumId w:val="12"/>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0"/>
  </w:num>
  <w:num w:numId="11">
    <w:abstractNumId w:val="5"/>
  </w:num>
  <w:num w:numId="12">
    <w:abstractNumId w:val="2"/>
  </w:num>
  <w:num w:numId="13">
    <w:abstractNumId w:val="22"/>
  </w:num>
  <w:num w:numId="14">
    <w:abstractNumId w:val="30"/>
  </w:num>
  <w:num w:numId="15">
    <w:abstractNumId w:val="8"/>
  </w:num>
  <w:num w:numId="16">
    <w:abstractNumId w:val="33"/>
  </w:num>
  <w:num w:numId="17">
    <w:abstractNumId w:val="34"/>
  </w:num>
  <w:num w:numId="18">
    <w:abstractNumId w:val="35"/>
    <w:lvlOverride w:ilvl="0">
      <w:startOverride w:val="1"/>
    </w:lvlOverride>
  </w:num>
  <w:num w:numId="19">
    <w:abstractNumId w:val="19"/>
  </w:num>
  <w:num w:numId="20">
    <w:abstractNumId w:val="25"/>
  </w:num>
  <w:num w:numId="21">
    <w:abstractNumId w:val="38"/>
  </w:num>
  <w:num w:numId="22">
    <w:abstractNumId w:val="17"/>
  </w:num>
  <w:num w:numId="23">
    <w:abstractNumId w:val="21"/>
  </w:num>
  <w:num w:numId="24">
    <w:abstractNumId w:val="16"/>
  </w:num>
  <w:num w:numId="25">
    <w:abstractNumId w:val="27"/>
  </w:num>
  <w:num w:numId="26">
    <w:abstractNumId w:val="9"/>
  </w:num>
  <w:num w:numId="27">
    <w:abstractNumId w:val="12"/>
  </w:num>
  <w:num w:numId="28">
    <w:abstractNumId w:val="1"/>
  </w:num>
  <w:num w:numId="29">
    <w:abstractNumId w:val="12"/>
  </w:num>
  <w:num w:numId="30">
    <w:abstractNumId w:val="42"/>
  </w:num>
  <w:num w:numId="31">
    <w:abstractNumId w:val="31"/>
  </w:num>
  <w:num w:numId="32">
    <w:abstractNumId w:val="18"/>
  </w:num>
  <w:num w:numId="33">
    <w:abstractNumId w:val="35"/>
    <w:lvlOverride w:ilvl="0">
      <w:startOverride w:val="1"/>
    </w:lvlOverride>
  </w:num>
  <w:num w:numId="34">
    <w:abstractNumId w:val="0"/>
  </w:num>
  <w:num w:numId="35">
    <w:abstractNumId w:val="39"/>
  </w:num>
  <w:num w:numId="36">
    <w:abstractNumId w:val="29"/>
  </w:num>
  <w:num w:numId="37">
    <w:abstractNumId w:val="3"/>
  </w:num>
  <w:num w:numId="38">
    <w:abstractNumId w:val="6"/>
  </w:num>
  <w:num w:numId="39">
    <w:abstractNumId w:val="7"/>
  </w:num>
  <w:num w:numId="40">
    <w:abstractNumId w:val="15"/>
  </w:num>
  <w:num w:numId="41">
    <w:abstractNumId w:val="41"/>
  </w:num>
  <w:num w:numId="42">
    <w:abstractNumId w:val="23"/>
  </w:num>
  <w:num w:numId="43">
    <w:abstractNumId w:val="12"/>
  </w:num>
  <w:num w:numId="44">
    <w:abstractNumId w:val="20"/>
  </w:num>
  <w:num w:numId="45">
    <w:abstractNumId w:val="12"/>
  </w:num>
  <w:num w:numId="46">
    <w:abstractNumId w:val="28"/>
  </w:num>
  <w:num w:numId="47">
    <w:abstractNumId w:val="12"/>
  </w:num>
  <w:num w:numId="48">
    <w:abstractNumId w:val="14"/>
  </w:num>
  <w:num w:numId="49">
    <w:abstractNumId w:val="12"/>
  </w:num>
  <w:num w:numId="50">
    <w:abstractNumId w:val="32"/>
  </w:num>
  <w:num w:numId="51">
    <w:abstractNumId w:val="24"/>
  </w:num>
  <w:num w:numId="52">
    <w:abstractNumId w:val="12"/>
  </w:num>
  <w:num w:numId="53">
    <w:abstractNumId w:val="12"/>
  </w:num>
  <w:num w:numId="54">
    <w:abstractNumId w:val="12"/>
  </w:num>
  <w:num w:numId="55">
    <w:abstractNumId w:val="11"/>
  </w:num>
  <w:num w:numId="56">
    <w:abstractNumId w:val="12"/>
  </w:num>
  <w:num w:numId="57">
    <w:abstractNumId w:val="26"/>
  </w:num>
  <w:num w:numId="58">
    <w:abstractNumId w:val="3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916A74"/>
    <w:rsid w:val="00012F44"/>
    <w:rsid w:val="000138D0"/>
    <w:rsid w:val="00016B09"/>
    <w:rsid w:val="00017AE6"/>
    <w:rsid w:val="00020B86"/>
    <w:rsid w:val="00022D80"/>
    <w:rsid w:val="0002661A"/>
    <w:rsid w:val="0002746C"/>
    <w:rsid w:val="00036BD3"/>
    <w:rsid w:val="000445A7"/>
    <w:rsid w:val="000471EE"/>
    <w:rsid w:val="00054FE4"/>
    <w:rsid w:val="00057949"/>
    <w:rsid w:val="00062D25"/>
    <w:rsid w:val="0006388F"/>
    <w:rsid w:val="0006476F"/>
    <w:rsid w:val="00073007"/>
    <w:rsid w:val="0007513D"/>
    <w:rsid w:val="000770F6"/>
    <w:rsid w:val="0007723D"/>
    <w:rsid w:val="00080079"/>
    <w:rsid w:val="000854DD"/>
    <w:rsid w:val="00091F19"/>
    <w:rsid w:val="000931F0"/>
    <w:rsid w:val="00094630"/>
    <w:rsid w:val="000A2141"/>
    <w:rsid w:val="000A286F"/>
    <w:rsid w:val="000A4CFC"/>
    <w:rsid w:val="000B09AF"/>
    <w:rsid w:val="000B2863"/>
    <w:rsid w:val="000B59B9"/>
    <w:rsid w:val="000B6464"/>
    <w:rsid w:val="000C2ABF"/>
    <w:rsid w:val="000D14BD"/>
    <w:rsid w:val="000E70C3"/>
    <w:rsid w:val="000F1314"/>
    <w:rsid w:val="000F2583"/>
    <w:rsid w:val="001051A3"/>
    <w:rsid w:val="00110D2A"/>
    <w:rsid w:val="001225ED"/>
    <w:rsid w:val="00127314"/>
    <w:rsid w:val="00133E89"/>
    <w:rsid w:val="001345BA"/>
    <w:rsid w:val="0013476F"/>
    <w:rsid w:val="00134D6D"/>
    <w:rsid w:val="00137C20"/>
    <w:rsid w:val="00145729"/>
    <w:rsid w:val="00146BB9"/>
    <w:rsid w:val="00151B30"/>
    <w:rsid w:val="001529CE"/>
    <w:rsid w:val="0016443B"/>
    <w:rsid w:val="0017590F"/>
    <w:rsid w:val="00175BD8"/>
    <w:rsid w:val="001854C3"/>
    <w:rsid w:val="001867BD"/>
    <w:rsid w:val="00187E97"/>
    <w:rsid w:val="001B0671"/>
    <w:rsid w:val="001C04DD"/>
    <w:rsid w:val="001C129A"/>
    <w:rsid w:val="001D4459"/>
    <w:rsid w:val="001F5E37"/>
    <w:rsid w:val="0021213D"/>
    <w:rsid w:val="00216318"/>
    <w:rsid w:val="00220E6B"/>
    <w:rsid w:val="002233F2"/>
    <w:rsid w:val="00237FEF"/>
    <w:rsid w:val="0024436C"/>
    <w:rsid w:val="00247ACB"/>
    <w:rsid w:val="00253855"/>
    <w:rsid w:val="00261829"/>
    <w:rsid w:val="00261A93"/>
    <w:rsid w:val="00267987"/>
    <w:rsid w:val="00267E3F"/>
    <w:rsid w:val="00270365"/>
    <w:rsid w:val="002745D4"/>
    <w:rsid w:val="00276D4A"/>
    <w:rsid w:val="002801A3"/>
    <w:rsid w:val="0028206A"/>
    <w:rsid w:val="00284522"/>
    <w:rsid w:val="002906C8"/>
    <w:rsid w:val="002921F7"/>
    <w:rsid w:val="002949CE"/>
    <w:rsid w:val="00295B47"/>
    <w:rsid w:val="00297E6E"/>
    <w:rsid w:val="002A3160"/>
    <w:rsid w:val="002A4716"/>
    <w:rsid w:val="002A4DE2"/>
    <w:rsid w:val="002C2C5A"/>
    <w:rsid w:val="002C54EC"/>
    <w:rsid w:val="002D3CB3"/>
    <w:rsid w:val="002F0A61"/>
    <w:rsid w:val="002F3995"/>
    <w:rsid w:val="002F5921"/>
    <w:rsid w:val="00310E95"/>
    <w:rsid w:val="0031156F"/>
    <w:rsid w:val="00313E5F"/>
    <w:rsid w:val="0032521A"/>
    <w:rsid w:val="00333A10"/>
    <w:rsid w:val="0033632D"/>
    <w:rsid w:val="00341455"/>
    <w:rsid w:val="00342D7D"/>
    <w:rsid w:val="00343F80"/>
    <w:rsid w:val="00350385"/>
    <w:rsid w:val="00354205"/>
    <w:rsid w:val="00355E15"/>
    <w:rsid w:val="003719B6"/>
    <w:rsid w:val="00374F03"/>
    <w:rsid w:val="003765DC"/>
    <w:rsid w:val="00387410"/>
    <w:rsid w:val="00387566"/>
    <w:rsid w:val="003A02EF"/>
    <w:rsid w:val="003A0C1D"/>
    <w:rsid w:val="003A6CEE"/>
    <w:rsid w:val="003A7C1F"/>
    <w:rsid w:val="003B4CD6"/>
    <w:rsid w:val="003B7194"/>
    <w:rsid w:val="003C18DC"/>
    <w:rsid w:val="003D0370"/>
    <w:rsid w:val="003E1D83"/>
    <w:rsid w:val="003E50BC"/>
    <w:rsid w:val="003F684F"/>
    <w:rsid w:val="003F78F4"/>
    <w:rsid w:val="00402496"/>
    <w:rsid w:val="0041028D"/>
    <w:rsid w:val="00433725"/>
    <w:rsid w:val="00433AE2"/>
    <w:rsid w:val="00451408"/>
    <w:rsid w:val="0045305F"/>
    <w:rsid w:val="004544D0"/>
    <w:rsid w:val="0046201B"/>
    <w:rsid w:val="00475AAC"/>
    <w:rsid w:val="00477B95"/>
    <w:rsid w:val="00485913"/>
    <w:rsid w:val="00494AB6"/>
    <w:rsid w:val="004A0376"/>
    <w:rsid w:val="004B097F"/>
    <w:rsid w:val="004C1E16"/>
    <w:rsid w:val="004C3168"/>
    <w:rsid w:val="004C4420"/>
    <w:rsid w:val="004E4BFC"/>
    <w:rsid w:val="004E50D8"/>
    <w:rsid w:val="004E66DB"/>
    <w:rsid w:val="004F48CE"/>
    <w:rsid w:val="00502421"/>
    <w:rsid w:val="00507DB5"/>
    <w:rsid w:val="005146F6"/>
    <w:rsid w:val="00523447"/>
    <w:rsid w:val="00525177"/>
    <w:rsid w:val="005406E1"/>
    <w:rsid w:val="00553E20"/>
    <w:rsid w:val="005562F9"/>
    <w:rsid w:val="00556C7B"/>
    <w:rsid w:val="00563022"/>
    <w:rsid w:val="00575C6F"/>
    <w:rsid w:val="00575FD1"/>
    <w:rsid w:val="005830E1"/>
    <w:rsid w:val="005869B6"/>
    <w:rsid w:val="0059787E"/>
    <w:rsid w:val="005A2569"/>
    <w:rsid w:val="005C6489"/>
    <w:rsid w:val="005C73F0"/>
    <w:rsid w:val="005D687A"/>
    <w:rsid w:val="005F09C2"/>
    <w:rsid w:val="005F1EE3"/>
    <w:rsid w:val="005F3DE1"/>
    <w:rsid w:val="006010CC"/>
    <w:rsid w:val="00603B39"/>
    <w:rsid w:val="00614084"/>
    <w:rsid w:val="0063201A"/>
    <w:rsid w:val="0063419F"/>
    <w:rsid w:val="006373C8"/>
    <w:rsid w:val="006516FC"/>
    <w:rsid w:val="00653B94"/>
    <w:rsid w:val="006660D7"/>
    <w:rsid w:val="0067056C"/>
    <w:rsid w:val="006759EF"/>
    <w:rsid w:val="0068059C"/>
    <w:rsid w:val="006808F3"/>
    <w:rsid w:val="006839E8"/>
    <w:rsid w:val="006A0FDE"/>
    <w:rsid w:val="006A14E5"/>
    <w:rsid w:val="006B0580"/>
    <w:rsid w:val="006B3409"/>
    <w:rsid w:val="006B642F"/>
    <w:rsid w:val="006B7CD6"/>
    <w:rsid w:val="006C174C"/>
    <w:rsid w:val="006D3889"/>
    <w:rsid w:val="006E2F19"/>
    <w:rsid w:val="006E30D6"/>
    <w:rsid w:val="006F7DFF"/>
    <w:rsid w:val="00707D77"/>
    <w:rsid w:val="007109F7"/>
    <w:rsid w:val="0071151B"/>
    <w:rsid w:val="00714A1D"/>
    <w:rsid w:val="00715773"/>
    <w:rsid w:val="00727CED"/>
    <w:rsid w:val="00740B04"/>
    <w:rsid w:val="00743651"/>
    <w:rsid w:val="00751692"/>
    <w:rsid w:val="00754151"/>
    <w:rsid w:val="007570CE"/>
    <w:rsid w:val="00767251"/>
    <w:rsid w:val="00767E10"/>
    <w:rsid w:val="00770E72"/>
    <w:rsid w:val="00782390"/>
    <w:rsid w:val="00783871"/>
    <w:rsid w:val="00783E50"/>
    <w:rsid w:val="007863C9"/>
    <w:rsid w:val="0079164F"/>
    <w:rsid w:val="007B50C2"/>
    <w:rsid w:val="007B6600"/>
    <w:rsid w:val="007C1324"/>
    <w:rsid w:val="007C6C6C"/>
    <w:rsid w:val="007C70DD"/>
    <w:rsid w:val="007C7337"/>
    <w:rsid w:val="007D2585"/>
    <w:rsid w:val="007D5B20"/>
    <w:rsid w:val="007E4A15"/>
    <w:rsid w:val="007E524B"/>
    <w:rsid w:val="007E731B"/>
    <w:rsid w:val="007F03C1"/>
    <w:rsid w:val="007F20AB"/>
    <w:rsid w:val="007F2A32"/>
    <w:rsid w:val="007F6578"/>
    <w:rsid w:val="00800AEF"/>
    <w:rsid w:val="00812108"/>
    <w:rsid w:val="0081795D"/>
    <w:rsid w:val="00821B6B"/>
    <w:rsid w:val="00830BD6"/>
    <w:rsid w:val="008315ED"/>
    <w:rsid w:val="00846951"/>
    <w:rsid w:val="00856315"/>
    <w:rsid w:val="00862AEE"/>
    <w:rsid w:val="00863CE7"/>
    <w:rsid w:val="008778A2"/>
    <w:rsid w:val="008808A2"/>
    <w:rsid w:val="00885768"/>
    <w:rsid w:val="00885799"/>
    <w:rsid w:val="00885B12"/>
    <w:rsid w:val="008879F2"/>
    <w:rsid w:val="008926DB"/>
    <w:rsid w:val="00897C68"/>
    <w:rsid w:val="008A18BE"/>
    <w:rsid w:val="008A3187"/>
    <w:rsid w:val="008B6EF4"/>
    <w:rsid w:val="008B7A72"/>
    <w:rsid w:val="008C024A"/>
    <w:rsid w:val="008C285F"/>
    <w:rsid w:val="008C2E35"/>
    <w:rsid w:val="008C4A95"/>
    <w:rsid w:val="008C7051"/>
    <w:rsid w:val="008D21E0"/>
    <w:rsid w:val="008D4F82"/>
    <w:rsid w:val="008D5037"/>
    <w:rsid w:val="008D577C"/>
    <w:rsid w:val="008E31B8"/>
    <w:rsid w:val="008F372E"/>
    <w:rsid w:val="008F50B5"/>
    <w:rsid w:val="00901CD8"/>
    <w:rsid w:val="0090694F"/>
    <w:rsid w:val="00907491"/>
    <w:rsid w:val="009111FF"/>
    <w:rsid w:val="00916A74"/>
    <w:rsid w:val="00916DE3"/>
    <w:rsid w:val="00931972"/>
    <w:rsid w:val="00941865"/>
    <w:rsid w:val="00944A52"/>
    <w:rsid w:val="009459F3"/>
    <w:rsid w:val="00956A53"/>
    <w:rsid w:val="0095781A"/>
    <w:rsid w:val="00963024"/>
    <w:rsid w:val="00971E58"/>
    <w:rsid w:val="00981E6C"/>
    <w:rsid w:val="00992B28"/>
    <w:rsid w:val="00993E6F"/>
    <w:rsid w:val="009B2D0E"/>
    <w:rsid w:val="009B3748"/>
    <w:rsid w:val="009B5B5A"/>
    <w:rsid w:val="009B6467"/>
    <w:rsid w:val="009B701F"/>
    <w:rsid w:val="009C0630"/>
    <w:rsid w:val="009C6C8B"/>
    <w:rsid w:val="009E6B7F"/>
    <w:rsid w:val="009E7482"/>
    <w:rsid w:val="009F3A7E"/>
    <w:rsid w:val="009F7FB2"/>
    <w:rsid w:val="00A13032"/>
    <w:rsid w:val="00A1340F"/>
    <w:rsid w:val="00A14B8C"/>
    <w:rsid w:val="00A16D3D"/>
    <w:rsid w:val="00A17365"/>
    <w:rsid w:val="00A26983"/>
    <w:rsid w:val="00A30614"/>
    <w:rsid w:val="00A45294"/>
    <w:rsid w:val="00A453B9"/>
    <w:rsid w:val="00A52564"/>
    <w:rsid w:val="00A52C2D"/>
    <w:rsid w:val="00A55D4D"/>
    <w:rsid w:val="00A637AC"/>
    <w:rsid w:val="00A67437"/>
    <w:rsid w:val="00A72915"/>
    <w:rsid w:val="00A828B7"/>
    <w:rsid w:val="00A8759F"/>
    <w:rsid w:val="00A92A52"/>
    <w:rsid w:val="00AA140B"/>
    <w:rsid w:val="00AA2F56"/>
    <w:rsid w:val="00AB1A67"/>
    <w:rsid w:val="00AB2872"/>
    <w:rsid w:val="00AB3EAB"/>
    <w:rsid w:val="00AC4464"/>
    <w:rsid w:val="00AC7B53"/>
    <w:rsid w:val="00AD3A6E"/>
    <w:rsid w:val="00AD6CD6"/>
    <w:rsid w:val="00AD7F28"/>
    <w:rsid w:val="00AE5D85"/>
    <w:rsid w:val="00AE7656"/>
    <w:rsid w:val="00AE7688"/>
    <w:rsid w:val="00AF1ABF"/>
    <w:rsid w:val="00AF27D5"/>
    <w:rsid w:val="00AF3258"/>
    <w:rsid w:val="00B00EAA"/>
    <w:rsid w:val="00B050D9"/>
    <w:rsid w:val="00B16026"/>
    <w:rsid w:val="00B21F99"/>
    <w:rsid w:val="00B24CE9"/>
    <w:rsid w:val="00B26279"/>
    <w:rsid w:val="00B303F5"/>
    <w:rsid w:val="00B307D5"/>
    <w:rsid w:val="00B32AEC"/>
    <w:rsid w:val="00B41CDB"/>
    <w:rsid w:val="00B44E52"/>
    <w:rsid w:val="00B46F38"/>
    <w:rsid w:val="00B5355C"/>
    <w:rsid w:val="00B56740"/>
    <w:rsid w:val="00B621B6"/>
    <w:rsid w:val="00B64FA0"/>
    <w:rsid w:val="00B75575"/>
    <w:rsid w:val="00B75C1A"/>
    <w:rsid w:val="00B83A26"/>
    <w:rsid w:val="00B904AF"/>
    <w:rsid w:val="00B92F31"/>
    <w:rsid w:val="00B93425"/>
    <w:rsid w:val="00B93627"/>
    <w:rsid w:val="00B93D02"/>
    <w:rsid w:val="00BA195E"/>
    <w:rsid w:val="00BA2849"/>
    <w:rsid w:val="00BA7FEE"/>
    <w:rsid w:val="00BB37DE"/>
    <w:rsid w:val="00BC0B8D"/>
    <w:rsid w:val="00BC2E09"/>
    <w:rsid w:val="00BC606E"/>
    <w:rsid w:val="00BC74BA"/>
    <w:rsid w:val="00BD093A"/>
    <w:rsid w:val="00BD5496"/>
    <w:rsid w:val="00BE4800"/>
    <w:rsid w:val="00BE565E"/>
    <w:rsid w:val="00BF12BA"/>
    <w:rsid w:val="00BF1FFE"/>
    <w:rsid w:val="00BF62A9"/>
    <w:rsid w:val="00C00607"/>
    <w:rsid w:val="00C05CAD"/>
    <w:rsid w:val="00C10A59"/>
    <w:rsid w:val="00C156C8"/>
    <w:rsid w:val="00C16AF2"/>
    <w:rsid w:val="00C227C9"/>
    <w:rsid w:val="00C2321E"/>
    <w:rsid w:val="00C311CF"/>
    <w:rsid w:val="00C34B17"/>
    <w:rsid w:val="00C46017"/>
    <w:rsid w:val="00C4732B"/>
    <w:rsid w:val="00C475C3"/>
    <w:rsid w:val="00C53FCD"/>
    <w:rsid w:val="00C60598"/>
    <w:rsid w:val="00C66307"/>
    <w:rsid w:val="00C73183"/>
    <w:rsid w:val="00C76079"/>
    <w:rsid w:val="00C81734"/>
    <w:rsid w:val="00C85827"/>
    <w:rsid w:val="00C918ED"/>
    <w:rsid w:val="00C92464"/>
    <w:rsid w:val="00C97541"/>
    <w:rsid w:val="00CA1B54"/>
    <w:rsid w:val="00CA2D22"/>
    <w:rsid w:val="00CA6084"/>
    <w:rsid w:val="00CC13F8"/>
    <w:rsid w:val="00CC64C4"/>
    <w:rsid w:val="00CD0E80"/>
    <w:rsid w:val="00CD374C"/>
    <w:rsid w:val="00CE441B"/>
    <w:rsid w:val="00CE4C50"/>
    <w:rsid w:val="00CF0DC3"/>
    <w:rsid w:val="00CF66E1"/>
    <w:rsid w:val="00D00863"/>
    <w:rsid w:val="00D01913"/>
    <w:rsid w:val="00D04E88"/>
    <w:rsid w:val="00D056BF"/>
    <w:rsid w:val="00D06824"/>
    <w:rsid w:val="00D10884"/>
    <w:rsid w:val="00D13204"/>
    <w:rsid w:val="00D15306"/>
    <w:rsid w:val="00D3160B"/>
    <w:rsid w:val="00D32FE2"/>
    <w:rsid w:val="00D35D44"/>
    <w:rsid w:val="00D36B37"/>
    <w:rsid w:val="00D543D1"/>
    <w:rsid w:val="00D60D75"/>
    <w:rsid w:val="00D61A21"/>
    <w:rsid w:val="00D675DF"/>
    <w:rsid w:val="00D72726"/>
    <w:rsid w:val="00D77DB5"/>
    <w:rsid w:val="00D82510"/>
    <w:rsid w:val="00D91751"/>
    <w:rsid w:val="00D91777"/>
    <w:rsid w:val="00D92A47"/>
    <w:rsid w:val="00DA228B"/>
    <w:rsid w:val="00DA387A"/>
    <w:rsid w:val="00DA49A7"/>
    <w:rsid w:val="00DB18F6"/>
    <w:rsid w:val="00DB5642"/>
    <w:rsid w:val="00DC4ABC"/>
    <w:rsid w:val="00DD0583"/>
    <w:rsid w:val="00DD10F4"/>
    <w:rsid w:val="00DD5F3D"/>
    <w:rsid w:val="00DE3926"/>
    <w:rsid w:val="00DE3C5B"/>
    <w:rsid w:val="00DF1FE3"/>
    <w:rsid w:val="00DF6575"/>
    <w:rsid w:val="00E0126C"/>
    <w:rsid w:val="00E0197C"/>
    <w:rsid w:val="00E24067"/>
    <w:rsid w:val="00E2745F"/>
    <w:rsid w:val="00E304AF"/>
    <w:rsid w:val="00E36D2B"/>
    <w:rsid w:val="00E43BD9"/>
    <w:rsid w:val="00E43FCF"/>
    <w:rsid w:val="00E44333"/>
    <w:rsid w:val="00E45CB6"/>
    <w:rsid w:val="00E65753"/>
    <w:rsid w:val="00E661D7"/>
    <w:rsid w:val="00E66A5F"/>
    <w:rsid w:val="00E76DA9"/>
    <w:rsid w:val="00E82A93"/>
    <w:rsid w:val="00E851BA"/>
    <w:rsid w:val="00E92B6E"/>
    <w:rsid w:val="00E96B10"/>
    <w:rsid w:val="00EA1BCF"/>
    <w:rsid w:val="00EA565C"/>
    <w:rsid w:val="00EA7BC7"/>
    <w:rsid w:val="00EC058F"/>
    <w:rsid w:val="00EC3935"/>
    <w:rsid w:val="00EC7C65"/>
    <w:rsid w:val="00ED59DE"/>
    <w:rsid w:val="00EE4816"/>
    <w:rsid w:val="00EF066B"/>
    <w:rsid w:val="00EF135C"/>
    <w:rsid w:val="00F1267E"/>
    <w:rsid w:val="00F262CF"/>
    <w:rsid w:val="00F32333"/>
    <w:rsid w:val="00F42B52"/>
    <w:rsid w:val="00F4330D"/>
    <w:rsid w:val="00F45AE2"/>
    <w:rsid w:val="00F55A26"/>
    <w:rsid w:val="00F60714"/>
    <w:rsid w:val="00F60B4A"/>
    <w:rsid w:val="00F62D84"/>
    <w:rsid w:val="00F65389"/>
    <w:rsid w:val="00F77F83"/>
    <w:rsid w:val="00F83502"/>
    <w:rsid w:val="00F851F6"/>
    <w:rsid w:val="00F93017"/>
    <w:rsid w:val="00F93750"/>
    <w:rsid w:val="00F9571C"/>
    <w:rsid w:val="00FA31FC"/>
    <w:rsid w:val="00FB0FB3"/>
    <w:rsid w:val="00FB5331"/>
    <w:rsid w:val="00FB6647"/>
    <w:rsid w:val="00FB678B"/>
    <w:rsid w:val="00FD6E52"/>
    <w:rsid w:val="00FE7EB3"/>
    <w:rsid w:val="00FF21C0"/>
    <w:rsid w:val="00FF46F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Iskoola Pota"/>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74"/>
    <w:pPr>
      <w:spacing w:before="120" w:after="120"/>
      <w:jc w:val="both"/>
    </w:pPr>
    <w:rPr>
      <w:rFonts w:ascii="Times New Roman" w:hAnsi="Times New Roman" w:cs="Times New Roman"/>
      <w:sz w:val="24"/>
    </w:rPr>
  </w:style>
  <w:style w:type="paragraph" w:styleId="Heading1">
    <w:name w:val="heading 1"/>
    <w:basedOn w:val="Normal"/>
    <w:next w:val="Text1"/>
    <w:link w:val="Heading1Char"/>
    <w:uiPriority w:val="99"/>
    <w:qFormat/>
    <w:rsid w:val="00916A74"/>
    <w:pPr>
      <w:keepNext/>
      <w:numPr>
        <w:numId w:val="2"/>
      </w:numPr>
      <w:spacing w:before="360"/>
      <w:outlineLvl w:val="0"/>
    </w:pPr>
    <w:rPr>
      <w:rFonts w:eastAsia="SimSun"/>
      <w:b/>
      <w:bCs/>
      <w:smallCaps/>
      <w:szCs w:val="28"/>
    </w:rPr>
  </w:style>
  <w:style w:type="paragraph" w:styleId="Heading2">
    <w:name w:val="heading 2"/>
    <w:basedOn w:val="Normal"/>
    <w:next w:val="Text1"/>
    <w:link w:val="Heading2Char"/>
    <w:uiPriority w:val="99"/>
    <w:qFormat/>
    <w:rsid w:val="00916A74"/>
    <w:pPr>
      <w:keepNext/>
      <w:numPr>
        <w:ilvl w:val="1"/>
        <w:numId w:val="2"/>
      </w:numPr>
      <w:outlineLvl w:val="1"/>
    </w:pPr>
    <w:rPr>
      <w:rFonts w:eastAsia="SimSun"/>
      <w:b/>
      <w:bCs/>
      <w:szCs w:val="26"/>
    </w:rPr>
  </w:style>
  <w:style w:type="paragraph" w:styleId="Heading3">
    <w:name w:val="heading 3"/>
    <w:basedOn w:val="Normal"/>
    <w:next w:val="Text1"/>
    <w:link w:val="Heading3Char"/>
    <w:uiPriority w:val="99"/>
    <w:qFormat/>
    <w:rsid w:val="00916A74"/>
    <w:pPr>
      <w:keepNext/>
      <w:numPr>
        <w:ilvl w:val="2"/>
        <w:numId w:val="2"/>
      </w:numPr>
      <w:outlineLvl w:val="2"/>
    </w:pPr>
    <w:rPr>
      <w:rFonts w:eastAsia="SimSun"/>
      <w:bCs/>
      <w:i/>
    </w:rPr>
  </w:style>
  <w:style w:type="paragraph" w:styleId="Heading4">
    <w:name w:val="heading 4"/>
    <w:basedOn w:val="Normal"/>
    <w:next w:val="Text1"/>
    <w:link w:val="Heading4Char"/>
    <w:uiPriority w:val="99"/>
    <w:qFormat/>
    <w:rsid w:val="00916A74"/>
    <w:pPr>
      <w:keepNext/>
      <w:numPr>
        <w:ilvl w:val="3"/>
        <w:numId w:val="2"/>
      </w:numPr>
      <w:tabs>
        <w:tab w:val="clear" w:pos="1690"/>
        <w:tab w:val="num" w:pos="850"/>
      </w:tabs>
      <w:ind w:left="850"/>
      <w:outlineLvl w:val="3"/>
    </w:pPr>
    <w:rPr>
      <w:rFonts w:eastAsia="SimSun"/>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A74"/>
    <w:rPr>
      <w:rFonts w:ascii="Times New Roman" w:eastAsia="SimSun" w:hAnsi="Times New Roman" w:cs="Times New Roman"/>
      <w:b/>
      <w:bCs/>
      <w:smallCaps/>
      <w:sz w:val="28"/>
      <w:szCs w:val="28"/>
    </w:rPr>
  </w:style>
  <w:style w:type="character" w:customStyle="1" w:styleId="Heading2Char">
    <w:name w:val="Heading 2 Char"/>
    <w:basedOn w:val="DefaultParagraphFont"/>
    <w:link w:val="Heading2"/>
    <w:uiPriority w:val="99"/>
    <w:semiHidden/>
    <w:locked/>
    <w:rsid w:val="00916A74"/>
    <w:rPr>
      <w:rFonts w:ascii="Times New Roman" w:eastAsia="SimSun" w:hAnsi="Times New Roman" w:cs="Times New Roman"/>
      <w:b/>
      <w:bCs/>
      <w:sz w:val="26"/>
      <w:szCs w:val="26"/>
    </w:rPr>
  </w:style>
  <w:style w:type="character" w:customStyle="1" w:styleId="Heading3Char">
    <w:name w:val="Heading 3 Char"/>
    <w:basedOn w:val="DefaultParagraphFont"/>
    <w:link w:val="Heading3"/>
    <w:uiPriority w:val="99"/>
    <w:semiHidden/>
    <w:locked/>
    <w:rsid w:val="00916A74"/>
    <w:rPr>
      <w:rFonts w:ascii="Times New Roman" w:eastAsia="SimSun" w:hAnsi="Times New Roman" w:cs="Times New Roman"/>
      <w:bCs/>
      <w:i/>
      <w:sz w:val="24"/>
    </w:rPr>
  </w:style>
  <w:style w:type="character" w:customStyle="1" w:styleId="Heading4Char">
    <w:name w:val="Heading 4 Char"/>
    <w:basedOn w:val="DefaultParagraphFont"/>
    <w:link w:val="Heading4"/>
    <w:uiPriority w:val="99"/>
    <w:locked/>
    <w:rsid w:val="00916A74"/>
    <w:rPr>
      <w:rFonts w:ascii="Times New Roman" w:eastAsia="SimSun" w:hAnsi="Times New Roman" w:cs="Times New Roman"/>
      <w:bCs/>
      <w:iCs/>
      <w:sz w:val="24"/>
    </w:rPr>
  </w:style>
  <w:style w:type="character" w:styleId="Hyperlink">
    <w:name w:val="Hyperlink"/>
    <w:basedOn w:val="DefaultParagraphFont"/>
    <w:uiPriority w:val="99"/>
    <w:rsid w:val="00916A74"/>
    <w:rPr>
      <w:rFonts w:cs="Times New Roman"/>
      <w:color w:val="0000FF"/>
      <w:u w:val="single"/>
      <w:shd w:val="clear" w:color="auto" w:fill="auto"/>
    </w:rPr>
  </w:style>
  <w:style w:type="paragraph" w:customStyle="1" w:styleId="CM4">
    <w:name w:val="CM4"/>
    <w:basedOn w:val="Normal"/>
    <w:next w:val="Normal"/>
    <w:uiPriority w:val="99"/>
    <w:rsid w:val="00916A74"/>
    <w:pPr>
      <w:autoSpaceDE w:val="0"/>
      <w:autoSpaceDN w:val="0"/>
      <w:adjustRightInd w:val="0"/>
      <w:spacing w:before="0" w:after="0"/>
      <w:jc w:val="left"/>
    </w:pPr>
    <w:rPr>
      <w:rFonts w:ascii="EUAlbertina" w:hAnsi="EUAlbertina"/>
      <w:szCs w:val="24"/>
    </w:rPr>
  </w:style>
  <w:style w:type="table" w:styleId="TableGrid">
    <w:name w:val="Table Grid"/>
    <w:basedOn w:val="TableNormal"/>
    <w:uiPriority w:val="99"/>
    <w:rsid w:val="00916A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6A74"/>
    <w:pPr>
      <w:ind w:left="720"/>
      <w:contextualSpacing/>
    </w:pPr>
  </w:style>
  <w:style w:type="paragraph" w:styleId="Footer">
    <w:name w:val="footer"/>
    <w:basedOn w:val="Normal"/>
    <w:link w:val="FooterChar"/>
    <w:uiPriority w:val="99"/>
    <w:rsid w:val="00916A7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locked/>
    <w:rsid w:val="00916A74"/>
    <w:rPr>
      <w:rFonts w:ascii="Times New Roman" w:hAnsi="Times New Roman" w:cs="Times New Roman"/>
      <w:sz w:val="24"/>
    </w:rPr>
  </w:style>
  <w:style w:type="paragraph" w:styleId="FootnoteText">
    <w:name w:val="footnote text"/>
    <w:basedOn w:val="Normal"/>
    <w:link w:val="FootnoteTextChar"/>
    <w:uiPriority w:val="99"/>
    <w:semiHidden/>
    <w:rsid w:val="00916A74"/>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locked/>
    <w:rsid w:val="00916A74"/>
    <w:rPr>
      <w:rFonts w:ascii="Times New Roman" w:hAnsi="Times New Roman" w:cs="Times New Roman"/>
      <w:sz w:val="20"/>
      <w:szCs w:val="20"/>
    </w:rPr>
  </w:style>
  <w:style w:type="character" w:styleId="FootnoteReference">
    <w:name w:val="footnote reference"/>
    <w:basedOn w:val="DefaultParagraphFont"/>
    <w:uiPriority w:val="99"/>
    <w:semiHidden/>
    <w:rsid w:val="00916A74"/>
    <w:rPr>
      <w:rFonts w:cs="Times New Roman"/>
      <w:shd w:val="clear" w:color="auto" w:fill="auto"/>
      <w:vertAlign w:val="superscript"/>
    </w:rPr>
  </w:style>
  <w:style w:type="paragraph" w:customStyle="1" w:styleId="Text1">
    <w:name w:val="Text 1"/>
    <w:basedOn w:val="Normal"/>
    <w:uiPriority w:val="99"/>
    <w:rsid w:val="00916A74"/>
    <w:pPr>
      <w:ind w:left="850"/>
    </w:pPr>
  </w:style>
  <w:style w:type="paragraph" w:customStyle="1" w:styleId="Tiret0">
    <w:name w:val="Tiret 0"/>
    <w:basedOn w:val="Normal"/>
    <w:uiPriority w:val="99"/>
    <w:rsid w:val="00916A74"/>
    <w:pPr>
      <w:numPr>
        <w:numId w:val="3"/>
      </w:numPr>
    </w:pPr>
  </w:style>
  <w:style w:type="character" w:customStyle="1" w:styleId="Marker">
    <w:name w:val="Marker"/>
    <w:basedOn w:val="DefaultParagraphFont"/>
    <w:uiPriority w:val="99"/>
    <w:rsid w:val="00916A74"/>
    <w:rPr>
      <w:rFonts w:cs="Times New Roman"/>
      <w:color w:val="0000FF"/>
      <w:shd w:val="clear" w:color="auto" w:fill="auto"/>
    </w:rPr>
  </w:style>
  <w:style w:type="paragraph" w:customStyle="1" w:styleId="Point0number">
    <w:name w:val="Point 0 (number)"/>
    <w:basedOn w:val="Normal"/>
    <w:uiPriority w:val="99"/>
    <w:rsid w:val="00916A74"/>
    <w:pPr>
      <w:numPr>
        <w:numId w:val="6"/>
      </w:numPr>
    </w:pPr>
  </w:style>
  <w:style w:type="paragraph" w:customStyle="1" w:styleId="Point1number">
    <w:name w:val="Point 1 (number)"/>
    <w:basedOn w:val="Normal"/>
    <w:uiPriority w:val="99"/>
    <w:rsid w:val="00916A74"/>
    <w:pPr>
      <w:numPr>
        <w:ilvl w:val="2"/>
        <w:numId w:val="6"/>
      </w:numPr>
    </w:pPr>
  </w:style>
  <w:style w:type="paragraph" w:customStyle="1" w:styleId="Point2number">
    <w:name w:val="Point 2 (number)"/>
    <w:basedOn w:val="Normal"/>
    <w:uiPriority w:val="99"/>
    <w:rsid w:val="00916A74"/>
    <w:pPr>
      <w:numPr>
        <w:ilvl w:val="4"/>
        <w:numId w:val="6"/>
      </w:numPr>
    </w:pPr>
  </w:style>
  <w:style w:type="paragraph" w:customStyle="1" w:styleId="Point3number">
    <w:name w:val="Point 3 (number)"/>
    <w:basedOn w:val="Normal"/>
    <w:uiPriority w:val="99"/>
    <w:rsid w:val="00916A74"/>
    <w:pPr>
      <w:numPr>
        <w:ilvl w:val="6"/>
        <w:numId w:val="6"/>
      </w:numPr>
    </w:pPr>
  </w:style>
  <w:style w:type="paragraph" w:customStyle="1" w:styleId="Point0letter">
    <w:name w:val="Point 0 (letter)"/>
    <w:basedOn w:val="Normal"/>
    <w:uiPriority w:val="99"/>
    <w:rsid w:val="00916A74"/>
    <w:pPr>
      <w:numPr>
        <w:ilvl w:val="1"/>
        <w:numId w:val="6"/>
      </w:numPr>
    </w:pPr>
  </w:style>
  <w:style w:type="paragraph" w:customStyle="1" w:styleId="Point1letter">
    <w:name w:val="Point 1 (letter)"/>
    <w:basedOn w:val="Normal"/>
    <w:uiPriority w:val="99"/>
    <w:rsid w:val="00916A74"/>
    <w:pPr>
      <w:numPr>
        <w:ilvl w:val="3"/>
        <w:numId w:val="6"/>
      </w:numPr>
    </w:pPr>
  </w:style>
  <w:style w:type="paragraph" w:customStyle="1" w:styleId="Point2letter">
    <w:name w:val="Point 2 (letter)"/>
    <w:basedOn w:val="Normal"/>
    <w:uiPriority w:val="99"/>
    <w:rsid w:val="00916A74"/>
    <w:pPr>
      <w:numPr>
        <w:ilvl w:val="5"/>
        <w:numId w:val="6"/>
      </w:numPr>
    </w:pPr>
  </w:style>
  <w:style w:type="paragraph" w:customStyle="1" w:styleId="Point3letter">
    <w:name w:val="Point 3 (letter)"/>
    <w:basedOn w:val="Normal"/>
    <w:uiPriority w:val="99"/>
    <w:rsid w:val="00916A74"/>
    <w:pPr>
      <w:numPr>
        <w:ilvl w:val="7"/>
        <w:numId w:val="6"/>
      </w:numPr>
    </w:pPr>
  </w:style>
  <w:style w:type="paragraph" w:customStyle="1" w:styleId="Point4letter">
    <w:name w:val="Point 4 (letter)"/>
    <w:basedOn w:val="Normal"/>
    <w:uiPriority w:val="99"/>
    <w:rsid w:val="00916A74"/>
    <w:pPr>
      <w:numPr>
        <w:ilvl w:val="8"/>
        <w:numId w:val="6"/>
      </w:numPr>
    </w:pPr>
  </w:style>
  <w:style w:type="paragraph" w:styleId="BalloonText">
    <w:name w:val="Balloon Text"/>
    <w:basedOn w:val="Normal"/>
    <w:link w:val="BalloonTextChar"/>
    <w:uiPriority w:val="99"/>
    <w:semiHidden/>
    <w:rsid w:val="00AE76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7688"/>
    <w:rPr>
      <w:rFonts w:ascii="Tahoma" w:hAnsi="Tahoma" w:cs="Tahoma"/>
      <w:sz w:val="16"/>
      <w:szCs w:val="16"/>
    </w:rPr>
  </w:style>
  <w:style w:type="paragraph" w:customStyle="1" w:styleId="doc-ti">
    <w:name w:val="doc-ti"/>
    <w:basedOn w:val="Normal"/>
    <w:uiPriority w:val="99"/>
    <w:rsid w:val="00091F19"/>
    <w:pPr>
      <w:spacing w:before="240"/>
      <w:jc w:val="center"/>
    </w:pPr>
    <w:rPr>
      <w:rFonts w:eastAsia="Times New Roman"/>
      <w:b/>
      <w:bCs/>
      <w:szCs w:val="24"/>
    </w:rPr>
  </w:style>
  <w:style w:type="character" w:styleId="CommentReference">
    <w:name w:val="annotation reference"/>
    <w:basedOn w:val="DefaultParagraphFont"/>
    <w:uiPriority w:val="99"/>
    <w:semiHidden/>
    <w:rsid w:val="00C05CAD"/>
    <w:rPr>
      <w:rFonts w:cs="Times New Roman"/>
      <w:sz w:val="16"/>
      <w:szCs w:val="16"/>
    </w:rPr>
  </w:style>
  <w:style w:type="paragraph" w:styleId="CommentText">
    <w:name w:val="annotation text"/>
    <w:basedOn w:val="Normal"/>
    <w:link w:val="CommentTextChar"/>
    <w:uiPriority w:val="99"/>
    <w:semiHidden/>
    <w:rsid w:val="00C05CAD"/>
    <w:rPr>
      <w:sz w:val="20"/>
      <w:szCs w:val="20"/>
    </w:rPr>
  </w:style>
  <w:style w:type="character" w:customStyle="1" w:styleId="CommentTextChar">
    <w:name w:val="Comment Text Char"/>
    <w:basedOn w:val="DefaultParagraphFont"/>
    <w:link w:val="CommentText"/>
    <w:uiPriority w:val="99"/>
    <w:semiHidden/>
    <w:locked/>
    <w:rsid w:val="00C05CA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5CAD"/>
    <w:rPr>
      <w:b/>
      <w:bCs/>
    </w:rPr>
  </w:style>
  <w:style w:type="character" w:customStyle="1" w:styleId="CommentSubjectChar">
    <w:name w:val="Comment Subject Char"/>
    <w:basedOn w:val="CommentTextChar"/>
    <w:link w:val="CommentSubject"/>
    <w:uiPriority w:val="99"/>
    <w:semiHidden/>
    <w:locked/>
    <w:rsid w:val="00C05CAD"/>
    <w:rPr>
      <w:b/>
      <w:bCs/>
    </w:rPr>
  </w:style>
  <w:style w:type="paragraph" w:styleId="Revision">
    <w:name w:val="Revision"/>
    <w:hidden/>
    <w:uiPriority w:val="99"/>
    <w:semiHidden/>
    <w:rsid w:val="005406E1"/>
    <w:rPr>
      <w:rFonts w:ascii="Times New Roman" w:hAnsi="Times New Roman" w:cs="Times New Roman"/>
      <w:sz w:val="24"/>
    </w:rPr>
  </w:style>
  <w:style w:type="paragraph" w:styleId="Header">
    <w:name w:val="header"/>
    <w:basedOn w:val="Normal"/>
    <w:link w:val="HeaderChar"/>
    <w:uiPriority w:val="99"/>
    <w:rsid w:val="000F2583"/>
    <w:pPr>
      <w:tabs>
        <w:tab w:val="center" w:pos="4536"/>
        <w:tab w:val="right" w:pos="9072"/>
      </w:tabs>
      <w:spacing w:before="0" w:after="0"/>
    </w:pPr>
  </w:style>
  <w:style w:type="character" w:customStyle="1" w:styleId="HeaderChar">
    <w:name w:val="Header Char"/>
    <w:basedOn w:val="DefaultParagraphFont"/>
    <w:link w:val="Header"/>
    <w:uiPriority w:val="99"/>
    <w:locked/>
    <w:rsid w:val="000F2583"/>
    <w:rPr>
      <w:rFonts w:ascii="Times New Roman" w:hAnsi="Times New Roman" w:cs="Times New Roman"/>
      <w:sz w:val="24"/>
    </w:rPr>
  </w:style>
  <w:style w:type="character" w:customStyle="1" w:styleId="Marker2">
    <w:name w:val="Marker2"/>
    <w:basedOn w:val="DefaultParagraphFont"/>
    <w:uiPriority w:val="99"/>
    <w:rsid w:val="00B00EAA"/>
    <w:rPr>
      <w:rFonts w:cs="Times New Roman"/>
      <w:color w:val="FF0000"/>
    </w:rPr>
  </w:style>
  <w:style w:type="paragraph" w:customStyle="1" w:styleId="Default">
    <w:name w:val="Default"/>
    <w:uiPriority w:val="99"/>
    <w:rsid w:val="000931F0"/>
    <w:pPr>
      <w:autoSpaceDE w:val="0"/>
      <w:autoSpaceDN w:val="0"/>
      <w:adjustRightInd w:val="0"/>
    </w:pPr>
    <w:rPr>
      <w:rFonts w:ascii="EUAlbertina" w:hAnsi="EUAlbertina" w:cs="EUAlberti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nstats.un.org/unsd/methods/m49/m49reg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23</Pages>
  <Words>6647</Words>
  <Characters>-32766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Carole (AGRI)</dc:creator>
  <cp:keywords/>
  <dc:description/>
  <cp:lastModifiedBy>istatkova</cp:lastModifiedBy>
  <cp:revision>67</cp:revision>
  <cp:lastPrinted>2016-08-29T14:53:00Z</cp:lastPrinted>
  <dcterms:created xsi:type="dcterms:W3CDTF">2017-01-23T11:03:00Z</dcterms:created>
  <dcterms:modified xsi:type="dcterms:W3CDTF">2017-02-09T13:34:00Z</dcterms:modified>
</cp:coreProperties>
</file>