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7E" w:rsidRDefault="003A587E">
      <w:pPr>
        <w:pStyle w:val="Typedudocument"/>
        <w:rPr>
          <w:noProof/>
        </w:rPr>
      </w:pPr>
      <w:r>
        <w:t>РЕШЕНИЕ ЗА ИЗПЪЛНЕНИЕ НА КОМИСИЯТА</w:t>
      </w:r>
    </w:p>
    <w:p w:rsidR="003A587E" w:rsidRDefault="003A587E">
      <w:pPr>
        <w:pStyle w:val="Datedadoption"/>
        <w:rPr>
          <w:noProof/>
        </w:rPr>
      </w:pPr>
      <w:r>
        <w:t>от 9.11.2016 г.</w:t>
      </w:r>
    </w:p>
    <w:p w:rsidR="003A587E" w:rsidRDefault="003A587E">
      <w:pPr>
        <w:pStyle w:val="Titreobjet"/>
        <w:rPr>
          <w:noProof/>
        </w:rPr>
      </w:pPr>
      <w:r>
        <w:t xml:space="preserve">относно приемането на работната програма за 2017 г. за мерките за информиране и насърчаване, свързани със селскостопанските продукти, прилагани на вътрешния пазар и в трети държави </w:t>
      </w:r>
    </w:p>
    <w:p w:rsidR="003A587E" w:rsidRDefault="003A587E">
      <w:pPr>
        <w:pStyle w:val="Institutionquiagit"/>
        <w:rPr>
          <w:noProof/>
        </w:rPr>
      </w:pPr>
      <w:r>
        <w:t>ЕВРОПЕЙСКАТА КОМИСИЯ,</w:t>
      </w:r>
    </w:p>
    <w:p w:rsidR="003A587E" w:rsidRDefault="003A587E">
      <w:pPr>
        <w:rPr>
          <w:noProof/>
          <w:szCs w:val="24"/>
        </w:rPr>
      </w:pPr>
      <w:r>
        <w:t>като взе предвид Договора за функционирането на Европейския съюз,</w:t>
      </w:r>
    </w:p>
    <w:p w:rsidR="003A587E" w:rsidRDefault="003A587E">
      <w:pPr>
        <w:rPr>
          <w:noProof/>
          <w:szCs w:val="24"/>
        </w:rPr>
      </w:pPr>
      <w:r>
        <w:t>като взе предвид Регламент (ЕС) № 1144/2014 на Европейския парламент и на Съвета от 22 октомври 2014 г. за мерките за информиране и насърчаване, свързани със селскостопанските продукти, прилагани на вътрешния пазар и в трети държави, и за отмяна на Регламент (ЕО) № 3/2008 на Съвета</w:t>
      </w:r>
      <w:r>
        <w:rPr>
          <w:rStyle w:val="FootnoteReference"/>
          <w:noProof/>
        </w:rPr>
        <w:footnoteReference w:id="2"/>
      </w:r>
      <w:r>
        <w:t>, и по-специално член 8 от него,</w:t>
      </w:r>
    </w:p>
    <w:p w:rsidR="003A587E" w:rsidRDefault="003A587E">
      <w:pPr>
        <w:rPr>
          <w:noProof/>
          <w:szCs w:val="24"/>
        </w:rPr>
      </w:pPr>
      <w:r>
        <w:t>като взе предвид Регламент (ЕС, Евратом) № 966/2012 на Европейския парламент и на Съвета от 25 октомври 2012 г. относно финансовите правила, приложими за общия бюджет на Съюза, и за отмяна на Регламент (ЕО, Евратом) № 1605/2002 на Съвета</w:t>
      </w:r>
      <w:r>
        <w:rPr>
          <w:rStyle w:val="FootnoteReference"/>
          <w:noProof/>
        </w:rPr>
        <w:footnoteReference w:id="3"/>
      </w:r>
      <w:r>
        <w:t>, и по-специално член 84, параграф 2 от него.</w:t>
      </w:r>
    </w:p>
    <w:p w:rsidR="003A587E" w:rsidRDefault="003A587E">
      <w:pPr>
        <w:rPr>
          <w:noProof/>
        </w:rPr>
      </w:pPr>
    </w:p>
    <w:p w:rsidR="003A587E" w:rsidRDefault="003A587E">
      <w:pPr>
        <w:rPr>
          <w:noProof/>
          <w:szCs w:val="24"/>
        </w:rPr>
      </w:pPr>
      <w:r>
        <w:t>като има предвид, че:</w:t>
      </w:r>
    </w:p>
    <w:p w:rsidR="003A587E" w:rsidRDefault="003A587E">
      <w:pPr>
        <w:pStyle w:val="Point0number"/>
        <w:numPr>
          <w:ilvl w:val="0"/>
          <w:numId w:val="25"/>
        </w:numPr>
        <w:rPr>
          <w:noProof/>
        </w:rPr>
      </w:pPr>
      <w:r>
        <w:t>Съгласно Регламент (ЕС) № 1144/2014 прякото и споделеното управление трябва да се използват за изпълнението на мерките за информиране и насърчаване.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Съгласно член 15, параграф 7 от Регламент (ЕС) № 1144/2014 финансирането на обикновени програми се изпълнява от държавите-членки в режим на споделено управление.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Съгласно член 16, параграф 2 от Регламент (ЕС) № 1144/2014 финансирането на многонационалните програми и мерките по инициатива на Комисията се изпълнява от Комисията в режим на пряко управление.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За да се гарантира изпълнението на мерките за информиране и насърчаване, е необходимо да се приеме работната програма, която обхваща обикновени програми, многонационални програми и мерки, изпълнявани по инициатива на Комисията.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За бюджетни кредити в режим на пряко управление е необходимо приемането на решение за финансиране, както е посочено в член 94 от Делегиран регламент (ЕС) № 1268/2012 на Комисията</w:t>
      </w:r>
      <w:r>
        <w:rPr>
          <w:rStyle w:val="FootnoteReference"/>
          <w:noProof/>
        </w:rPr>
        <w:footnoteReference w:id="4"/>
      </w:r>
      <w:r>
        <w:t xml:space="preserve">. 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За бюджетни кредити в режим на пряко управление е необходимо да се разреши изплащането на лихва за забавено плащане, както е посочено в член 92 от Регламент (ЕС, Евратом) № 966/2012 и член 111, параграф 4 от Делегиран регламент (ЕС) № 1268/2012.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За целите на изпълнението на многонационални програми и мерки по инициатива на Комисията, които не надвишават 20% от максималното участие, определено в настоящото Решение и с цел осигуряване на гъвкавост при изпълнението на работната програма, уместно е да се изясни понятието „съществена промяна“ по смисъла на член 94, параграф 4 от Делегиран регламент (ЕС) № 1268/2012.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 xml:space="preserve">Работната програма трябва да гарантира конкретни временни мерки за реагиране на сериозни смущения на пазара или загуба на потребителското доверие, както е предвидено в член 8, параграф 1 от Регламент (ЕС) № 1144/2014. Поради това, ако се наложи, е необходимо да се предвиди възможност за допълнителна покана за набиране на проектни предложения през годината. 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Комисията се консултира с групата за граждански диалог за качество и насърчаване и получи мнения от заинтересовани страни.</w:t>
      </w:r>
    </w:p>
    <w:p w:rsidR="003A587E" w:rsidRDefault="003A587E">
      <w:pPr>
        <w:pStyle w:val="Point0number"/>
        <w:numPr>
          <w:ilvl w:val="0"/>
          <w:numId w:val="47"/>
        </w:numPr>
        <w:rPr>
          <w:noProof/>
        </w:rPr>
      </w:pPr>
      <w:r>
        <w:t>Мерките, предвидени в настоящото Решение, са в съответствие със становището на Комитета за общата организация на селскостопанските пазари,</w:t>
      </w:r>
    </w:p>
    <w:p w:rsidR="003A587E" w:rsidRDefault="003A587E">
      <w:pPr>
        <w:pStyle w:val="Formuledadoption"/>
        <w:rPr>
          <w:noProof/>
        </w:rPr>
      </w:pPr>
      <w:r>
        <w:t>РЕШИ:</w:t>
      </w:r>
    </w:p>
    <w:p w:rsidR="003A587E" w:rsidRDefault="003A587E">
      <w:pPr>
        <w:keepNext/>
        <w:spacing w:before="360"/>
        <w:jc w:val="center"/>
        <w:rPr>
          <w:i/>
          <w:noProof/>
          <w:szCs w:val="24"/>
        </w:rPr>
      </w:pPr>
      <w:r>
        <w:rPr>
          <w:i/>
          <w:noProof/>
        </w:rPr>
        <w:t>Член 1</w:t>
      </w:r>
      <w:r>
        <w:rPr>
          <w:i/>
          <w:noProof/>
          <w:szCs w:val="24"/>
        </w:rPr>
        <w:br/>
      </w:r>
      <w:r>
        <w:rPr>
          <w:i/>
          <w:noProof/>
        </w:rPr>
        <w:t>Работна програма и критерии за финансово участие на Съюза</w:t>
      </w:r>
    </w:p>
    <w:p w:rsidR="003A587E" w:rsidRDefault="003A587E">
      <w:pPr>
        <w:rPr>
          <w:b/>
          <w:noProof/>
          <w:color w:val="003366"/>
          <w:szCs w:val="24"/>
        </w:rPr>
      </w:pPr>
      <w:r>
        <w:t>Приема работната програма за финансиране на мерките за информиране и насърчаване по отношение на селскостопански продукти, изпълнявани на вътрешния пазар и в трети държави през 2017 г., съгласно посоченото в Приложение 1, както и подбора, възлагането и други критерии за финансово участие в дейности, съгласно посоченото в Приложения ІІ и ІІІ.</w:t>
      </w:r>
    </w:p>
    <w:p w:rsidR="003A587E" w:rsidRDefault="003A587E">
      <w:pPr>
        <w:rPr>
          <w:noProof/>
          <w:szCs w:val="24"/>
        </w:rPr>
      </w:pPr>
      <w:r>
        <w:t>За бюджетни кредити по бюджетен ред 05 02 10 02, годишната работна програма се явява решение за финансиране по смисъла на член 84 от Регламент (ЕС, Евратом) № 966/2012.</w:t>
      </w:r>
    </w:p>
    <w:p w:rsidR="003A587E" w:rsidRDefault="003A587E">
      <w:pPr>
        <w:rPr>
          <w:noProof/>
          <w:szCs w:val="24"/>
        </w:rPr>
      </w:pPr>
      <w:r>
        <w:t>Изпълнението на настоящото Решение зависи от наличието на бюджетни кредити, заложени в общия бюджет на Съюза за 2017 г., след приемането му от бюджетния орган или съгласно определеното в системата на временните суми от една дванадесета.</w:t>
      </w:r>
    </w:p>
    <w:p w:rsidR="003A587E" w:rsidRDefault="003A587E">
      <w:pPr>
        <w:rPr>
          <w:noProof/>
          <w:szCs w:val="24"/>
        </w:rPr>
      </w:pPr>
    </w:p>
    <w:p w:rsidR="003A587E" w:rsidRDefault="003A587E">
      <w:pPr>
        <w:keepNext/>
        <w:spacing w:before="360"/>
        <w:jc w:val="center"/>
        <w:rPr>
          <w:i/>
          <w:noProof/>
          <w:szCs w:val="24"/>
        </w:rPr>
      </w:pPr>
      <w:r>
        <w:rPr>
          <w:i/>
        </w:rPr>
        <w:t>Член 2</w:t>
      </w:r>
      <w:r>
        <w:br/>
      </w:r>
      <w:r>
        <w:rPr>
          <w:i/>
        </w:rPr>
        <w:t>Финансово участие на Съюза в многонационални програми и  мерки, прилагани по инициатива на Комисията</w:t>
      </w:r>
    </w:p>
    <w:p w:rsidR="003A587E" w:rsidRDefault="003A587E">
      <w:pPr>
        <w:rPr>
          <w:noProof/>
          <w:szCs w:val="24"/>
        </w:rPr>
      </w:pPr>
      <w:r>
        <w:t>Максималното финансово участие на Съюза при изпълнението на многонационални програми и мерки по инициатива на Комисията за 2017 г. се определя в размер на 52 500 000 евро и се финансира от бюджетните кредити, вписани в бюджетен ред 05 02 10 02 от общия бюджет на Съюза за 2017 г.</w:t>
      </w:r>
    </w:p>
    <w:p w:rsidR="003A587E" w:rsidRDefault="003A587E">
      <w:pPr>
        <w:rPr>
          <w:noProof/>
          <w:szCs w:val="24"/>
        </w:rPr>
      </w:pPr>
      <w:r>
        <w:t>Бюджетните кредити, предвидени в първия параграф могат да покриват и дължимите лихви за забавено плащане.</w:t>
      </w:r>
    </w:p>
    <w:p w:rsidR="003A587E" w:rsidRDefault="003A587E">
      <w:pPr>
        <w:keepNext/>
        <w:spacing w:before="360"/>
        <w:jc w:val="center"/>
        <w:rPr>
          <w:i/>
          <w:noProof/>
          <w:szCs w:val="24"/>
        </w:rPr>
      </w:pPr>
      <w:r>
        <w:rPr>
          <w:i/>
          <w:noProof/>
        </w:rPr>
        <w:t>Член 3</w:t>
      </w:r>
      <w:r>
        <w:rPr>
          <w:i/>
          <w:noProof/>
          <w:szCs w:val="24"/>
        </w:rPr>
        <w:br/>
      </w:r>
      <w:r>
        <w:rPr>
          <w:i/>
          <w:noProof/>
        </w:rPr>
        <w:t>Общ размер на обикновените програми</w:t>
      </w:r>
    </w:p>
    <w:p w:rsidR="003A587E" w:rsidRDefault="003A587E">
      <w:pPr>
        <w:rPr>
          <w:noProof/>
          <w:szCs w:val="24"/>
        </w:rPr>
      </w:pPr>
      <w:r>
        <w:t xml:space="preserve">Средствата, предвидени за финансиране на обикновени програми през 2017 г., са определени в общ размер от 90 000 000 евро. </w:t>
      </w:r>
    </w:p>
    <w:p w:rsidR="003A587E" w:rsidRDefault="003A587E">
      <w:pPr>
        <w:keepNext/>
        <w:spacing w:before="360"/>
        <w:jc w:val="center"/>
        <w:rPr>
          <w:i/>
          <w:noProof/>
          <w:szCs w:val="24"/>
        </w:rPr>
      </w:pPr>
      <w:r>
        <w:rPr>
          <w:i/>
          <w:noProof/>
        </w:rPr>
        <w:t>Член 4</w:t>
      </w:r>
      <w:r>
        <w:rPr>
          <w:i/>
          <w:noProof/>
          <w:szCs w:val="24"/>
        </w:rPr>
        <w:br/>
      </w:r>
      <w:r>
        <w:rPr>
          <w:i/>
          <w:noProof/>
        </w:rPr>
        <w:t>Клауза за гъвкавост</w:t>
      </w:r>
    </w:p>
    <w:p w:rsidR="003A587E" w:rsidRDefault="003A587E">
      <w:pPr>
        <w:rPr>
          <w:i/>
          <w:noProof/>
          <w:szCs w:val="24"/>
        </w:rPr>
      </w:pPr>
      <w:r>
        <w:t xml:space="preserve">Натрупаните изменения на отпуснатите средства за многонационални програми и мерки по инициатива на Комисията, които не надвишават 20% от максималното участие, предвидено в член 2 от настоящото Решение, няма да се считат за съществени по смисъла на член 94, параграф 4 от Делегиран регламент (ЕС, Евратом) № 1268/2012, когато подобни изменения не засягат в значителна степен естеството на действията и целта на работната програма. </w:t>
      </w:r>
      <w:r>
        <w:rPr>
          <w:i/>
          <w:noProof/>
        </w:rPr>
        <w:t xml:space="preserve"> </w:t>
      </w:r>
      <w:r>
        <w:t>Увеличението на максималното участие, предвидено в член 2 от настоящото Решение, не трябва да надвишава 20%.</w:t>
      </w:r>
    </w:p>
    <w:p w:rsidR="003A587E" w:rsidRDefault="003A587E">
      <w:pPr>
        <w:autoSpaceDE w:val="0"/>
        <w:autoSpaceDN w:val="0"/>
        <w:adjustRightInd w:val="0"/>
        <w:rPr>
          <w:noProof/>
          <w:szCs w:val="24"/>
        </w:rPr>
      </w:pPr>
      <w:r>
        <w:t>При изпълнение на настоящото Решение отговорният разпоредител с бюджетни кредити може да приложи измененията, посочени в параграф 1 в съответствие с принципите на добро финансово управление и пропорционалност.</w:t>
      </w:r>
    </w:p>
    <w:p w:rsidR="003A587E" w:rsidRDefault="003A587E">
      <w:pPr>
        <w:autoSpaceDE w:val="0"/>
        <w:autoSpaceDN w:val="0"/>
        <w:adjustRightInd w:val="0"/>
        <w:rPr>
          <w:noProof/>
          <w:szCs w:val="24"/>
        </w:rPr>
      </w:pPr>
    </w:p>
    <w:p w:rsidR="003A587E" w:rsidRDefault="003A587E">
      <w:pPr>
        <w:pStyle w:val="Fait"/>
        <w:rPr>
          <w:noProof/>
        </w:rPr>
      </w:pPr>
      <w:r>
        <w:t>Изготвено в Брюксел на 9.11.2016 г.</w:t>
      </w:r>
    </w:p>
    <w:p w:rsidR="003A587E" w:rsidRDefault="003A587E">
      <w:pPr>
        <w:pStyle w:val="Institutionquisigne"/>
        <w:rPr>
          <w:noProof/>
        </w:rPr>
      </w:pPr>
      <w:r>
        <w:tab/>
        <w:t>За Комисията</w:t>
      </w:r>
    </w:p>
    <w:p w:rsidR="003A587E" w:rsidRDefault="003A587E">
      <w:pPr>
        <w:pStyle w:val="Personnequisigne"/>
        <w:rPr>
          <w:noProof/>
        </w:rPr>
      </w:pPr>
      <w:r>
        <w:tab/>
        <w:t>Фил Хоган</w:t>
      </w:r>
      <w:r>
        <w:br/>
      </w:r>
      <w:r>
        <w:tab/>
        <w:t>Член на Комисията</w:t>
      </w:r>
    </w:p>
    <w:sectPr w:rsidR="003A587E" w:rsidSect="00FD6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7E" w:rsidRDefault="003A587E">
      <w:pPr>
        <w:spacing w:before="0" w:after="0"/>
      </w:pPr>
      <w:r>
        <w:separator/>
      </w:r>
    </w:p>
  </w:endnote>
  <w:endnote w:type="continuationSeparator" w:id="0">
    <w:p w:rsidR="003A587E" w:rsidRDefault="003A587E">
      <w:pPr>
        <w:spacing w:before="0" w:after="0"/>
      </w:pPr>
      <w:r>
        <w:continuationSeparator/>
      </w:r>
    </w:p>
  </w:endnote>
  <w:endnote w:type="continuationNotice" w:id="1">
    <w:p w:rsidR="003A587E" w:rsidRDefault="003A587E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koola Pota">
    <w:altName w:val="Nirmala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Footer"/>
      <w:rPr>
        <w:rFonts w:ascii="Arial" w:hAnsi="Arial" w:cs="Arial"/>
        <w:b/>
        <w:sz w:val="48"/>
      </w:rPr>
    </w:pPr>
    <w:bookmarkStart w:id="0" w:name="_GoBack"/>
    <w:bookmarkEnd w:id="0"/>
    <w:r>
      <w:rPr>
        <w:rFonts w:ascii="Arial" w:hAnsi="Arial"/>
        <w:b/>
        <w:sz w:val="48"/>
      </w:rPr>
      <w:t>BG</w:t>
    </w:r>
    <w:r>
      <w:tab/>
    </w:r>
    <w:fldSimple w:instr=" PAGE  \* MERGEFORMAT ">
      <w:r>
        <w:rPr>
          <w:noProof/>
        </w:rPr>
        <w:t>3</w:t>
      </w:r>
    </w:fldSimple>
    <w:r>
      <w:tab/>
    </w:r>
    <w:fldSimple w:instr=" DOCVARIABLE &quot;LW_Confidence&quot; \* MERGEFORMAT ">
      <w:r>
        <w:t xml:space="preserve"> </w:t>
      </w:r>
    </w:fldSimple>
    <w:r>
      <w:tab/>
    </w:r>
    <w:r>
      <w:rPr>
        <w:rFonts w:ascii="Arial" w:hAnsi="Arial"/>
        <w:b/>
        <w:sz w:val="48"/>
      </w:rPr>
      <w:t>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7E" w:rsidRDefault="003A587E">
      <w:pPr>
        <w:spacing w:before="0" w:after="0"/>
      </w:pPr>
      <w:r>
        <w:separator/>
      </w:r>
    </w:p>
  </w:footnote>
  <w:footnote w:type="continuationSeparator" w:id="0">
    <w:p w:rsidR="003A587E" w:rsidRDefault="003A587E">
      <w:pPr>
        <w:spacing w:before="0" w:after="0"/>
      </w:pPr>
      <w:r>
        <w:continuationSeparator/>
      </w:r>
    </w:p>
  </w:footnote>
  <w:footnote w:type="continuationNotice" w:id="1">
    <w:p w:rsidR="003A587E" w:rsidRDefault="003A587E">
      <w:pPr>
        <w:spacing w:before="0" w:after="0"/>
      </w:pPr>
    </w:p>
  </w:footnote>
  <w:footnote w:id="2">
    <w:p w:rsidR="003A587E" w:rsidRDefault="003A587E">
      <w:pPr>
        <w:pStyle w:val="FootnoteText"/>
      </w:pPr>
      <w:r>
        <w:rPr>
          <w:rStyle w:val="FootnoteReference"/>
        </w:rPr>
        <w:footnoteRef/>
      </w:r>
      <w:r>
        <w:tab/>
        <w:t>ОВ L 317, 4.11.2014 г., стр. 56.</w:t>
      </w:r>
    </w:p>
  </w:footnote>
  <w:footnote w:id="3">
    <w:p w:rsidR="003A587E" w:rsidRDefault="003A587E">
      <w:pPr>
        <w:pStyle w:val="FootnoteText"/>
      </w:pPr>
      <w:r>
        <w:rPr>
          <w:rStyle w:val="FootnoteReference"/>
        </w:rPr>
        <w:footnoteRef/>
      </w:r>
      <w:r>
        <w:tab/>
        <w:t>ОВ L 298, 26.10.2012 г., стр. 1.</w:t>
      </w:r>
    </w:p>
  </w:footnote>
  <w:footnote w:id="4">
    <w:p w:rsidR="003A587E" w:rsidRDefault="003A587E">
      <w:pPr>
        <w:pStyle w:val="FootnoteText"/>
      </w:pPr>
      <w:r>
        <w:rPr>
          <w:rStyle w:val="FootnoteReference"/>
        </w:rPr>
        <w:footnoteRef/>
      </w:r>
      <w:r>
        <w:tab/>
        <w:t>Делегиран регламент (ЕС) № 1268/2012 на Комисията от 29 октомври 2012 г. относно правилата за прилагане на Регламент (ЕС, Евратом) № 966/2012 на Европейския парламент и на Съвета относно финансовите правила, приложими за общия бюджет на Съюза (ОВ L 362, 31.12.2012 г., стр.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7E" w:rsidRDefault="003A58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8208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15C81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CA4B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E3746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7BCF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2E6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AFE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AD74D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 w:numId="40">
    <w:abstractNumId w:val="18"/>
  </w:num>
  <w:num w:numId="41">
    <w:abstractNumId w:val="12"/>
  </w:num>
  <w:num w:numId="42">
    <w:abstractNumId w:val="20"/>
  </w:num>
  <w:num w:numId="43">
    <w:abstractNumId w:val="11"/>
  </w:num>
  <w:num w:numId="44">
    <w:abstractNumId w:val="13"/>
  </w:num>
  <w:num w:numId="45">
    <w:abstractNumId w:val="9"/>
  </w:num>
  <w:num w:numId="46">
    <w:abstractNumId w:val="19"/>
  </w:num>
  <w:num w:numId="47">
    <w:abstractNumId w:val="8"/>
  </w:num>
  <w:num w:numId="48">
    <w:abstractNumId w:val="14"/>
  </w:num>
  <w:num w:numId="49">
    <w:abstractNumId w:val="16"/>
  </w:num>
  <w:num w:numId="50">
    <w:abstractNumId w:val="17"/>
  </w:num>
  <w:num w:numId="51">
    <w:abstractNumId w:val="10"/>
  </w:num>
  <w:num w:numId="52">
    <w:abstractNumId w:val="15"/>
  </w:num>
  <w:num w:numId="5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VERPAGE_EXISTS" w:val="True"/>
    <w:docVar w:name="DQCDateTime" w:val="2016-10-28 09:16:4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42156EDA83EC4917ACDC0D1DFAB63211"/>
    <w:docVar w:name="LW_CROSSREFERENCE" w:val="&lt;UNUSED&gt;"/>
    <w:docVar w:name="LW_DATE.ADOPT.CP" w:val="of 9.11.2016"/>
    <w:docVar w:name="LW_DATE.ADOPT.CP_DATEFORMAT" w:val="of %DATE%"/>
    <w:docVar w:name="LW_DATE.ADOPT.CP_ISODATE" w:val="2016-11-09"/>
    <w:docVar w:name="LW_DocType" w:val="COM"/>
    <w:docVar w:name="LW_EMISSION" w:val="9.11.2016"/>
    <w:docVar w:name="LW_EMISSION_ISODATE" w:val="2016-11-09"/>
    <w:docVar w:name="LW_EMISSION_LOCATION" w:val="BRX"/>
    <w:docVar w:name="LW_EMISSION_PREFIX" w:val="Brussels, "/>
    <w:docVar w:name="LW_EMISSION_SUFFIX" w:val=" "/>
    <w:docVar w:name="LW_ID_DOCMODEL" w:val="SJ-031"/>
    <w:docVar w:name="LW_ID_DOCSIGNATURE" w:val="SJ-031"/>
    <w:docVar w:name="LW_ID_DOCSTRUCTURE" w:val="COM/AA"/>
    <w:docVar w:name="LW_ID_DOCTYPE" w:val="SJ-031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7100"/>
    <w:docVar w:name="LW_REF.INTERNE" w:val="&lt;UNUSED&gt;"/>
    <w:docVar w:name="LW_SOUS.TITRE.OBJ.CP" w:val="&lt;UNUSED&gt;"/>
    <w:docVar w:name="LW_SUPERTITRE" w:val="&lt;UNUSED&gt;"/>
    <w:docVar w:name="LW_TITRE.OBJ.CP" w:val="on the adoption of the work programme for 2017 of information provision and promotion measures concerning agricultural products implemented in the internal market and in third countries "/>
    <w:docVar w:name="LW_TYPE.DOC.CP" w:val="COMMISSION IMPLEMENTING DECISION"/>
  </w:docVars>
  <w:rsids>
    <w:rsidRoot w:val="00915EF4"/>
    <w:rsid w:val="00180428"/>
    <w:rsid w:val="00363A7C"/>
    <w:rsid w:val="00395AD8"/>
    <w:rsid w:val="003A587E"/>
    <w:rsid w:val="004C5E73"/>
    <w:rsid w:val="00631031"/>
    <w:rsid w:val="006D26FC"/>
    <w:rsid w:val="009075C9"/>
    <w:rsid w:val="00915EF4"/>
    <w:rsid w:val="00935805"/>
    <w:rsid w:val="00D3050D"/>
    <w:rsid w:val="00EA78EF"/>
    <w:rsid w:val="00FD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Iskoola Pota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D64C2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9"/>
    <w:qFormat/>
    <w:rsid w:val="00FD64C2"/>
    <w:pPr>
      <w:keepNext/>
      <w:numPr>
        <w:numId w:val="30"/>
      </w:numPr>
      <w:tabs>
        <w:tab w:val="clear" w:pos="3118"/>
        <w:tab w:val="num" w:pos="850"/>
      </w:tabs>
      <w:spacing w:before="360"/>
      <w:ind w:left="850" w:hanging="850"/>
      <w:outlineLvl w:val="0"/>
    </w:pPr>
    <w:rPr>
      <w:rFonts w:eastAsia="SimSu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9"/>
    <w:qFormat/>
    <w:rsid w:val="00FD64C2"/>
    <w:pPr>
      <w:keepNext/>
      <w:numPr>
        <w:ilvl w:val="1"/>
        <w:numId w:val="30"/>
      </w:numPr>
      <w:tabs>
        <w:tab w:val="clear" w:pos="3118"/>
        <w:tab w:val="num" w:pos="850"/>
      </w:tabs>
      <w:ind w:left="850" w:hanging="850"/>
      <w:outlineLvl w:val="1"/>
    </w:pPr>
    <w:rPr>
      <w:rFonts w:eastAsia="SimSu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9"/>
    <w:qFormat/>
    <w:rsid w:val="00FD64C2"/>
    <w:pPr>
      <w:keepNext/>
      <w:numPr>
        <w:ilvl w:val="2"/>
        <w:numId w:val="30"/>
      </w:numPr>
      <w:tabs>
        <w:tab w:val="clear" w:pos="3118"/>
        <w:tab w:val="num" w:pos="850"/>
      </w:tabs>
      <w:ind w:left="850" w:hanging="850"/>
      <w:outlineLvl w:val="2"/>
    </w:pPr>
    <w:rPr>
      <w:rFonts w:eastAsia="SimSun"/>
      <w:bCs/>
      <w:i/>
    </w:rPr>
  </w:style>
  <w:style w:type="paragraph" w:styleId="Heading4">
    <w:name w:val="heading 4"/>
    <w:basedOn w:val="Normal"/>
    <w:next w:val="Text1"/>
    <w:link w:val="Heading4Char"/>
    <w:uiPriority w:val="99"/>
    <w:qFormat/>
    <w:rsid w:val="00FD64C2"/>
    <w:pPr>
      <w:keepNext/>
      <w:numPr>
        <w:ilvl w:val="3"/>
        <w:numId w:val="30"/>
      </w:numPr>
      <w:tabs>
        <w:tab w:val="clear" w:pos="3118"/>
        <w:tab w:val="num" w:pos="850"/>
      </w:tabs>
      <w:ind w:left="850" w:hanging="850"/>
      <w:outlineLvl w:val="3"/>
    </w:pPr>
    <w:rPr>
      <w:rFonts w:eastAsia="SimSun"/>
      <w:bCs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4C2"/>
    <w:rPr>
      <w:rFonts w:ascii="Times New Roman" w:eastAsia="SimSun" w:hAnsi="Times New Roman" w:cs="Times New Roman"/>
      <w:b/>
      <w:bCs/>
      <w:smallCaps/>
      <w:sz w:val="28"/>
      <w:szCs w:val="28"/>
      <w:shd w:val="clear" w:color="auto" w:fill="auto"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64C2"/>
    <w:rPr>
      <w:rFonts w:ascii="Times New Roman" w:eastAsia="SimSun" w:hAnsi="Times New Roman" w:cs="Times New Roman"/>
      <w:b/>
      <w:bCs/>
      <w:sz w:val="26"/>
      <w:szCs w:val="26"/>
      <w:shd w:val="clear" w:color="auto" w:fill="auto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4C2"/>
    <w:rPr>
      <w:rFonts w:ascii="Times New Roman" w:eastAsia="SimSun" w:hAnsi="Times New Roman" w:cs="Times New Roman"/>
      <w:bCs/>
      <w:i/>
      <w:sz w:val="24"/>
      <w:shd w:val="clear" w:color="auto" w:fill="auto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64C2"/>
    <w:rPr>
      <w:rFonts w:ascii="Times New Roman" w:eastAsia="SimSun" w:hAnsi="Times New Roman" w:cs="Times New Roman"/>
      <w:bCs/>
      <w:iCs/>
      <w:sz w:val="24"/>
      <w:shd w:val="clear" w:color="auto" w:fill="auto"/>
      <w:lang w:val="bg-BG"/>
    </w:rPr>
  </w:style>
  <w:style w:type="character" w:styleId="Hyperlink">
    <w:name w:val="Hyperlink"/>
    <w:basedOn w:val="DefaultParagraphFont"/>
    <w:uiPriority w:val="99"/>
    <w:rsid w:val="00FD64C2"/>
    <w:rPr>
      <w:rFonts w:cs="Times New Roman"/>
      <w:color w:val="0000FF"/>
      <w:u w:val="single"/>
      <w:shd w:val="clear" w:color="auto" w:fill="auto"/>
    </w:rPr>
  </w:style>
  <w:style w:type="character" w:customStyle="1" w:styleId="TypedudocumentChar">
    <w:name w:val="Type du document Char"/>
    <w:uiPriority w:val="99"/>
    <w:rsid w:val="00FD64C2"/>
    <w:rPr>
      <w:rFonts w:ascii="Times New Roman" w:hAnsi="Times New Roman"/>
      <w:b/>
      <w:sz w:val="24"/>
      <w:lang w:val="bg-BG"/>
    </w:rPr>
  </w:style>
  <w:style w:type="paragraph" w:styleId="ListBullet">
    <w:name w:val="List Bullet"/>
    <w:basedOn w:val="Normal"/>
    <w:uiPriority w:val="99"/>
    <w:semiHidden/>
    <w:rsid w:val="00FD64C2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rsid w:val="00FD64C2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rsid w:val="00FD64C2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rsid w:val="00FD64C2"/>
    <w:pPr>
      <w:numPr>
        <w:numId w:val="12"/>
      </w:numPr>
      <w:contextualSpacing/>
    </w:pPr>
  </w:style>
  <w:style w:type="paragraph" w:styleId="NormalWeb">
    <w:name w:val="Normal (Web)"/>
    <w:basedOn w:val="Normal"/>
    <w:uiPriority w:val="99"/>
    <w:rsid w:val="00FD64C2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rsid w:val="00FD64C2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uiPriority w:val="99"/>
    <w:rsid w:val="00FD64C2"/>
    <w:pPr>
      <w:spacing w:after="0" w:line="312" w:lineRule="atLeas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99"/>
    <w:qFormat/>
    <w:rsid w:val="00FD64C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D64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6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64C2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64C2"/>
    <w:rPr>
      <w:b/>
      <w:bCs/>
    </w:rPr>
  </w:style>
  <w:style w:type="paragraph" w:styleId="Revision">
    <w:name w:val="Revision"/>
    <w:hidden/>
    <w:uiPriority w:val="99"/>
    <w:semiHidden/>
    <w:rsid w:val="00FD64C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D64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4C2"/>
    <w:rPr>
      <w:rFonts w:ascii="Tahoma" w:hAnsi="Tahoma" w:cs="Tahoma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D64C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table" w:styleId="TableGrid">
    <w:name w:val="Table Grid"/>
    <w:basedOn w:val="TableNormal"/>
    <w:uiPriority w:val="99"/>
    <w:rsid w:val="00FD64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64C2"/>
    <w:pPr>
      <w:ind w:left="720"/>
      <w:contextualSpacing/>
    </w:pPr>
  </w:style>
  <w:style w:type="paragraph" w:customStyle="1" w:styleId="Default">
    <w:name w:val="Default"/>
    <w:uiPriority w:val="99"/>
    <w:rsid w:val="00FD64C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D64C2"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FD64C2"/>
    <w:pPr>
      <w:spacing w:after="0"/>
    </w:pPr>
  </w:style>
  <w:style w:type="paragraph" w:styleId="ListNumber">
    <w:name w:val="List Number"/>
    <w:basedOn w:val="Normal"/>
    <w:uiPriority w:val="99"/>
    <w:semiHidden/>
    <w:rsid w:val="00FD64C2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FD64C2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rsid w:val="00FD64C2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rsid w:val="00FD64C2"/>
    <w:pPr>
      <w:numPr>
        <w:numId w:val="16"/>
      </w:numPr>
      <w:contextualSpacing/>
    </w:pPr>
  </w:style>
  <w:style w:type="paragraph" w:styleId="Header">
    <w:name w:val="header"/>
    <w:basedOn w:val="Normal"/>
    <w:link w:val="HeaderChar"/>
    <w:uiPriority w:val="99"/>
    <w:rsid w:val="00FD64C2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4C2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rsid w:val="00FD64C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4C2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FD64C2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64C2"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paragraph" w:styleId="TOCHeading">
    <w:name w:val="TOC Heading"/>
    <w:basedOn w:val="Normal"/>
    <w:next w:val="Normal"/>
    <w:uiPriority w:val="99"/>
    <w:qFormat/>
    <w:rsid w:val="00FD64C2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99"/>
    <w:semiHidden/>
    <w:rsid w:val="00FD64C2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99"/>
    <w:semiHidden/>
    <w:rsid w:val="00FD64C2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99"/>
    <w:semiHidden/>
    <w:rsid w:val="00FD64C2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99"/>
    <w:semiHidden/>
    <w:rsid w:val="00FD64C2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99"/>
    <w:semiHidden/>
    <w:rsid w:val="00FD64C2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99"/>
    <w:semiHidden/>
    <w:rsid w:val="00FD64C2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99"/>
    <w:semiHidden/>
    <w:rsid w:val="00FD64C2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99"/>
    <w:semiHidden/>
    <w:rsid w:val="00FD64C2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99"/>
    <w:semiHidden/>
    <w:rsid w:val="00FD64C2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uiPriority w:val="99"/>
    <w:rsid w:val="00FD64C2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uiPriority w:val="99"/>
    <w:rsid w:val="00FD64C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rsid w:val="00FD64C2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"/>
    <w:uiPriority w:val="99"/>
    <w:rsid w:val="00FD64C2"/>
    <w:pPr>
      <w:ind w:left="850"/>
    </w:pPr>
  </w:style>
  <w:style w:type="paragraph" w:customStyle="1" w:styleId="Text2">
    <w:name w:val="Text 2"/>
    <w:basedOn w:val="Normal"/>
    <w:uiPriority w:val="99"/>
    <w:rsid w:val="00FD64C2"/>
    <w:pPr>
      <w:ind w:left="1417"/>
    </w:pPr>
  </w:style>
  <w:style w:type="paragraph" w:customStyle="1" w:styleId="Text3">
    <w:name w:val="Text 3"/>
    <w:basedOn w:val="Normal"/>
    <w:uiPriority w:val="99"/>
    <w:rsid w:val="00FD64C2"/>
    <w:pPr>
      <w:ind w:left="1984"/>
    </w:pPr>
  </w:style>
  <w:style w:type="paragraph" w:customStyle="1" w:styleId="Text4">
    <w:name w:val="Text 4"/>
    <w:basedOn w:val="Normal"/>
    <w:uiPriority w:val="99"/>
    <w:rsid w:val="00FD64C2"/>
    <w:pPr>
      <w:ind w:left="2551"/>
    </w:pPr>
  </w:style>
  <w:style w:type="paragraph" w:customStyle="1" w:styleId="NormalCentered">
    <w:name w:val="Normal Centered"/>
    <w:basedOn w:val="Normal"/>
    <w:uiPriority w:val="99"/>
    <w:rsid w:val="00FD64C2"/>
    <w:pPr>
      <w:jc w:val="center"/>
    </w:pPr>
  </w:style>
  <w:style w:type="paragraph" w:customStyle="1" w:styleId="NormalLeft">
    <w:name w:val="Normal Left"/>
    <w:basedOn w:val="Normal"/>
    <w:uiPriority w:val="99"/>
    <w:rsid w:val="00FD64C2"/>
    <w:pPr>
      <w:jc w:val="left"/>
    </w:pPr>
  </w:style>
  <w:style w:type="paragraph" w:customStyle="1" w:styleId="NormalRight">
    <w:name w:val="Normal Right"/>
    <w:basedOn w:val="Normal"/>
    <w:uiPriority w:val="99"/>
    <w:rsid w:val="00FD64C2"/>
    <w:pPr>
      <w:jc w:val="right"/>
    </w:pPr>
  </w:style>
  <w:style w:type="paragraph" w:customStyle="1" w:styleId="QuotedText">
    <w:name w:val="Quoted Text"/>
    <w:basedOn w:val="Normal"/>
    <w:uiPriority w:val="99"/>
    <w:rsid w:val="00FD64C2"/>
    <w:pPr>
      <w:ind w:left="1417"/>
    </w:pPr>
  </w:style>
  <w:style w:type="paragraph" w:customStyle="1" w:styleId="Point0">
    <w:name w:val="Point 0"/>
    <w:basedOn w:val="Normal"/>
    <w:uiPriority w:val="99"/>
    <w:rsid w:val="00FD64C2"/>
    <w:pPr>
      <w:ind w:left="850" w:hanging="850"/>
    </w:pPr>
  </w:style>
  <w:style w:type="paragraph" w:customStyle="1" w:styleId="Point1">
    <w:name w:val="Point 1"/>
    <w:basedOn w:val="Normal"/>
    <w:uiPriority w:val="99"/>
    <w:rsid w:val="00FD64C2"/>
    <w:pPr>
      <w:ind w:left="1417" w:hanging="567"/>
    </w:pPr>
  </w:style>
  <w:style w:type="paragraph" w:customStyle="1" w:styleId="Point2">
    <w:name w:val="Point 2"/>
    <w:basedOn w:val="Normal"/>
    <w:uiPriority w:val="99"/>
    <w:rsid w:val="00FD64C2"/>
    <w:pPr>
      <w:ind w:left="1984" w:hanging="567"/>
    </w:pPr>
  </w:style>
  <w:style w:type="paragraph" w:customStyle="1" w:styleId="Point3">
    <w:name w:val="Point 3"/>
    <w:basedOn w:val="Normal"/>
    <w:uiPriority w:val="99"/>
    <w:rsid w:val="00FD64C2"/>
    <w:pPr>
      <w:ind w:left="2551" w:hanging="567"/>
    </w:pPr>
  </w:style>
  <w:style w:type="paragraph" w:customStyle="1" w:styleId="Point4">
    <w:name w:val="Point 4"/>
    <w:basedOn w:val="Normal"/>
    <w:uiPriority w:val="99"/>
    <w:rsid w:val="00FD64C2"/>
    <w:pPr>
      <w:ind w:left="3118" w:hanging="567"/>
    </w:pPr>
  </w:style>
  <w:style w:type="paragraph" w:customStyle="1" w:styleId="Tiret0">
    <w:name w:val="Tiret 0"/>
    <w:basedOn w:val="Point0"/>
    <w:uiPriority w:val="99"/>
    <w:rsid w:val="00FD64C2"/>
    <w:pPr>
      <w:numPr>
        <w:numId w:val="24"/>
      </w:numPr>
      <w:tabs>
        <w:tab w:val="clear" w:pos="1209"/>
        <w:tab w:val="num" w:pos="850"/>
      </w:tabs>
      <w:ind w:left="850" w:hanging="850"/>
    </w:pPr>
  </w:style>
  <w:style w:type="paragraph" w:customStyle="1" w:styleId="Tiret1">
    <w:name w:val="Tiret 1"/>
    <w:basedOn w:val="Point1"/>
    <w:uiPriority w:val="99"/>
    <w:rsid w:val="00FD64C2"/>
    <w:pPr>
      <w:numPr>
        <w:numId w:val="25"/>
      </w:numPr>
      <w:tabs>
        <w:tab w:val="clear" w:pos="850"/>
        <w:tab w:val="num" w:pos="1417"/>
      </w:tabs>
      <w:ind w:left="1417" w:hanging="567"/>
    </w:pPr>
  </w:style>
  <w:style w:type="paragraph" w:customStyle="1" w:styleId="Tiret2">
    <w:name w:val="Tiret 2"/>
    <w:basedOn w:val="Point2"/>
    <w:uiPriority w:val="99"/>
    <w:rsid w:val="00FD64C2"/>
    <w:pPr>
      <w:numPr>
        <w:numId w:val="26"/>
      </w:numPr>
      <w:tabs>
        <w:tab w:val="clear" w:pos="850"/>
        <w:tab w:val="num" w:pos="1984"/>
      </w:tabs>
      <w:ind w:left="1984" w:hanging="567"/>
    </w:pPr>
  </w:style>
  <w:style w:type="paragraph" w:customStyle="1" w:styleId="Tiret3">
    <w:name w:val="Tiret 3"/>
    <w:basedOn w:val="Point3"/>
    <w:uiPriority w:val="99"/>
    <w:rsid w:val="00FD64C2"/>
    <w:pPr>
      <w:numPr>
        <w:numId w:val="27"/>
      </w:numPr>
      <w:tabs>
        <w:tab w:val="clear" w:pos="1417"/>
        <w:tab w:val="num" w:pos="2551"/>
      </w:tabs>
      <w:ind w:left="2551"/>
    </w:pPr>
  </w:style>
  <w:style w:type="paragraph" w:customStyle="1" w:styleId="Tiret4">
    <w:name w:val="Tiret 4"/>
    <w:basedOn w:val="Point4"/>
    <w:uiPriority w:val="99"/>
    <w:rsid w:val="00FD64C2"/>
    <w:pPr>
      <w:numPr>
        <w:numId w:val="28"/>
      </w:numPr>
      <w:tabs>
        <w:tab w:val="clear" w:pos="1984"/>
        <w:tab w:val="num" w:pos="3118"/>
      </w:tabs>
      <w:ind w:left="3118"/>
    </w:pPr>
  </w:style>
  <w:style w:type="paragraph" w:customStyle="1" w:styleId="PointDouble0">
    <w:name w:val="PointDouble 0"/>
    <w:basedOn w:val="Normal"/>
    <w:uiPriority w:val="99"/>
    <w:rsid w:val="00FD64C2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uiPriority w:val="99"/>
    <w:rsid w:val="00FD64C2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uiPriority w:val="99"/>
    <w:rsid w:val="00FD64C2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uiPriority w:val="99"/>
    <w:rsid w:val="00FD64C2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uiPriority w:val="99"/>
    <w:rsid w:val="00FD64C2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uiPriority w:val="99"/>
    <w:rsid w:val="00FD64C2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uiPriority w:val="99"/>
    <w:rsid w:val="00FD64C2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uiPriority w:val="99"/>
    <w:rsid w:val="00FD64C2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uiPriority w:val="99"/>
    <w:rsid w:val="00FD64C2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uiPriority w:val="99"/>
    <w:rsid w:val="00FD64C2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uiPriority w:val="99"/>
    <w:rsid w:val="00FD64C2"/>
    <w:pPr>
      <w:numPr>
        <w:numId w:val="29"/>
      </w:numPr>
      <w:tabs>
        <w:tab w:val="clear" w:pos="2551"/>
        <w:tab w:val="num" w:pos="850"/>
      </w:tabs>
      <w:ind w:left="850" w:hanging="850"/>
    </w:pPr>
  </w:style>
  <w:style w:type="paragraph" w:customStyle="1" w:styleId="NumPar2">
    <w:name w:val="NumPar 2"/>
    <w:basedOn w:val="Normal"/>
    <w:next w:val="Text1"/>
    <w:uiPriority w:val="99"/>
    <w:rsid w:val="00FD64C2"/>
    <w:pPr>
      <w:numPr>
        <w:ilvl w:val="1"/>
        <w:numId w:val="29"/>
      </w:numPr>
      <w:tabs>
        <w:tab w:val="clear" w:pos="2551"/>
        <w:tab w:val="num" w:pos="850"/>
      </w:tabs>
      <w:ind w:left="850" w:hanging="850"/>
    </w:pPr>
  </w:style>
  <w:style w:type="paragraph" w:customStyle="1" w:styleId="NumPar3">
    <w:name w:val="NumPar 3"/>
    <w:basedOn w:val="Normal"/>
    <w:next w:val="Text1"/>
    <w:uiPriority w:val="99"/>
    <w:rsid w:val="00FD64C2"/>
    <w:pPr>
      <w:numPr>
        <w:ilvl w:val="2"/>
        <w:numId w:val="29"/>
      </w:numPr>
      <w:tabs>
        <w:tab w:val="clear" w:pos="2551"/>
        <w:tab w:val="num" w:pos="850"/>
      </w:tabs>
      <w:ind w:left="850" w:hanging="850"/>
    </w:pPr>
  </w:style>
  <w:style w:type="paragraph" w:customStyle="1" w:styleId="NumPar4">
    <w:name w:val="NumPar 4"/>
    <w:basedOn w:val="Normal"/>
    <w:next w:val="Text1"/>
    <w:uiPriority w:val="99"/>
    <w:rsid w:val="00FD64C2"/>
    <w:pPr>
      <w:numPr>
        <w:ilvl w:val="3"/>
        <w:numId w:val="29"/>
      </w:numPr>
      <w:tabs>
        <w:tab w:val="clear" w:pos="2551"/>
        <w:tab w:val="num" w:pos="850"/>
      </w:tabs>
      <w:ind w:left="850" w:hanging="850"/>
    </w:pPr>
  </w:style>
  <w:style w:type="paragraph" w:customStyle="1" w:styleId="ManualNumPar1">
    <w:name w:val="Manual NumPar 1"/>
    <w:basedOn w:val="Normal"/>
    <w:next w:val="Text1"/>
    <w:uiPriority w:val="99"/>
    <w:rsid w:val="00FD64C2"/>
    <w:pPr>
      <w:ind w:left="850" w:hanging="850"/>
    </w:pPr>
  </w:style>
  <w:style w:type="paragraph" w:customStyle="1" w:styleId="ManualNumPar2">
    <w:name w:val="Manual NumPar 2"/>
    <w:basedOn w:val="Normal"/>
    <w:next w:val="Text1"/>
    <w:uiPriority w:val="99"/>
    <w:rsid w:val="00FD64C2"/>
    <w:pPr>
      <w:ind w:left="850" w:hanging="850"/>
    </w:pPr>
  </w:style>
  <w:style w:type="paragraph" w:customStyle="1" w:styleId="ManualNumPar3">
    <w:name w:val="Manual NumPar 3"/>
    <w:basedOn w:val="Normal"/>
    <w:next w:val="Text1"/>
    <w:uiPriority w:val="99"/>
    <w:rsid w:val="00FD64C2"/>
    <w:pPr>
      <w:ind w:left="850" w:hanging="850"/>
    </w:pPr>
  </w:style>
  <w:style w:type="paragraph" w:customStyle="1" w:styleId="ManualNumPar4">
    <w:name w:val="Manual NumPar 4"/>
    <w:basedOn w:val="Normal"/>
    <w:next w:val="Text1"/>
    <w:uiPriority w:val="99"/>
    <w:rsid w:val="00FD64C2"/>
    <w:pPr>
      <w:ind w:left="850" w:hanging="850"/>
    </w:pPr>
  </w:style>
  <w:style w:type="paragraph" w:customStyle="1" w:styleId="QuotedNumPar">
    <w:name w:val="Quoted NumPar"/>
    <w:basedOn w:val="Normal"/>
    <w:uiPriority w:val="99"/>
    <w:rsid w:val="00FD64C2"/>
    <w:pPr>
      <w:ind w:left="1417" w:hanging="567"/>
    </w:pPr>
  </w:style>
  <w:style w:type="paragraph" w:customStyle="1" w:styleId="ManualHeading1">
    <w:name w:val="Manual Heading 1"/>
    <w:basedOn w:val="Normal"/>
    <w:next w:val="Text1"/>
    <w:uiPriority w:val="99"/>
    <w:rsid w:val="00FD64C2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uiPriority w:val="99"/>
    <w:rsid w:val="00FD64C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uiPriority w:val="99"/>
    <w:rsid w:val="00FD64C2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uiPriority w:val="99"/>
    <w:rsid w:val="00FD64C2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uiPriority w:val="99"/>
    <w:rsid w:val="00FD64C2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FD64C2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uiPriority w:val="99"/>
    <w:rsid w:val="00FD64C2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uiPriority w:val="99"/>
    <w:rsid w:val="00FD64C2"/>
    <w:pPr>
      <w:jc w:val="center"/>
    </w:pPr>
    <w:rPr>
      <w:b/>
    </w:rPr>
  </w:style>
  <w:style w:type="character" w:customStyle="1" w:styleId="Marker">
    <w:name w:val="Marker"/>
    <w:basedOn w:val="DefaultParagraphFont"/>
    <w:uiPriority w:val="99"/>
    <w:rsid w:val="00FD64C2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DefaultParagraphFont"/>
    <w:uiPriority w:val="99"/>
    <w:rsid w:val="00FD64C2"/>
    <w:rPr>
      <w:rFonts w:cs="Times New Roman"/>
      <w:color w:val="008000"/>
      <w:shd w:val="clear" w:color="auto" w:fill="auto"/>
    </w:rPr>
  </w:style>
  <w:style w:type="character" w:customStyle="1" w:styleId="Marker2">
    <w:name w:val="Marker2"/>
    <w:basedOn w:val="DefaultParagraphFont"/>
    <w:uiPriority w:val="99"/>
    <w:rsid w:val="00FD64C2"/>
    <w:rPr>
      <w:rFonts w:cs="Times New Roman"/>
      <w:color w:val="FF0000"/>
      <w:shd w:val="clear" w:color="auto" w:fill="auto"/>
    </w:rPr>
  </w:style>
  <w:style w:type="paragraph" w:customStyle="1" w:styleId="Point0number">
    <w:name w:val="Point 0 (number)"/>
    <w:basedOn w:val="Normal"/>
    <w:uiPriority w:val="99"/>
    <w:rsid w:val="00FD64C2"/>
    <w:pPr>
      <w:numPr>
        <w:numId w:val="31"/>
      </w:numPr>
    </w:pPr>
  </w:style>
  <w:style w:type="paragraph" w:customStyle="1" w:styleId="Point1number">
    <w:name w:val="Point 1 (number)"/>
    <w:basedOn w:val="Normal"/>
    <w:uiPriority w:val="99"/>
    <w:rsid w:val="00FD64C2"/>
    <w:pPr>
      <w:numPr>
        <w:ilvl w:val="2"/>
        <w:numId w:val="31"/>
      </w:numPr>
      <w:tabs>
        <w:tab w:val="clear" w:pos="850"/>
        <w:tab w:val="num" w:pos="1417"/>
      </w:tabs>
      <w:ind w:left="1417" w:hanging="567"/>
    </w:pPr>
  </w:style>
  <w:style w:type="paragraph" w:customStyle="1" w:styleId="Point2number">
    <w:name w:val="Point 2 (number)"/>
    <w:basedOn w:val="Normal"/>
    <w:uiPriority w:val="99"/>
    <w:rsid w:val="00FD64C2"/>
    <w:pPr>
      <w:numPr>
        <w:ilvl w:val="4"/>
        <w:numId w:val="31"/>
      </w:numPr>
      <w:tabs>
        <w:tab w:val="num" w:pos="1984"/>
      </w:tabs>
      <w:ind w:left="1984" w:hanging="567"/>
    </w:pPr>
  </w:style>
  <w:style w:type="paragraph" w:customStyle="1" w:styleId="Point3number">
    <w:name w:val="Point 3 (number)"/>
    <w:basedOn w:val="Normal"/>
    <w:uiPriority w:val="99"/>
    <w:rsid w:val="00FD64C2"/>
    <w:pPr>
      <w:numPr>
        <w:ilvl w:val="6"/>
        <w:numId w:val="31"/>
      </w:numPr>
      <w:tabs>
        <w:tab w:val="num" w:pos="2551"/>
      </w:tabs>
      <w:ind w:left="2551" w:hanging="567"/>
    </w:pPr>
  </w:style>
  <w:style w:type="paragraph" w:customStyle="1" w:styleId="Point0letter">
    <w:name w:val="Point 0 (letter)"/>
    <w:basedOn w:val="Normal"/>
    <w:uiPriority w:val="99"/>
    <w:rsid w:val="00FD64C2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uiPriority w:val="99"/>
    <w:rsid w:val="00FD64C2"/>
    <w:pPr>
      <w:numPr>
        <w:ilvl w:val="3"/>
        <w:numId w:val="31"/>
      </w:numPr>
      <w:tabs>
        <w:tab w:val="clear" w:pos="850"/>
        <w:tab w:val="num" w:pos="1417"/>
      </w:tabs>
      <w:ind w:left="1417" w:hanging="567"/>
    </w:pPr>
  </w:style>
  <w:style w:type="paragraph" w:customStyle="1" w:styleId="Point2letter">
    <w:name w:val="Point 2 (letter)"/>
    <w:basedOn w:val="Normal"/>
    <w:uiPriority w:val="99"/>
    <w:rsid w:val="00FD64C2"/>
    <w:pPr>
      <w:numPr>
        <w:ilvl w:val="5"/>
        <w:numId w:val="31"/>
      </w:numPr>
      <w:tabs>
        <w:tab w:val="num" w:pos="1984"/>
      </w:tabs>
      <w:ind w:left="1984" w:hanging="567"/>
    </w:pPr>
  </w:style>
  <w:style w:type="paragraph" w:customStyle="1" w:styleId="Point3letter">
    <w:name w:val="Point 3 (letter)"/>
    <w:basedOn w:val="Normal"/>
    <w:uiPriority w:val="99"/>
    <w:rsid w:val="00FD64C2"/>
    <w:pPr>
      <w:numPr>
        <w:ilvl w:val="7"/>
        <w:numId w:val="31"/>
      </w:numPr>
      <w:tabs>
        <w:tab w:val="num" w:pos="2551"/>
      </w:tabs>
      <w:ind w:left="2551" w:hanging="567"/>
    </w:pPr>
  </w:style>
  <w:style w:type="paragraph" w:customStyle="1" w:styleId="Point4letter">
    <w:name w:val="Point 4 (letter)"/>
    <w:basedOn w:val="Normal"/>
    <w:uiPriority w:val="99"/>
    <w:rsid w:val="00FD64C2"/>
    <w:pPr>
      <w:numPr>
        <w:ilvl w:val="8"/>
        <w:numId w:val="31"/>
      </w:numPr>
      <w:tabs>
        <w:tab w:val="num" w:pos="3118"/>
      </w:tabs>
      <w:ind w:left="3118" w:hanging="567"/>
    </w:pPr>
  </w:style>
  <w:style w:type="paragraph" w:customStyle="1" w:styleId="Bullet0">
    <w:name w:val="Bullet 0"/>
    <w:basedOn w:val="Normal"/>
    <w:uiPriority w:val="99"/>
    <w:rsid w:val="00FD64C2"/>
    <w:pPr>
      <w:numPr>
        <w:numId w:val="32"/>
      </w:numPr>
    </w:pPr>
  </w:style>
  <w:style w:type="paragraph" w:customStyle="1" w:styleId="Bullet1">
    <w:name w:val="Bullet 1"/>
    <w:basedOn w:val="Normal"/>
    <w:uiPriority w:val="99"/>
    <w:rsid w:val="00FD64C2"/>
    <w:pPr>
      <w:numPr>
        <w:numId w:val="33"/>
      </w:numPr>
      <w:tabs>
        <w:tab w:val="clear" w:pos="850"/>
        <w:tab w:val="num" w:pos="1417"/>
      </w:tabs>
      <w:ind w:left="1417" w:hanging="567"/>
    </w:pPr>
  </w:style>
  <w:style w:type="paragraph" w:customStyle="1" w:styleId="Bullet2">
    <w:name w:val="Bullet 2"/>
    <w:basedOn w:val="Normal"/>
    <w:uiPriority w:val="99"/>
    <w:rsid w:val="00FD64C2"/>
    <w:pPr>
      <w:numPr>
        <w:numId w:val="34"/>
      </w:numPr>
      <w:tabs>
        <w:tab w:val="clear" w:pos="850"/>
        <w:tab w:val="num" w:pos="1984"/>
      </w:tabs>
      <w:ind w:left="1984" w:hanging="567"/>
    </w:pPr>
  </w:style>
  <w:style w:type="paragraph" w:customStyle="1" w:styleId="Bullet3">
    <w:name w:val="Bullet 3"/>
    <w:basedOn w:val="Normal"/>
    <w:uiPriority w:val="99"/>
    <w:rsid w:val="00FD64C2"/>
    <w:pPr>
      <w:numPr>
        <w:numId w:val="35"/>
      </w:numPr>
      <w:tabs>
        <w:tab w:val="clear" w:pos="1417"/>
        <w:tab w:val="num" w:pos="2551"/>
      </w:tabs>
      <w:ind w:left="2551"/>
    </w:pPr>
  </w:style>
  <w:style w:type="paragraph" w:customStyle="1" w:styleId="Bullet4">
    <w:name w:val="Bullet 4"/>
    <w:basedOn w:val="Normal"/>
    <w:uiPriority w:val="99"/>
    <w:rsid w:val="00FD64C2"/>
    <w:pPr>
      <w:numPr>
        <w:numId w:val="36"/>
      </w:numPr>
      <w:tabs>
        <w:tab w:val="clear" w:pos="1984"/>
        <w:tab w:val="num" w:pos="3118"/>
      </w:tabs>
      <w:ind w:left="3118"/>
    </w:pPr>
  </w:style>
  <w:style w:type="paragraph" w:customStyle="1" w:styleId="Annexetitreexpos">
    <w:name w:val="Annexe titre (exposé)"/>
    <w:basedOn w:val="Normal"/>
    <w:next w:val="Normal"/>
    <w:uiPriority w:val="99"/>
    <w:rsid w:val="00FD64C2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uiPriority w:val="99"/>
    <w:rsid w:val="00FD64C2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uiPriority w:val="99"/>
    <w:rsid w:val="00FD64C2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uiPriority w:val="99"/>
    <w:rsid w:val="00FD64C2"/>
    <w:pPr>
      <w:spacing w:before="480"/>
    </w:pPr>
  </w:style>
  <w:style w:type="paragraph" w:customStyle="1" w:styleId="Avertissementtitre">
    <w:name w:val="Avertissement titre"/>
    <w:basedOn w:val="Normal"/>
    <w:next w:val="Normal"/>
    <w:uiPriority w:val="99"/>
    <w:rsid w:val="00FD64C2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uiPriority w:val="99"/>
    <w:rsid w:val="00FD64C2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uiPriority w:val="99"/>
    <w:rsid w:val="00FD64C2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uiPriority w:val="99"/>
    <w:rsid w:val="00FD64C2"/>
    <w:pPr>
      <w:numPr>
        <w:numId w:val="37"/>
      </w:numPr>
      <w:tabs>
        <w:tab w:val="clear" w:pos="2551"/>
        <w:tab w:val="num" w:pos="709"/>
      </w:tabs>
      <w:ind w:left="709" w:hanging="709"/>
    </w:pPr>
  </w:style>
  <w:style w:type="paragraph" w:customStyle="1" w:styleId="Corrigendum">
    <w:name w:val="Corrigendum"/>
    <w:basedOn w:val="Normal"/>
    <w:next w:val="Normal"/>
    <w:uiPriority w:val="99"/>
    <w:rsid w:val="00FD64C2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uiPriority w:val="99"/>
    <w:rsid w:val="00FD64C2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uiPriority w:val="99"/>
    <w:rsid w:val="00FD64C2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uiPriority w:val="99"/>
    <w:rsid w:val="00FD64C2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uiPriority w:val="99"/>
    <w:rsid w:val="00FD64C2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uiPriority w:val="99"/>
    <w:rsid w:val="00FD64C2"/>
    <w:pPr>
      <w:keepNext/>
    </w:pPr>
  </w:style>
  <w:style w:type="paragraph" w:customStyle="1" w:styleId="Institutionquiagit">
    <w:name w:val="Institution qui agit"/>
    <w:basedOn w:val="Normal"/>
    <w:next w:val="Normal"/>
    <w:uiPriority w:val="99"/>
    <w:rsid w:val="00FD64C2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uiPriority w:val="99"/>
    <w:rsid w:val="00FD64C2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uiPriority w:val="99"/>
    <w:rsid w:val="00FD64C2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uiPriority w:val="99"/>
    <w:rsid w:val="00FD64C2"/>
    <w:pPr>
      <w:ind w:left="709" w:hanging="709"/>
    </w:pPr>
  </w:style>
  <w:style w:type="paragraph" w:customStyle="1" w:styleId="Nomdelinstitution">
    <w:name w:val="Nom de l'institution"/>
    <w:basedOn w:val="Normal"/>
    <w:next w:val="Emission"/>
    <w:uiPriority w:val="99"/>
    <w:rsid w:val="00FD64C2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uiPriority w:val="99"/>
    <w:rsid w:val="00FD64C2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uiPriority w:val="99"/>
    <w:rsid w:val="00FD64C2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uiPriority w:val="99"/>
    <w:rsid w:val="00FD64C2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uiPriority w:val="99"/>
    <w:rsid w:val="00FD64C2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uiPriority w:val="99"/>
    <w:rsid w:val="00FD64C2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uiPriority w:val="99"/>
    <w:rsid w:val="00FD64C2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uiPriority w:val="99"/>
    <w:rsid w:val="00FD64C2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uiPriority w:val="99"/>
    <w:rsid w:val="00FD64C2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uiPriority w:val="99"/>
    <w:rsid w:val="00FD64C2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uiPriority w:val="99"/>
    <w:rsid w:val="00FD64C2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basedOn w:val="DefaultParagraphFont"/>
    <w:uiPriority w:val="99"/>
    <w:rsid w:val="00FD64C2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uiPriority w:val="99"/>
    <w:rsid w:val="00FD64C2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uiPriority w:val="99"/>
    <w:rsid w:val="00FD64C2"/>
    <w:rPr>
      <w:i/>
      <w:caps/>
    </w:rPr>
  </w:style>
  <w:style w:type="paragraph" w:customStyle="1" w:styleId="Pagedecouverture">
    <w:name w:val="Page de couverture"/>
    <w:basedOn w:val="Normal"/>
    <w:next w:val="Normal"/>
    <w:uiPriority w:val="99"/>
    <w:rsid w:val="00FD64C2"/>
    <w:pPr>
      <w:spacing w:before="0" w:after="0"/>
    </w:pPr>
  </w:style>
  <w:style w:type="paragraph" w:customStyle="1" w:styleId="Supertitre">
    <w:name w:val="Supertitre"/>
    <w:basedOn w:val="Normal"/>
    <w:next w:val="Normal"/>
    <w:uiPriority w:val="99"/>
    <w:rsid w:val="00FD64C2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uiPriority w:val="99"/>
    <w:rsid w:val="00FD64C2"/>
    <w:pPr>
      <w:spacing w:before="360" w:after="0"/>
      <w:jc w:val="center"/>
    </w:pPr>
  </w:style>
  <w:style w:type="paragraph" w:customStyle="1" w:styleId="Rfrencecroise">
    <w:name w:val="Référence croisée"/>
    <w:basedOn w:val="Normal"/>
    <w:uiPriority w:val="99"/>
    <w:rsid w:val="00FD64C2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uiPriority w:val="99"/>
    <w:rsid w:val="00FD64C2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FD64C2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FD64C2"/>
  </w:style>
  <w:style w:type="paragraph" w:customStyle="1" w:styleId="Sous-titreobjetPagedecouverture">
    <w:name w:val="Sous-titre objet (Page de couverture)"/>
    <w:basedOn w:val="Sous-titreobjet"/>
    <w:uiPriority w:val="99"/>
    <w:rsid w:val="00FD64C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FD64C2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FD64C2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FD64C2"/>
  </w:style>
  <w:style w:type="paragraph" w:customStyle="1" w:styleId="Volume">
    <w:name w:val="Volume"/>
    <w:basedOn w:val="Normal"/>
    <w:next w:val="Confidentialit"/>
    <w:uiPriority w:val="99"/>
    <w:rsid w:val="00FD64C2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uiPriority w:val="99"/>
    <w:rsid w:val="00FD64C2"/>
    <w:pPr>
      <w:spacing w:after="240"/>
    </w:pPr>
  </w:style>
  <w:style w:type="paragraph" w:customStyle="1" w:styleId="Accompagnant">
    <w:name w:val="Accompagnant"/>
    <w:basedOn w:val="Normal"/>
    <w:next w:val="Typeacteprincipal"/>
    <w:uiPriority w:val="99"/>
    <w:rsid w:val="00FD64C2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uiPriority w:val="99"/>
    <w:rsid w:val="00FD64C2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uiPriority w:val="99"/>
    <w:rsid w:val="00FD64C2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FD64C2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FD64C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FD64C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FD64C2"/>
  </w:style>
  <w:style w:type="paragraph" w:customStyle="1" w:styleId="LanguesfaisantfoiPagedecouverture">
    <w:name w:val="Langues faisant foi (Page de couverture)"/>
    <w:basedOn w:val="Normal"/>
    <w:next w:val="Normal"/>
    <w:uiPriority w:val="99"/>
    <w:rsid w:val="00FD64C2"/>
    <w:pPr>
      <w:spacing w:before="36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8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4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7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4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6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4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4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5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54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3</Pages>
  <Words>812</Words>
  <Characters>4629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Nevyana (ENV)</dc:creator>
  <cp:keywords/>
  <dc:description/>
  <cp:lastModifiedBy>istatkova</cp:lastModifiedBy>
  <cp:revision>4</cp:revision>
  <cp:lastPrinted>2015-04-22T14:46:00Z</cp:lastPrinted>
  <dcterms:created xsi:type="dcterms:W3CDTF">2017-01-23T11:00:00Z</dcterms:created>
  <dcterms:modified xsi:type="dcterms:W3CDTF">2017-02-08T08:29:00Z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SJ-031</vt:lpwstr>
  </property>
  <property fmtid="{D5CDD505-2E9C-101B-9397-08002B2CF9AE}" pid="10" name="LWCR Document">
    <vt:lpwstr>True</vt:lpwstr>
  </property>
  <property fmtid="{D5CDD505-2E9C-101B-9397-08002B2CF9AE}" pid="11" name="LWCR Version">
    <vt:lpwstr>1.6.413</vt:lpwstr>
  </property>
  <property fmtid="{D5CDD505-2E9C-101B-9397-08002B2CF9AE}" pid="12" name="DQCStatus">
    <vt:lpwstr>Green (DQC version 03)</vt:lpwstr>
  </property>
</Properties>
</file>