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70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8"/>
        <w:gridCol w:w="2763"/>
        <w:gridCol w:w="3513"/>
      </w:tblGrid>
      <w:tr w:rsidR="00EA23E1" w:rsidTr="00976A59">
        <w:trPr>
          <w:trHeight w:val="283"/>
        </w:trPr>
        <w:tc>
          <w:tcPr>
            <w:tcW w:w="16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bookmarkStart w:id="0" w:name="_GoBack"/>
            <w:bookmarkEnd w:id="0"/>
            <w:r>
              <w:rPr>
                <w:rFonts w:ascii="Arial" w:hAnsi="Arial" w:cs="Arial"/>
                <w:highlight w:val="white"/>
                <w:shd w:val="clear" w:color="auto" w:fill="FEFEFE"/>
              </w:rPr>
              <w:t>Клон на НС/Речен басейн (РБ)</w:t>
            </w:r>
          </w:p>
        </w:tc>
        <w:tc>
          <w:tcPr>
            <w:tcW w:w="1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КПД на НС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КПД на НС в %</w:t>
            </w:r>
          </w:p>
        </w:tc>
      </w:tr>
      <w:tr w:rsidR="00EA23E1" w:rsidTr="00976A59">
        <w:trPr>
          <w:trHeight w:val="283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Средни стойности на КПД в клонове на Напоителни системи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РБ Черно море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0,19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19,00 %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0,03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3,00 %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0,72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72,00 %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РБ Дунав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0,74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74,00 %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0,21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21,00 %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0,64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64,00 %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Севлиево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0,39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39,00 %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София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0,39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39,00 %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0,11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11,00 %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0,01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1,00 %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0,54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54,00 %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0,68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68,00 %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Източноегейски РБ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0,19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19,00 %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0,36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36,00 %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0,51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51,00 %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0,44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44,00 %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0,36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36,00 %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0,44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44,00 %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Западноегейски РБ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BFC0"/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Дупница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0,63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63,00 %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Гоце Делчев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0,54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54,00 %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0,53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53,00 %</w:t>
            </w:r>
          </w:p>
        </w:tc>
      </w:tr>
      <w:tr w:rsidR="00EA23E1" w:rsidTr="00976A59">
        <w:trPr>
          <w:trHeight w:val="283"/>
        </w:trPr>
        <w:tc>
          <w:tcPr>
            <w:tcW w:w="16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Сандански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0,54</w:t>
            </w: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EA23E1" w:rsidRDefault="00EA23E1" w:rsidP="00976A59">
            <w:pPr>
              <w:spacing w:before="100" w:beforeAutospacing="1" w:after="100" w:afterAutospacing="1" w:line="262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54,00 %</w:t>
            </w:r>
          </w:p>
        </w:tc>
      </w:tr>
    </w:tbl>
    <w:p w:rsidR="00CB571D" w:rsidRPr="00976A59" w:rsidRDefault="00976A59">
      <w:pPr>
        <w:rPr>
          <w:sz w:val="24"/>
          <w:szCs w:val="24"/>
        </w:rPr>
      </w:pPr>
      <w:r w:rsidRPr="00976A59">
        <w:rPr>
          <w:sz w:val="24"/>
          <w:szCs w:val="24"/>
        </w:rPr>
        <w:t>Средни стойности на КПД в клонове на Напоителни системи</w:t>
      </w:r>
    </w:p>
    <w:sectPr w:rsidR="00CB571D" w:rsidRPr="00976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E1"/>
    <w:rsid w:val="00886389"/>
    <w:rsid w:val="009523E5"/>
    <w:rsid w:val="00976A59"/>
    <w:rsid w:val="00B05820"/>
    <w:rsid w:val="00CB571D"/>
    <w:rsid w:val="00EA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Snezhana Grigorova</cp:lastModifiedBy>
  <cp:revision>2</cp:revision>
  <dcterms:created xsi:type="dcterms:W3CDTF">2016-12-13T14:17:00Z</dcterms:created>
  <dcterms:modified xsi:type="dcterms:W3CDTF">2016-12-13T14:17:00Z</dcterms:modified>
</cp:coreProperties>
</file>