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774" w:rsidRPr="00E32D6E" w:rsidRDefault="00E32D6E" w:rsidP="006550A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E32D6E">
        <w:rPr>
          <w:rFonts w:ascii="Times New Roman" w:hAnsi="Times New Roman" w:cs="Times New Roman"/>
          <w:b/>
          <w:sz w:val="24"/>
          <w:szCs w:val="24"/>
        </w:rPr>
        <w:t>ПРЕДЛОЖЕНИЕ ЗА ИЗМЕНЕНИЕ НА МЯРКА 4 „ИНВЕСТИЦИИ В МАТЕРИАЛНИ АКТИВИ“ ОТ ПРСР 2014-2020 г.</w:t>
      </w:r>
    </w:p>
    <w:p w:rsidR="006550AF" w:rsidRPr="006550AF" w:rsidRDefault="006550AF" w:rsidP="006550AF">
      <w:pPr>
        <w:contextualSpacing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086567" w:rsidRDefault="00E32D6E" w:rsidP="00853D7C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Промени в подмярка 4.2 „Инвестиции в </w:t>
      </w:r>
      <w:r w:rsidRPr="00E32D6E">
        <w:rPr>
          <w:rFonts w:ascii="Times New Roman" w:hAnsi="Times New Roman" w:cs="Times New Roman"/>
          <w:b/>
          <w:sz w:val="24"/>
          <w:szCs w:val="24"/>
        </w:rPr>
        <w:t>преработка/маркетинг на селскостопански продукти“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2D6E" w:rsidRPr="00E32D6E" w:rsidRDefault="00E32D6E" w:rsidP="00853D7C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494" w:rsidRPr="00F15494" w:rsidRDefault="00F15494" w:rsidP="00853D7C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 подраздел 8.2.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3.3.3.8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„Финансови условия“ се предлагат следните изменения:</w:t>
      </w:r>
    </w:p>
    <w:tbl>
      <w:tblPr>
        <w:tblW w:w="4942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180"/>
      </w:tblGrid>
      <w:tr w:rsidR="00707A52" w:rsidTr="00F15494">
        <w:tc>
          <w:tcPr>
            <w:tcW w:w="5000" w:type="pct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:rsidR="00707A52" w:rsidRPr="00707A52" w:rsidRDefault="00707A52" w:rsidP="00707A52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>Финансовата помощ е в размер на 50 % от общия размер на допустимите за финансово подпомагане разходи и 40% от общия размер на допустимите за финансово подпомагане разходи за големи предприятия по смисъла на Закона за МСП.</w:t>
            </w:r>
          </w:p>
          <w:p w:rsidR="00707A52" w:rsidRPr="00707A52" w:rsidRDefault="00707A52" w:rsidP="00707A52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>Размерът на финансовата помощ се увеличава с 10 % от общия размер на допустимите за финансово подпомагане разходи в следните случаи:</w:t>
            </w:r>
          </w:p>
          <w:p w:rsidR="00707A52" w:rsidRPr="00707A52" w:rsidRDefault="00707A52" w:rsidP="00707A52">
            <w:pPr>
              <w:numPr>
                <w:ilvl w:val="0"/>
                <w:numId w:val="5"/>
              </w:numPr>
              <w:spacing w:before="240" w:after="240" w:line="240" w:lineRule="auto"/>
              <w:ind w:hanging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>За проекти с дейности, подпомагани по линия на ЕПИ.</w:t>
            </w:r>
          </w:p>
          <w:p w:rsidR="00707A52" w:rsidRPr="00707A52" w:rsidRDefault="00707A52" w:rsidP="00707A52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>Максималното комбинирано подпомагане за един бенефициент е не повече от 90 % от общия размер на допустимите за финансово подпомагане разходи.</w:t>
            </w:r>
          </w:p>
          <w:p w:rsidR="00707A52" w:rsidRPr="00707A52" w:rsidRDefault="00707A52" w:rsidP="00707A52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>Помощта за инвестиции свързани с преработка и/или маркетинг се отпуска в съответствие с Регламент (ЕС) №702/2014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Комисията, в случаите на преработка на продукти от Приложение І в продукти извън Приложение І:</w:t>
            </w:r>
          </w:p>
          <w:p w:rsidR="00707A52" w:rsidRPr="00707A52" w:rsidRDefault="00707A52" w:rsidP="00707A52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>Минималният размер на допустимите разходи за едно проектно предложение е в рамките на  15 000 евро.</w:t>
            </w:r>
          </w:p>
          <w:p w:rsidR="00707A52" w:rsidRPr="00707A52" w:rsidRDefault="00707A52" w:rsidP="00707A52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>Максималният размер на допустимите разходи за един кандидат за периода на прилагане на Програмата е в рамките на  </w:t>
            </w:r>
            <w:r w:rsidRPr="00E32D6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lang w:val="en-US"/>
              </w:rPr>
              <w:t>3 000 0000</w:t>
            </w:r>
            <w:r w:rsidRPr="00E32D6E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r w:rsidRPr="00F15494">
              <w:rPr>
                <w:rFonts w:ascii="Times New Roman" w:hAnsi="Times New Roman" w:cs="Times New Roman"/>
                <w:b/>
                <w:sz w:val="24"/>
                <w:szCs w:val="24"/>
              </w:rPr>
              <w:t>2 000 000 евро.</w:t>
            </w:r>
          </w:p>
          <w:p w:rsidR="00707A52" w:rsidRPr="00707A52" w:rsidRDefault="00707A52" w:rsidP="00707A52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Максималният размер на допустимите разходи за един кандидат за интегриран проект за периода на прилагане на Програмата е в рамките на </w:t>
            </w:r>
            <w:r w:rsidRPr="00E32D6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lang w:val="en-US"/>
              </w:rPr>
              <w:t>3 000 0000</w:t>
            </w:r>
            <w:r w:rsidRPr="00E32D6E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r w:rsidRPr="00F15494">
              <w:rPr>
                <w:rFonts w:ascii="Times New Roman" w:hAnsi="Times New Roman" w:cs="Times New Roman"/>
                <w:b/>
                <w:sz w:val="24"/>
                <w:szCs w:val="24"/>
              </w:rPr>
              <w:t>2 000 000 евро.</w:t>
            </w:r>
          </w:p>
          <w:p w:rsidR="00707A52" w:rsidRPr="00707A52" w:rsidRDefault="00707A52" w:rsidP="00707A52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Максималният размер на допустимите разходи за проекти, представляващи колективни инвестиции представени от 6 до 10 производители за периода на прилагане на Програмата е в рамките на </w:t>
            </w:r>
            <w:r w:rsidRPr="00E32D6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4 000 000</w:t>
            </w:r>
            <w:r w:rsidRPr="00E32D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5494">
              <w:rPr>
                <w:rFonts w:ascii="Times New Roman" w:hAnsi="Times New Roman" w:cs="Times New Roman"/>
                <w:b/>
                <w:sz w:val="24"/>
                <w:szCs w:val="24"/>
              </w:rPr>
              <w:t>2 000 000 евро.</w:t>
            </w:r>
          </w:p>
          <w:p w:rsidR="00707A52" w:rsidRPr="00707A52" w:rsidRDefault="00707A52" w:rsidP="00707A52">
            <w:pPr>
              <w:spacing w:before="240"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Максималният размер на допустимите разходи за проекти, представляващи колективни инвестиции представени от над 10 производители и/или групи/организации на производители за периода на прилагане на Програмата е в рамките на </w:t>
            </w:r>
            <w:r w:rsidRPr="00E32D6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5 000 000</w:t>
            </w:r>
            <w:r w:rsidRPr="00E32D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5494">
              <w:rPr>
                <w:rFonts w:ascii="Times New Roman" w:hAnsi="Times New Roman" w:cs="Times New Roman"/>
                <w:b/>
                <w:sz w:val="24"/>
                <w:szCs w:val="24"/>
              </w:rPr>
              <w:t>2 000 000 евро.</w:t>
            </w:r>
          </w:p>
          <w:p w:rsidR="00707A52" w:rsidRPr="00707A52" w:rsidRDefault="00707A52" w:rsidP="00707A52">
            <w:pPr>
              <w:spacing w:before="240" w:after="240"/>
              <w:jc w:val="both"/>
              <w:rPr>
                <w:szCs w:val="24"/>
                <w:lang w:val="en-US"/>
              </w:rPr>
            </w:pPr>
            <w:r w:rsidRPr="00707A52">
              <w:rPr>
                <w:rFonts w:ascii="Times New Roman" w:hAnsi="Times New Roman" w:cs="Times New Roman"/>
                <w:sz w:val="24"/>
                <w:szCs w:val="24"/>
              </w:rPr>
              <w:t>Общите правила за държавна помощ по подмярката се прилагат за инвестиции в преработка/ маркетинг на продукти от Приложение I в продукти извън Приложение I.</w:t>
            </w:r>
          </w:p>
        </w:tc>
      </w:tr>
    </w:tbl>
    <w:p w:rsidR="00707A52" w:rsidRPr="00707A52" w:rsidRDefault="00707A52" w:rsidP="00853D7C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F17B6" w:rsidRPr="007F17B6" w:rsidRDefault="007F17B6" w:rsidP="00853D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7B6">
        <w:rPr>
          <w:rFonts w:ascii="Times New Roman" w:hAnsi="Times New Roman" w:cs="Times New Roman"/>
          <w:b/>
          <w:sz w:val="24"/>
          <w:szCs w:val="24"/>
        </w:rPr>
        <w:t>Аргументи</w:t>
      </w:r>
      <w:r w:rsidR="00B776E9">
        <w:rPr>
          <w:rFonts w:ascii="Times New Roman" w:hAnsi="Times New Roman" w:cs="Times New Roman"/>
          <w:b/>
          <w:sz w:val="24"/>
          <w:szCs w:val="24"/>
        </w:rPr>
        <w:t xml:space="preserve"> в полза на предложената промяна</w:t>
      </w:r>
      <w:r w:rsidRPr="007F17B6">
        <w:rPr>
          <w:rFonts w:ascii="Times New Roman" w:hAnsi="Times New Roman" w:cs="Times New Roman"/>
          <w:b/>
          <w:sz w:val="24"/>
          <w:szCs w:val="24"/>
        </w:rPr>
        <w:t>:</w:t>
      </w:r>
    </w:p>
    <w:p w:rsidR="00B776E9" w:rsidRDefault="00B776E9" w:rsidP="00086567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Засилен интерес от страна на земеделски прозводители и предприятия;</w:t>
      </w:r>
    </w:p>
    <w:p w:rsidR="007F17B6" w:rsidRPr="00B776E9" w:rsidRDefault="00EA018C" w:rsidP="00086567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="007F17B6" w:rsidRPr="00B776E9">
        <w:rPr>
          <w:rFonts w:ascii="Times New Roman" w:hAnsi="Times New Roman" w:cs="Times New Roman"/>
          <w:i/>
          <w:sz w:val="24"/>
          <w:szCs w:val="24"/>
        </w:rPr>
        <w:t>овече получатели на финансова помощ по подмярката;</w:t>
      </w:r>
    </w:p>
    <w:p w:rsidR="007F17B6" w:rsidRPr="00B776E9" w:rsidRDefault="007F17B6" w:rsidP="00086567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76E9">
        <w:rPr>
          <w:rFonts w:ascii="Times New Roman" w:hAnsi="Times New Roman" w:cs="Times New Roman"/>
          <w:i/>
          <w:sz w:val="24"/>
          <w:szCs w:val="24"/>
        </w:rPr>
        <w:t>По-голям брой земеделски производители, интегрирани в хранителната верига чрез инвестиции в добавяне на стойност към произвежданата продукция в стопанствата им;</w:t>
      </w:r>
    </w:p>
    <w:p w:rsidR="007F17B6" w:rsidRPr="00B776E9" w:rsidRDefault="007F17B6" w:rsidP="00086567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76E9">
        <w:rPr>
          <w:rFonts w:ascii="Times New Roman" w:hAnsi="Times New Roman" w:cs="Times New Roman"/>
          <w:i/>
          <w:sz w:val="24"/>
          <w:szCs w:val="24"/>
        </w:rPr>
        <w:t>По-добро изпълнение на заложените индикатори по ПРСР 2014-2020 г.</w:t>
      </w:r>
    </w:p>
    <w:p w:rsidR="00086567" w:rsidRDefault="00086567" w:rsidP="00853D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1774" w:rsidRPr="00AD1774" w:rsidRDefault="007F17B6" w:rsidP="00853D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Обосновка</w:t>
      </w:r>
      <w:r w:rsidR="00AD1774">
        <w:rPr>
          <w:rFonts w:ascii="Times New Roman" w:hAnsi="Times New Roman" w:cs="Times New Roman"/>
          <w:b/>
          <w:sz w:val="24"/>
          <w:szCs w:val="24"/>
        </w:rPr>
        <w:t xml:space="preserve"> за предложената промяна:</w:t>
      </w:r>
    </w:p>
    <w:p w:rsidR="00E372F6" w:rsidRDefault="00853D7C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D7C">
        <w:rPr>
          <w:rFonts w:ascii="Times New Roman" w:hAnsi="Times New Roman" w:cs="Times New Roman"/>
          <w:sz w:val="24"/>
          <w:szCs w:val="24"/>
        </w:rPr>
        <w:t xml:space="preserve">Един от основните </w:t>
      </w:r>
      <w:r w:rsidR="00E372F6">
        <w:rPr>
          <w:rFonts w:ascii="Times New Roman" w:hAnsi="Times New Roman" w:cs="Times New Roman"/>
          <w:sz w:val="24"/>
          <w:szCs w:val="24"/>
        </w:rPr>
        <w:t>стремежи в Програма за развитие на селските райони за периода</w:t>
      </w:r>
      <w:r w:rsidRPr="00853D7C">
        <w:rPr>
          <w:rFonts w:ascii="Times New Roman" w:hAnsi="Times New Roman" w:cs="Times New Roman"/>
          <w:sz w:val="24"/>
          <w:szCs w:val="24"/>
        </w:rPr>
        <w:t xml:space="preserve"> 2014-2020 г.</w:t>
      </w:r>
      <w:r w:rsidR="00E372F6">
        <w:rPr>
          <w:rFonts w:ascii="Times New Roman" w:hAnsi="Times New Roman" w:cs="Times New Roman"/>
          <w:sz w:val="24"/>
          <w:szCs w:val="24"/>
        </w:rPr>
        <w:t xml:space="preserve"> е интегрирането на селскостопанските производители в хранителната верига, включително чрез инвестиции в добавяне на стойност към произ</w:t>
      </w:r>
      <w:r w:rsidR="00EF4403">
        <w:rPr>
          <w:rFonts w:ascii="Times New Roman" w:hAnsi="Times New Roman" w:cs="Times New Roman"/>
          <w:sz w:val="24"/>
          <w:szCs w:val="24"/>
        </w:rPr>
        <w:t xml:space="preserve">вежданата продукция, реализирани чрез </w:t>
      </w:r>
      <w:r w:rsidR="00E372F6">
        <w:rPr>
          <w:rFonts w:ascii="Times New Roman" w:hAnsi="Times New Roman" w:cs="Times New Roman"/>
          <w:sz w:val="24"/>
          <w:szCs w:val="24"/>
        </w:rPr>
        <w:t>подмярка 4.2 „Инвестиции в преработка/маркетинг на селскостопански продукти“ от мярка 4 „Инвестиции в материални активи“.</w:t>
      </w:r>
      <w:r w:rsidR="00B776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644" w:rsidRDefault="00E372F6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рамките на Програма за развитие на селските райони за периода 2007-2013 г. бе предвидена възможност земеделските стопани да реализират проекти, включващ</w:t>
      </w:r>
      <w:r w:rsidR="00EF440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инвестиции в преработка на селскостопанската им продукция по мярка 121 „Модернизиране на земеделските стопанства“</w:t>
      </w:r>
      <w:r w:rsidR="00715C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72F6" w:rsidRDefault="00E372F6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Законодателните промени в областта на политиката за развитие на селските райони </w:t>
      </w:r>
      <w:r w:rsidR="00EA018C">
        <w:rPr>
          <w:rFonts w:ascii="Times New Roman" w:hAnsi="Times New Roman" w:cs="Times New Roman"/>
          <w:sz w:val="24"/>
          <w:szCs w:val="24"/>
        </w:rPr>
        <w:t xml:space="preserve">за периода 2014-2020 г. </w:t>
      </w:r>
      <w:r>
        <w:rPr>
          <w:rFonts w:ascii="Times New Roman" w:hAnsi="Times New Roman" w:cs="Times New Roman"/>
          <w:sz w:val="24"/>
          <w:szCs w:val="24"/>
        </w:rPr>
        <w:t>обединиха преработка</w:t>
      </w:r>
      <w:r w:rsidR="00361DF6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на селскостопански продукти, извършвана от земеделски производители и преработвателни предприятия в сферата на ХВП в подмярка 4.2 „Инвестиции в преработка/маркетинг на селскостопански продукти“, което доведе до </w:t>
      </w:r>
      <w:r w:rsidR="00EF4403">
        <w:rPr>
          <w:rFonts w:ascii="Times New Roman" w:hAnsi="Times New Roman" w:cs="Times New Roman"/>
          <w:sz w:val="24"/>
          <w:szCs w:val="24"/>
        </w:rPr>
        <w:t>конкуриране помежду им.</w:t>
      </w:r>
    </w:p>
    <w:p w:rsidR="00674CA7" w:rsidRDefault="009246C2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Преработвателните предприятия</w:t>
      </w:r>
      <w:r w:rsidR="00EA018C">
        <w:rPr>
          <w:rFonts w:ascii="Times New Roman" w:hAnsi="Times New Roman" w:cs="Times New Roman"/>
          <w:sz w:val="24"/>
          <w:szCs w:val="24"/>
        </w:rPr>
        <w:t>, въз основа на данните от изпълнението на мярка 123 „Добавяне на стойност към зем</w:t>
      </w:r>
      <w:r w:rsidR="00E3620B">
        <w:rPr>
          <w:rFonts w:ascii="Times New Roman" w:hAnsi="Times New Roman" w:cs="Times New Roman"/>
          <w:sz w:val="24"/>
          <w:szCs w:val="24"/>
        </w:rPr>
        <w:t>е</w:t>
      </w:r>
      <w:r w:rsidR="00EA018C">
        <w:rPr>
          <w:rFonts w:ascii="Times New Roman" w:hAnsi="Times New Roman" w:cs="Times New Roman"/>
          <w:sz w:val="24"/>
          <w:szCs w:val="24"/>
        </w:rPr>
        <w:t>делски и горски продукти“ от ПРСР 2007-2013 г. и подмярка 4.2</w:t>
      </w:r>
      <w:r w:rsidR="00E5254E">
        <w:rPr>
          <w:rFonts w:ascii="Times New Roman" w:hAnsi="Times New Roman" w:cs="Times New Roman"/>
          <w:sz w:val="24"/>
          <w:szCs w:val="24"/>
        </w:rPr>
        <w:t xml:space="preserve"> „Инвестиции в преработка/марке</w:t>
      </w:r>
      <w:r w:rsidR="00EA018C">
        <w:rPr>
          <w:rFonts w:ascii="Times New Roman" w:hAnsi="Times New Roman" w:cs="Times New Roman"/>
          <w:sz w:val="24"/>
          <w:szCs w:val="24"/>
        </w:rPr>
        <w:t>т</w:t>
      </w:r>
      <w:r w:rsidR="00E5254E">
        <w:rPr>
          <w:rFonts w:ascii="Times New Roman" w:hAnsi="Times New Roman" w:cs="Times New Roman"/>
          <w:sz w:val="24"/>
          <w:szCs w:val="24"/>
        </w:rPr>
        <w:t>и</w:t>
      </w:r>
      <w:r w:rsidR="00EA018C">
        <w:rPr>
          <w:rFonts w:ascii="Times New Roman" w:hAnsi="Times New Roman" w:cs="Times New Roman"/>
          <w:sz w:val="24"/>
          <w:szCs w:val="24"/>
        </w:rPr>
        <w:t>нг на с</w:t>
      </w:r>
      <w:r w:rsidR="005E18C9">
        <w:rPr>
          <w:rFonts w:ascii="Times New Roman" w:hAnsi="Times New Roman" w:cs="Times New Roman"/>
          <w:sz w:val="24"/>
          <w:szCs w:val="24"/>
        </w:rPr>
        <w:t>елскостопански продукти“ от ПРСР</w:t>
      </w:r>
      <w:r w:rsidR="00EA018C">
        <w:rPr>
          <w:rFonts w:ascii="Times New Roman" w:hAnsi="Times New Roman" w:cs="Times New Roman"/>
          <w:sz w:val="24"/>
          <w:szCs w:val="24"/>
        </w:rPr>
        <w:t xml:space="preserve"> 2014-2020 г.</w:t>
      </w:r>
      <w:r w:rsidR="005D28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C4E">
        <w:rPr>
          <w:rFonts w:ascii="Times New Roman" w:hAnsi="Times New Roman" w:cs="Times New Roman"/>
          <w:sz w:val="24"/>
          <w:szCs w:val="24"/>
        </w:rPr>
        <w:t>кандидатстват</w:t>
      </w:r>
      <w:r w:rsidR="00EA018C">
        <w:rPr>
          <w:rFonts w:ascii="Times New Roman" w:hAnsi="Times New Roman" w:cs="Times New Roman"/>
          <w:sz w:val="24"/>
          <w:szCs w:val="24"/>
        </w:rPr>
        <w:t xml:space="preserve"> за инвестиции в преработка</w:t>
      </w:r>
      <w:r w:rsidR="005352C7">
        <w:rPr>
          <w:rFonts w:ascii="Times New Roman" w:hAnsi="Times New Roman" w:cs="Times New Roman"/>
          <w:sz w:val="24"/>
          <w:szCs w:val="24"/>
        </w:rPr>
        <w:t xml:space="preserve"> </w:t>
      </w:r>
      <w:r w:rsidR="005D28DF">
        <w:rPr>
          <w:rFonts w:ascii="Times New Roman" w:hAnsi="Times New Roman" w:cs="Times New Roman"/>
          <w:sz w:val="24"/>
          <w:szCs w:val="24"/>
        </w:rPr>
        <w:t>и маркетинг на селскостопански продукти</w:t>
      </w:r>
      <w:r w:rsidR="00715C4E">
        <w:rPr>
          <w:rFonts w:ascii="Times New Roman" w:hAnsi="Times New Roman" w:cs="Times New Roman"/>
          <w:sz w:val="24"/>
          <w:szCs w:val="24"/>
        </w:rPr>
        <w:t xml:space="preserve"> с проекти, включващи </w:t>
      </w:r>
      <w:r w:rsidR="007F17B6">
        <w:rPr>
          <w:rFonts w:ascii="Times New Roman" w:hAnsi="Times New Roman" w:cs="Times New Roman"/>
          <w:sz w:val="24"/>
          <w:szCs w:val="24"/>
        </w:rPr>
        <w:t>по-</w:t>
      </w:r>
      <w:r>
        <w:rPr>
          <w:rFonts w:ascii="Times New Roman" w:hAnsi="Times New Roman" w:cs="Times New Roman"/>
          <w:sz w:val="24"/>
          <w:szCs w:val="24"/>
        </w:rPr>
        <w:t>гол</w:t>
      </w:r>
      <w:r w:rsidR="005D28DF">
        <w:rPr>
          <w:rFonts w:ascii="Times New Roman" w:hAnsi="Times New Roman" w:cs="Times New Roman"/>
          <w:sz w:val="24"/>
          <w:szCs w:val="24"/>
        </w:rPr>
        <w:t>ям</w:t>
      </w:r>
      <w:r>
        <w:rPr>
          <w:rFonts w:ascii="Times New Roman" w:hAnsi="Times New Roman" w:cs="Times New Roman"/>
          <w:sz w:val="24"/>
          <w:szCs w:val="24"/>
        </w:rPr>
        <w:t xml:space="preserve"> размер на инвестиционните разходи</w:t>
      </w:r>
      <w:r w:rsidR="00EA018C">
        <w:rPr>
          <w:rFonts w:ascii="Times New Roman" w:hAnsi="Times New Roman" w:cs="Times New Roman"/>
          <w:sz w:val="24"/>
          <w:szCs w:val="24"/>
        </w:rPr>
        <w:t xml:space="preserve"> спрямо проектите</w:t>
      </w:r>
      <w:r w:rsidR="005D28DF">
        <w:rPr>
          <w:rFonts w:ascii="Times New Roman" w:hAnsi="Times New Roman" w:cs="Times New Roman"/>
          <w:sz w:val="24"/>
          <w:szCs w:val="24"/>
        </w:rPr>
        <w:t xml:space="preserve"> за преработка</w:t>
      </w:r>
      <w:r w:rsidR="00EA018C">
        <w:rPr>
          <w:rFonts w:ascii="Times New Roman" w:hAnsi="Times New Roman" w:cs="Times New Roman"/>
          <w:sz w:val="24"/>
          <w:szCs w:val="24"/>
        </w:rPr>
        <w:t>, представени от зем</w:t>
      </w:r>
      <w:r w:rsidR="005E18C9">
        <w:rPr>
          <w:rFonts w:ascii="Times New Roman" w:hAnsi="Times New Roman" w:cs="Times New Roman"/>
          <w:sz w:val="24"/>
          <w:szCs w:val="24"/>
        </w:rPr>
        <w:t>е</w:t>
      </w:r>
      <w:r w:rsidR="00EA018C">
        <w:rPr>
          <w:rFonts w:ascii="Times New Roman" w:hAnsi="Times New Roman" w:cs="Times New Roman"/>
          <w:sz w:val="24"/>
          <w:szCs w:val="24"/>
        </w:rPr>
        <w:t>делски</w:t>
      </w:r>
      <w:r w:rsidR="005D28DF">
        <w:rPr>
          <w:rFonts w:ascii="Times New Roman" w:hAnsi="Times New Roman" w:cs="Times New Roman"/>
          <w:sz w:val="24"/>
          <w:szCs w:val="24"/>
        </w:rPr>
        <w:t>те</w:t>
      </w:r>
      <w:r w:rsidR="00EA018C">
        <w:rPr>
          <w:rFonts w:ascii="Times New Roman" w:hAnsi="Times New Roman" w:cs="Times New Roman"/>
          <w:sz w:val="24"/>
          <w:szCs w:val="24"/>
        </w:rPr>
        <w:t xml:space="preserve"> производители</w:t>
      </w:r>
      <w:r w:rsidR="000E5644">
        <w:rPr>
          <w:rFonts w:ascii="Times New Roman" w:hAnsi="Times New Roman" w:cs="Times New Roman"/>
          <w:sz w:val="24"/>
          <w:szCs w:val="24"/>
        </w:rPr>
        <w:t xml:space="preserve">, което от своя страна води до </w:t>
      </w:r>
      <w:r w:rsidR="00E5254E">
        <w:rPr>
          <w:rFonts w:ascii="Times New Roman" w:hAnsi="Times New Roman" w:cs="Times New Roman"/>
          <w:sz w:val="24"/>
          <w:szCs w:val="24"/>
        </w:rPr>
        <w:t>съ</w:t>
      </w:r>
      <w:r w:rsidR="00D357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редоточаване на </w:t>
      </w:r>
      <w:r w:rsidR="007F17B6">
        <w:rPr>
          <w:rFonts w:ascii="Times New Roman" w:hAnsi="Times New Roman" w:cs="Times New Roman"/>
          <w:sz w:val="24"/>
          <w:szCs w:val="24"/>
        </w:rPr>
        <w:t>значителен</w:t>
      </w:r>
      <w:r>
        <w:rPr>
          <w:rFonts w:ascii="Times New Roman" w:hAnsi="Times New Roman" w:cs="Times New Roman"/>
          <w:sz w:val="24"/>
          <w:szCs w:val="24"/>
        </w:rPr>
        <w:t xml:space="preserve"> финансов ресурс в рамките на ма</w:t>
      </w:r>
      <w:r w:rsidR="00715C4E">
        <w:rPr>
          <w:rFonts w:ascii="Times New Roman" w:hAnsi="Times New Roman" w:cs="Times New Roman"/>
          <w:sz w:val="24"/>
          <w:szCs w:val="24"/>
        </w:rPr>
        <w:t xml:space="preserve">лък брой получатели на помощта. </w:t>
      </w:r>
    </w:p>
    <w:p w:rsidR="007F17B6" w:rsidRDefault="007F17B6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голяма степен</w:t>
      </w:r>
      <w:r w:rsidR="005E18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това е продиктувано и от факта, че </w:t>
      </w:r>
      <w:r w:rsidRPr="003D4D10">
        <w:rPr>
          <w:rFonts w:ascii="Times New Roman" w:hAnsi="Times New Roman" w:cs="Times New Roman"/>
          <w:sz w:val="24"/>
          <w:szCs w:val="24"/>
        </w:rPr>
        <w:t>проекти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3D4D10">
        <w:rPr>
          <w:rFonts w:ascii="Times New Roman" w:hAnsi="Times New Roman" w:cs="Times New Roman"/>
          <w:sz w:val="24"/>
          <w:szCs w:val="24"/>
        </w:rPr>
        <w:t xml:space="preserve"> за преработка на продукти от приложение № І от Договора в продукти извън приложение № І от Договора се предоставя в съответствие с </w:t>
      </w:r>
      <w:r w:rsidR="00E61E0F">
        <w:rPr>
          <w:rFonts w:ascii="Times New Roman" w:hAnsi="Times New Roman" w:cs="Times New Roman"/>
          <w:sz w:val="24"/>
          <w:szCs w:val="24"/>
        </w:rPr>
        <w:t>условията</w:t>
      </w:r>
      <w:r w:rsidRPr="003D4D10">
        <w:rPr>
          <w:rFonts w:ascii="Times New Roman" w:hAnsi="Times New Roman" w:cs="Times New Roman"/>
          <w:sz w:val="24"/>
          <w:szCs w:val="24"/>
        </w:rPr>
        <w:t xml:space="preserve"> на Регламент (ЕС) № 702/2014 от 25 юни 2014 г. във връзка с което субсидията не се ограничава съгласно правилата за минимална помощ</w:t>
      </w:r>
      <w:r>
        <w:rPr>
          <w:rFonts w:ascii="Times New Roman" w:hAnsi="Times New Roman" w:cs="Times New Roman"/>
          <w:sz w:val="24"/>
          <w:szCs w:val="24"/>
        </w:rPr>
        <w:t xml:space="preserve">. Това от своя страна доведе до засилен интерес и по-голям брой подадени проектни предложения от този тип със значителен размер на </w:t>
      </w:r>
      <w:r w:rsidR="00EA018C">
        <w:rPr>
          <w:rFonts w:ascii="Times New Roman" w:hAnsi="Times New Roman" w:cs="Times New Roman"/>
          <w:sz w:val="24"/>
          <w:szCs w:val="24"/>
        </w:rPr>
        <w:t xml:space="preserve">средно </w:t>
      </w:r>
      <w:r>
        <w:rPr>
          <w:rFonts w:ascii="Times New Roman" w:hAnsi="Times New Roman" w:cs="Times New Roman"/>
          <w:sz w:val="24"/>
          <w:szCs w:val="24"/>
        </w:rPr>
        <w:t>заявените разходи по проект, спрямо първоначално очакваното.</w:t>
      </w:r>
    </w:p>
    <w:p w:rsidR="00674CA7" w:rsidRDefault="00674CA7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рамките на проведения прием през 2015 г. са постъпили общо 595 заявления за </w:t>
      </w:r>
      <w:r w:rsidR="000E5644">
        <w:rPr>
          <w:rFonts w:ascii="Times New Roman" w:hAnsi="Times New Roman" w:cs="Times New Roman"/>
          <w:sz w:val="24"/>
          <w:szCs w:val="24"/>
        </w:rPr>
        <w:t>предоставяне на финансова помощ</w:t>
      </w:r>
      <w:r w:rsidR="00A64D83">
        <w:rPr>
          <w:rFonts w:ascii="Times New Roman" w:hAnsi="Times New Roman" w:cs="Times New Roman"/>
          <w:sz w:val="24"/>
          <w:szCs w:val="24"/>
        </w:rPr>
        <w:t xml:space="preserve"> по подмярката</w:t>
      </w:r>
      <w:r w:rsidR="000E564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със заявени разходи в размер на 1 648 158 037 лв.  Общият размер на з</w:t>
      </w:r>
      <w:r w:rsidR="00553BA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явената субсидия от страна на кандидатите</w:t>
      </w:r>
      <w:r w:rsidR="009635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възлиза на 823 057 775 лв. </w:t>
      </w:r>
      <w:r w:rsidR="00E95E6A">
        <w:rPr>
          <w:rFonts w:ascii="Times New Roman" w:hAnsi="Times New Roman" w:cs="Times New Roman"/>
          <w:sz w:val="24"/>
          <w:szCs w:val="24"/>
        </w:rPr>
        <w:t>Данните показват, че заявената субсидия в рамките на периода на прием надхвърля четирикратно разполагаемия бюджет, което налага разглеждане на заявленията в условията на ограни</w:t>
      </w:r>
      <w:r w:rsidR="00553BAA">
        <w:rPr>
          <w:rFonts w:ascii="Times New Roman" w:hAnsi="Times New Roman" w:cs="Times New Roman"/>
          <w:sz w:val="24"/>
          <w:szCs w:val="24"/>
        </w:rPr>
        <w:t>ч</w:t>
      </w:r>
      <w:r w:rsidR="00E95E6A">
        <w:rPr>
          <w:rFonts w:ascii="Times New Roman" w:hAnsi="Times New Roman" w:cs="Times New Roman"/>
          <w:sz w:val="24"/>
          <w:szCs w:val="24"/>
        </w:rPr>
        <w:t>ен бюджет.</w:t>
      </w:r>
    </w:p>
    <w:p w:rsidR="009635A4" w:rsidRDefault="009635A4" w:rsidP="009635A4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169" w:rsidRDefault="009635A4" w:rsidP="009635A4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C1F">
        <w:rPr>
          <w:rFonts w:ascii="Times New Roman" w:hAnsi="Times New Roman" w:cs="Times New Roman"/>
          <w:b/>
          <w:sz w:val="24"/>
          <w:szCs w:val="24"/>
        </w:rPr>
        <w:t>Прием 2016 г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23C1F">
        <w:rPr>
          <w:rFonts w:ascii="Times New Roman" w:hAnsi="Times New Roman" w:cs="Times New Roman"/>
          <w:b/>
          <w:sz w:val="24"/>
          <w:szCs w:val="24"/>
        </w:rPr>
        <w:t xml:space="preserve"> – подмярка 4.2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667"/>
        <w:gridCol w:w="1601"/>
        <w:gridCol w:w="2268"/>
        <w:gridCol w:w="1345"/>
      </w:tblGrid>
      <w:tr w:rsidR="00A64D83" w:rsidRPr="00A64D83" w:rsidTr="00BF7C9C">
        <w:trPr>
          <w:trHeight w:val="755"/>
        </w:trPr>
        <w:tc>
          <w:tcPr>
            <w:tcW w:w="426" w:type="dxa"/>
            <w:shd w:val="clear" w:color="auto" w:fill="D9D9D9" w:themeFill="background1" w:themeFillShade="D9"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  <w:t>Размер на инвестицията</w:t>
            </w:r>
          </w:p>
        </w:tc>
        <w:tc>
          <w:tcPr>
            <w:tcW w:w="667" w:type="dxa"/>
            <w:shd w:val="clear" w:color="auto" w:fill="D9D9D9" w:themeFill="background1" w:themeFillShade="D9"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601" w:type="dxa"/>
            <w:shd w:val="clear" w:color="auto" w:fill="D9D9D9" w:themeFill="background1" w:themeFillShade="D9"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  <w:t>Относителен дял (брой)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  <w:t>Стойност на заявените разходи</w:t>
            </w:r>
          </w:p>
        </w:tc>
        <w:tc>
          <w:tcPr>
            <w:tcW w:w="1345" w:type="dxa"/>
            <w:shd w:val="clear" w:color="auto" w:fill="D9D9D9" w:themeFill="background1" w:themeFillShade="D9"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  <w:t>Относителен дял</w:t>
            </w:r>
          </w:p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bg-BG"/>
              </w:rPr>
              <w:t xml:space="preserve"> (сума)</w:t>
            </w:r>
          </w:p>
        </w:tc>
      </w:tr>
      <w:tr w:rsidR="00A64D83" w:rsidRPr="00A64D83" w:rsidTr="00BF7C9C">
        <w:trPr>
          <w:trHeight w:val="336"/>
        </w:trPr>
        <w:tc>
          <w:tcPr>
            <w:tcW w:w="426" w:type="dxa"/>
            <w:shd w:val="clear" w:color="auto" w:fill="FFFFFF"/>
            <w:vAlign w:val="center"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I</w:t>
            </w:r>
          </w:p>
        </w:tc>
        <w:tc>
          <w:tcPr>
            <w:tcW w:w="283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до 1 000 000 лв</w:t>
            </w:r>
          </w:p>
        </w:tc>
        <w:tc>
          <w:tcPr>
            <w:tcW w:w="667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181</w:t>
            </w:r>
          </w:p>
        </w:tc>
        <w:tc>
          <w:tcPr>
            <w:tcW w:w="1601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30,42%</w:t>
            </w:r>
          </w:p>
        </w:tc>
        <w:tc>
          <w:tcPr>
            <w:tcW w:w="2268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 86 876 071,92 лв. </w:t>
            </w:r>
          </w:p>
        </w:tc>
        <w:tc>
          <w:tcPr>
            <w:tcW w:w="134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5,27%</w:t>
            </w:r>
          </w:p>
        </w:tc>
      </w:tr>
      <w:tr w:rsidR="00A64D83" w:rsidRPr="00A64D83" w:rsidTr="00BF7C9C">
        <w:trPr>
          <w:trHeight w:val="336"/>
        </w:trPr>
        <w:tc>
          <w:tcPr>
            <w:tcW w:w="426" w:type="dxa"/>
            <w:shd w:val="clear" w:color="auto" w:fill="FFFFFF"/>
            <w:vAlign w:val="center"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II</w:t>
            </w:r>
          </w:p>
        </w:tc>
        <w:tc>
          <w:tcPr>
            <w:tcW w:w="283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от 1 000 000 лв до 2 000 000 лв</w:t>
            </w:r>
          </w:p>
        </w:tc>
        <w:tc>
          <w:tcPr>
            <w:tcW w:w="667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101</w:t>
            </w:r>
          </w:p>
        </w:tc>
        <w:tc>
          <w:tcPr>
            <w:tcW w:w="1601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16,97%</w:t>
            </w:r>
          </w:p>
        </w:tc>
        <w:tc>
          <w:tcPr>
            <w:tcW w:w="2268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151 700 414,72 лв. </w:t>
            </w:r>
          </w:p>
        </w:tc>
        <w:tc>
          <w:tcPr>
            <w:tcW w:w="134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9,20%</w:t>
            </w:r>
          </w:p>
        </w:tc>
      </w:tr>
      <w:tr w:rsidR="00A64D83" w:rsidRPr="00A64D83" w:rsidTr="00BF7C9C">
        <w:trPr>
          <w:trHeight w:val="336"/>
        </w:trPr>
        <w:tc>
          <w:tcPr>
            <w:tcW w:w="426" w:type="dxa"/>
            <w:shd w:val="clear" w:color="auto" w:fill="FFFFFF"/>
            <w:vAlign w:val="center"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III</w:t>
            </w:r>
          </w:p>
        </w:tc>
        <w:tc>
          <w:tcPr>
            <w:tcW w:w="283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от 2 000 000 лв до 4 000 000 лв</w:t>
            </w:r>
          </w:p>
        </w:tc>
        <w:tc>
          <w:tcPr>
            <w:tcW w:w="667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127</w:t>
            </w:r>
          </w:p>
        </w:tc>
        <w:tc>
          <w:tcPr>
            <w:tcW w:w="1601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21,34%</w:t>
            </w:r>
          </w:p>
        </w:tc>
        <w:tc>
          <w:tcPr>
            <w:tcW w:w="2268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   375 893 433,08 лв. </w:t>
            </w:r>
          </w:p>
        </w:tc>
        <w:tc>
          <w:tcPr>
            <w:tcW w:w="134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22,81%</w:t>
            </w:r>
          </w:p>
        </w:tc>
      </w:tr>
      <w:tr w:rsidR="00A64D83" w:rsidRPr="00A64D83" w:rsidTr="00BF7C9C">
        <w:trPr>
          <w:trHeight w:val="336"/>
        </w:trPr>
        <w:tc>
          <w:tcPr>
            <w:tcW w:w="426" w:type="dxa"/>
            <w:shd w:val="clear" w:color="auto" w:fill="FFFFFF"/>
            <w:vAlign w:val="center"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IV</w:t>
            </w:r>
          </w:p>
        </w:tc>
        <w:tc>
          <w:tcPr>
            <w:tcW w:w="283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над 4 000 000 лв</w:t>
            </w:r>
          </w:p>
        </w:tc>
        <w:tc>
          <w:tcPr>
            <w:tcW w:w="667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186</w:t>
            </w:r>
          </w:p>
        </w:tc>
        <w:tc>
          <w:tcPr>
            <w:tcW w:w="1601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31,26%</w:t>
            </w:r>
          </w:p>
        </w:tc>
        <w:tc>
          <w:tcPr>
            <w:tcW w:w="2268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       1 033 688 117,49 лв. </w:t>
            </w:r>
          </w:p>
        </w:tc>
        <w:tc>
          <w:tcPr>
            <w:tcW w:w="134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62,72%</w:t>
            </w:r>
          </w:p>
        </w:tc>
      </w:tr>
      <w:tr w:rsidR="00A64D83" w:rsidRPr="00A64D83" w:rsidTr="00BF7C9C">
        <w:trPr>
          <w:trHeight w:val="336"/>
        </w:trPr>
        <w:tc>
          <w:tcPr>
            <w:tcW w:w="426" w:type="dxa"/>
            <w:shd w:val="clear" w:color="auto" w:fill="FFFFFF"/>
          </w:tcPr>
          <w:p w:rsidR="00A64D83" w:rsidRPr="00A64D83" w:rsidRDefault="00A64D83" w:rsidP="00665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83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Общо:</w:t>
            </w:r>
          </w:p>
        </w:tc>
        <w:tc>
          <w:tcPr>
            <w:tcW w:w="667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595</w:t>
            </w:r>
          </w:p>
        </w:tc>
        <w:tc>
          <w:tcPr>
            <w:tcW w:w="1601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68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      1 648 158 037,21 лв. </w:t>
            </w:r>
          </w:p>
        </w:tc>
        <w:tc>
          <w:tcPr>
            <w:tcW w:w="1345" w:type="dxa"/>
            <w:shd w:val="clear" w:color="auto" w:fill="FFFFFF"/>
            <w:noWrap/>
            <w:vAlign w:val="center"/>
            <w:hideMark/>
          </w:tcPr>
          <w:p w:rsidR="00A64D83" w:rsidRPr="00A64D83" w:rsidRDefault="00A64D83" w:rsidP="00665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64D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</w:tbl>
    <w:p w:rsidR="009635A4" w:rsidRDefault="009635A4" w:rsidP="00674C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5E6A" w:rsidRDefault="00E95E6A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 извър</w:t>
      </w:r>
      <w:r w:rsidR="000D6112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ено класиране на проектните предложения в съответствие с критериите за оценка по подмярка </w:t>
      </w:r>
      <w:r w:rsidR="00D76454">
        <w:rPr>
          <w:rFonts w:ascii="Times New Roman" w:hAnsi="Times New Roman" w:cs="Times New Roman"/>
          <w:sz w:val="24"/>
          <w:szCs w:val="24"/>
        </w:rPr>
        <w:t>се установи</w:t>
      </w:r>
      <w:r>
        <w:rPr>
          <w:rFonts w:ascii="Times New Roman" w:hAnsi="Times New Roman" w:cs="Times New Roman"/>
          <w:sz w:val="24"/>
          <w:szCs w:val="24"/>
        </w:rPr>
        <w:t>, че е необходимо увеличение на първонача</w:t>
      </w:r>
      <w:r w:rsidR="000D611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но обявения бюджет от 100 млн. евро с 80</w:t>
      </w:r>
      <w:r w:rsidR="00E61E0F">
        <w:rPr>
          <w:rFonts w:ascii="Times New Roman" w:hAnsi="Times New Roman" w:cs="Times New Roman"/>
          <w:sz w:val="24"/>
          <w:szCs w:val="24"/>
        </w:rPr>
        <w:t>.79 млн.</w:t>
      </w:r>
      <w:r w:rsidR="000E5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евро за да се предостави възможност да се финансират всички заявления</w:t>
      </w:r>
      <w:r w:rsidR="00D764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получили 55 точки</w:t>
      </w:r>
      <w:r w:rsidR="00D76454">
        <w:rPr>
          <w:rFonts w:ascii="Times New Roman" w:hAnsi="Times New Roman" w:cs="Times New Roman"/>
          <w:sz w:val="24"/>
          <w:szCs w:val="24"/>
        </w:rPr>
        <w:t xml:space="preserve"> в съответс</w:t>
      </w:r>
      <w:r w:rsidR="00E61E0F">
        <w:rPr>
          <w:rFonts w:ascii="Times New Roman" w:hAnsi="Times New Roman" w:cs="Times New Roman"/>
          <w:sz w:val="24"/>
          <w:szCs w:val="24"/>
        </w:rPr>
        <w:t>т</w:t>
      </w:r>
      <w:r w:rsidR="00D76454">
        <w:rPr>
          <w:rFonts w:ascii="Times New Roman" w:hAnsi="Times New Roman" w:cs="Times New Roman"/>
          <w:sz w:val="24"/>
          <w:szCs w:val="24"/>
        </w:rPr>
        <w:t>вие с разпоредбите на Наредба № 20 от 27 октомври 2015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1E0F" w:rsidRPr="00CD1815" w:rsidRDefault="00715C4E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Съгласно анализ на ДФ „Зе</w:t>
      </w:r>
      <w:r w:rsidR="00D7645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76454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елие“ на заявленията</w:t>
      </w:r>
      <w:r w:rsidR="005D28DF">
        <w:rPr>
          <w:rFonts w:ascii="Times New Roman" w:hAnsi="Times New Roman" w:cs="Times New Roman"/>
          <w:sz w:val="24"/>
          <w:szCs w:val="24"/>
        </w:rPr>
        <w:t xml:space="preserve"> за подпомагане</w:t>
      </w:r>
      <w:r w:rsidR="005E18C9">
        <w:rPr>
          <w:rFonts w:ascii="Times New Roman" w:hAnsi="Times New Roman" w:cs="Times New Roman"/>
          <w:sz w:val="24"/>
          <w:szCs w:val="24"/>
        </w:rPr>
        <w:t>, постъпили</w:t>
      </w:r>
      <w:r w:rsidR="00E61E0F">
        <w:rPr>
          <w:rFonts w:ascii="Times New Roman" w:hAnsi="Times New Roman" w:cs="Times New Roman"/>
          <w:sz w:val="24"/>
          <w:szCs w:val="24"/>
        </w:rPr>
        <w:t xml:space="preserve"> в периода на прием</w:t>
      </w:r>
      <w:r w:rsidR="0001387A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</w:t>
      </w:r>
      <w:r w:rsidR="005352C7">
        <w:rPr>
          <w:rFonts w:ascii="Times New Roman" w:hAnsi="Times New Roman" w:cs="Times New Roman"/>
          <w:sz w:val="24"/>
          <w:szCs w:val="24"/>
        </w:rPr>
        <w:t>оведен през 2015 г.</w:t>
      </w:r>
      <w:r w:rsidR="00E61E0F">
        <w:rPr>
          <w:rFonts w:ascii="Times New Roman" w:hAnsi="Times New Roman" w:cs="Times New Roman"/>
          <w:sz w:val="24"/>
          <w:szCs w:val="24"/>
        </w:rPr>
        <w:t>,</w:t>
      </w:r>
      <w:r w:rsidR="005352C7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най-голям относителен дял по отношение на размер</w:t>
      </w:r>
      <w:r w:rsidR="007F17B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заявените разходи заемат проектите със заявени </w:t>
      </w:r>
      <w:r w:rsidR="005E18C9">
        <w:rPr>
          <w:rFonts w:ascii="Times New Roman" w:hAnsi="Times New Roman" w:cs="Times New Roman"/>
          <w:sz w:val="24"/>
          <w:szCs w:val="24"/>
        </w:rPr>
        <w:t>инвестиции</w:t>
      </w:r>
      <w:r>
        <w:rPr>
          <w:rFonts w:ascii="Times New Roman" w:hAnsi="Times New Roman" w:cs="Times New Roman"/>
          <w:sz w:val="24"/>
          <w:szCs w:val="24"/>
        </w:rPr>
        <w:t xml:space="preserve"> на стойност на</w:t>
      </w:r>
      <w:r w:rsidR="00B776E9">
        <w:rPr>
          <w:rFonts w:ascii="Times New Roman" w:hAnsi="Times New Roman" w:cs="Times New Roman"/>
          <w:sz w:val="24"/>
          <w:szCs w:val="24"/>
        </w:rPr>
        <w:t>д</w:t>
      </w:r>
      <w:r w:rsidR="005E18C9">
        <w:rPr>
          <w:rFonts w:ascii="Times New Roman" w:hAnsi="Times New Roman" w:cs="Times New Roman"/>
          <w:sz w:val="24"/>
          <w:szCs w:val="24"/>
        </w:rPr>
        <w:t xml:space="preserve"> 4 млн. лв</w:t>
      </w:r>
      <w:r w:rsidR="00553BAA">
        <w:rPr>
          <w:rFonts w:ascii="Times New Roman" w:hAnsi="Times New Roman" w:cs="Times New Roman"/>
          <w:sz w:val="24"/>
          <w:szCs w:val="24"/>
        </w:rPr>
        <w:t>.</w:t>
      </w:r>
      <w:r w:rsidR="005E18C9">
        <w:rPr>
          <w:rFonts w:ascii="Times New Roman" w:hAnsi="Times New Roman" w:cs="Times New Roman"/>
          <w:sz w:val="24"/>
          <w:szCs w:val="24"/>
        </w:rPr>
        <w:t xml:space="preserve"> (~ 2 млн. евро).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1E0F">
        <w:rPr>
          <w:rFonts w:ascii="Times New Roman" w:hAnsi="Times New Roman" w:cs="Times New Roman"/>
          <w:sz w:val="24"/>
          <w:szCs w:val="24"/>
        </w:rPr>
        <w:t xml:space="preserve">Заявленията от </w:t>
      </w:r>
      <w:r w:rsidR="00CD1815">
        <w:rPr>
          <w:rFonts w:ascii="Times New Roman" w:hAnsi="Times New Roman" w:cs="Times New Roman"/>
          <w:sz w:val="24"/>
          <w:szCs w:val="24"/>
        </w:rPr>
        <w:t>тази</w:t>
      </w:r>
      <w:r w:rsidR="00E61E0F">
        <w:rPr>
          <w:rFonts w:ascii="Times New Roman" w:hAnsi="Times New Roman" w:cs="Times New Roman"/>
          <w:sz w:val="24"/>
          <w:szCs w:val="24"/>
        </w:rPr>
        <w:t xml:space="preserve"> категория</w:t>
      </w:r>
      <w:r w:rsidR="005352C7">
        <w:rPr>
          <w:rFonts w:ascii="Times New Roman" w:hAnsi="Times New Roman" w:cs="Times New Roman"/>
          <w:sz w:val="24"/>
          <w:szCs w:val="24"/>
        </w:rPr>
        <w:t xml:space="preserve"> са общо </w:t>
      </w:r>
      <w:r w:rsidR="00674CA7">
        <w:rPr>
          <w:rFonts w:ascii="Times New Roman" w:hAnsi="Times New Roman" w:cs="Times New Roman"/>
          <w:sz w:val="24"/>
          <w:szCs w:val="24"/>
        </w:rPr>
        <w:t>186</w:t>
      </w:r>
      <w:r w:rsidR="005352C7">
        <w:rPr>
          <w:rFonts w:ascii="Times New Roman" w:hAnsi="Times New Roman" w:cs="Times New Roman"/>
          <w:sz w:val="24"/>
          <w:szCs w:val="24"/>
        </w:rPr>
        <w:t>, като в рамките на тези проектни предложения са заявени разходи в размер на 1.033 млрд. лв. или приблизително 62.7 % от общия размер на заявените разходи в рамките на приема.</w:t>
      </w:r>
      <w:r w:rsidR="00674CA7" w:rsidRPr="009241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24169" w:rsidRPr="003D0728" w:rsidRDefault="00674CA7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1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Данните от извършеното класиране показват, че 95 заявления от съответната група </w:t>
      </w:r>
      <w:r w:rsidR="00924169" w:rsidRPr="00924169">
        <w:rPr>
          <w:rFonts w:ascii="Times New Roman" w:hAnsi="Times New Roman" w:cs="Times New Roman"/>
          <w:color w:val="000000" w:themeColor="text1"/>
          <w:sz w:val="24"/>
          <w:szCs w:val="24"/>
        </w:rPr>
        <w:t>попадат в обхвата на разглежданите проектни предложения, получили минимум 55 точки.</w:t>
      </w:r>
      <w:r w:rsidRPr="009241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00619" w:rsidRDefault="00500619" w:rsidP="006550A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619" w:rsidRPr="00674CA7" w:rsidRDefault="009635A4" w:rsidP="009635A4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CA7">
        <w:rPr>
          <w:rFonts w:ascii="Times New Roman" w:hAnsi="Times New Roman" w:cs="Times New Roman"/>
          <w:b/>
          <w:sz w:val="24"/>
          <w:szCs w:val="24"/>
        </w:rPr>
        <w:t>Заявления, получили минимум 55 точки</w:t>
      </w:r>
    </w:p>
    <w:tbl>
      <w:tblPr>
        <w:tblW w:w="496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BDB" w:themeFill="accent2" w:themeFillTint="33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5321"/>
        <w:gridCol w:w="1274"/>
        <w:gridCol w:w="2055"/>
      </w:tblGrid>
      <w:tr w:rsidR="00500619" w:rsidRPr="009C71D5" w:rsidTr="00BF7C9C">
        <w:trPr>
          <w:trHeight w:val="20"/>
        </w:trPr>
        <w:tc>
          <w:tcPr>
            <w:tcW w:w="269" w:type="pct"/>
            <w:shd w:val="clear" w:color="auto" w:fill="D9D9D9" w:themeFill="background1" w:themeFillShade="D9"/>
            <w:vAlign w:val="center"/>
            <w:hideMark/>
          </w:tcPr>
          <w:p w:rsidR="009635A4" w:rsidRPr="009C71D5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71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2910" w:type="pct"/>
            <w:shd w:val="clear" w:color="auto" w:fill="D9D9D9" w:themeFill="background1" w:themeFillShade="D9"/>
            <w:vAlign w:val="center"/>
            <w:hideMark/>
          </w:tcPr>
          <w:p w:rsidR="009635A4" w:rsidRPr="009C71D5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71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Размер на инвестицията</w:t>
            </w:r>
          </w:p>
        </w:tc>
        <w:tc>
          <w:tcPr>
            <w:tcW w:w="697" w:type="pct"/>
            <w:shd w:val="clear" w:color="auto" w:fill="D9D9D9" w:themeFill="background1" w:themeFillShade="D9"/>
            <w:vAlign w:val="center"/>
            <w:hideMark/>
          </w:tcPr>
          <w:p w:rsidR="009635A4" w:rsidRPr="009C71D5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71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Брой</w:t>
            </w:r>
          </w:p>
        </w:tc>
        <w:tc>
          <w:tcPr>
            <w:tcW w:w="1124" w:type="pct"/>
            <w:shd w:val="clear" w:color="auto" w:fill="D9D9D9" w:themeFill="background1" w:themeFillShade="D9"/>
            <w:vAlign w:val="center"/>
            <w:hideMark/>
          </w:tcPr>
          <w:p w:rsidR="009635A4" w:rsidRPr="009C71D5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C71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Относителен дял (брой)</w:t>
            </w:r>
          </w:p>
        </w:tc>
      </w:tr>
      <w:tr w:rsidR="00500619" w:rsidRPr="009C71D5" w:rsidTr="00BF7C9C">
        <w:trPr>
          <w:trHeight w:val="20"/>
        </w:trPr>
        <w:tc>
          <w:tcPr>
            <w:tcW w:w="269" w:type="pct"/>
            <w:shd w:val="clear" w:color="auto" w:fill="auto"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I</w:t>
            </w:r>
          </w:p>
        </w:tc>
        <w:tc>
          <w:tcPr>
            <w:tcW w:w="2910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до 1 000 000 лв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18.75%</w:t>
            </w:r>
          </w:p>
        </w:tc>
      </w:tr>
      <w:tr w:rsidR="00500619" w:rsidRPr="009C71D5" w:rsidTr="00BF7C9C">
        <w:trPr>
          <w:trHeight w:val="20"/>
        </w:trPr>
        <w:tc>
          <w:tcPr>
            <w:tcW w:w="269" w:type="pct"/>
            <w:shd w:val="clear" w:color="auto" w:fill="auto"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II</w:t>
            </w:r>
          </w:p>
        </w:tc>
        <w:tc>
          <w:tcPr>
            <w:tcW w:w="2910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 1 000 000 лв до 2 000 000 лв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20.00%</w:t>
            </w:r>
          </w:p>
        </w:tc>
      </w:tr>
      <w:tr w:rsidR="00500619" w:rsidRPr="009C71D5" w:rsidTr="00BF7C9C">
        <w:trPr>
          <w:trHeight w:val="20"/>
        </w:trPr>
        <w:tc>
          <w:tcPr>
            <w:tcW w:w="269" w:type="pct"/>
            <w:shd w:val="clear" w:color="auto" w:fill="auto"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III</w:t>
            </w:r>
          </w:p>
        </w:tc>
        <w:tc>
          <w:tcPr>
            <w:tcW w:w="2910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 2 000 000 лв до 4 000 000 лв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21.67%</w:t>
            </w:r>
          </w:p>
        </w:tc>
      </w:tr>
      <w:tr w:rsidR="00500619" w:rsidRPr="009C71D5" w:rsidTr="00BF7C9C">
        <w:trPr>
          <w:trHeight w:val="20"/>
        </w:trPr>
        <w:tc>
          <w:tcPr>
            <w:tcW w:w="269" w:type="pct"/>
            <w:shd w:val="clear" w:color="auto" w:fill="auto"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IV</w:t>
            </w:r>
          </w:p>
        </w:tc>
        <w:tc>
          <w:tcPr>
            <w:tcW w:w="2910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над 4 000 000 лв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95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39.58%</w:t>
            </w:r>
          </w:p>
        </w:tc>
      </w:tr>
      <w:tr w:rsidR="00500619" w:rsidRPr="009C71D5" w:rsidTr="00BF7C9C">
        <w:trPr>
          <w:trHeight w:val="20"/>
        </w:trPr>
        <w:tc>
          <w:tcPr>
            <w:tcW w:w="269" w:type="pct"/>
            <w:shd w:val="clear" w:color="auto" w:fill="auto"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2910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50061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Общо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240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:rsidR="009635A4" w:rsidRPr="00924169" w:rsidRDefault="009635A4" w:rsidP="00665E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9241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100.00%</w:t>
            </w:r>
          </w:p>
        </w:tc>
      </w:tr>
    </w:tbl>
    <w:p w:rsidR="00D76454" w:rsidRDefault="00D76454" w:rsidP="00745DF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5DF7" w:rsidRDefault="00745DF7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друга страна, в рамките на периода на прием</w:t>
      </w:r>
      <w:r w:rsidR="00D764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средния размер на заявените разходи по един проект възлиза на левовата равностойност на </w:t>
      </w:r>
      <w:r w:rsidRPr="00E003C0">
        <w:rPr>
          <w:rFonts w:ascii="Times New Roman" w:hAnsi="Times New Roman" w:cs="Times New Roman"/>
          <w:b/>
          <w:sz w:val="24"/>
          <w:szCs w:val="24"/>
        </w:rPr>
        <w:t>1.42 млн. евро</w:t>
      </w:r>
      <w:r>
        <w:rPr>
          <w:rFonts w:ascii="Times New Roman" w:hAnsi="Times New Roman" w:cs="Times New Roman"/>
          <w:sz w:val="24"/>
          <w:szCs w:val="24"/>
        </w:rPr>
        <w:t xml:space="preserve">, а средния размер на заявената финансова помощ възлиза на </w:t>
      </w:r>
      <w:r w:rsidRPr="00E003C0">
        <w:rPr>
          <w:rFonts w:ascii="Times New Roman" w:hAnsi="Times New Roman" w:cs="Times New Roman"/>
          <w:b/>
          <w:sz w:val="24"/>
          <w:szCs w:val="24"/>
        </w:rPr>
        <w:t>708 хил. евро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6567" w:rsidRDefault="000E5644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Тази информация н</w:t>
      </w:r>
      <w:r w:rsidR="00745DF7">
        <w:rPr>
          <w:rFonts w:ascii="Times New Roman" w:hAnsi="Times New Roman" w:cs="Times New Roman"/>
          <w:sz w:val="24"/>
          <w:szCs w:val="24"/>
        </w:rPr>
        <w:t xml:space="preserve">алага извода, че </w:t>
      </w:r>
      <w:r>
        <w:rPr>
          <w:rFonts w:ascii="Times New Roman" w:hAnsi="Times New Roman" w:cs="Times New Roman"/>
          <w:sz w:val="24"/>
          <w:szCs w:val="24"/>
        </w:rPr>
        <w:t>проектни</w:t>
      </w:r>
      <w:r w:rsidR="00745DF7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предложения, в рамките на които са заявени разходи в размер на над </w:t>
      </w:r>
      <w:r w:rsidR="00D76454">
        <w:rPr>
          <w:rFonts w:ascii="Times New Roman" w:hAnsi="Times New Roman" w:cs="Times New Roman"/>
          <w:sz w:val="24"/>
          <w:szCs w:val="24"/>
        </w:rPr>
        <w:t>2 млн. евро</w:t>
      </w:r>
      <w:r w:rsidR="00924169">
        <w:rPr>
          <w:rFonts w:ascii="Times New Roman" w:hAnsi="Times New Roman" w:cs="Times New Roman"/>
          <w:sz w:val="24"/>
          <w:szCs w:val="24"/>
        </w:rPr>
        <w:t>,</w:t>
      </w:r>
      <w:r w:rsidR="00D76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ще ангажират значителен финансов ресурс в рамките на периода на прием и ще ограничат възможността за подпомагане на</w:t>
      </w:r>
      <w:r w:rsidR="00745DF7">
        <w:rPr>
          <w:rFonts w:ascii="Times New Roman" w:hAnsi="Times New Roman" w:cs="Times New Roman"/>
          <w:sz w:val="24"/>
          <w:szCs w:val="24"/>
        </w:rPr>
        <w:t xml:space="preserve"> останалите заявления, които в не по-малка степен допринасят за постигане на целите на подмярката.</w:t>
      </w:r>
    </w:p>
    <w:p w:rsidR="00553BAA" w:rsidRDefault="000A27E0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E3821">
        <w:rPr>
          <w:rFonts w:ascii="Times New Roman" w:hAnsi="Times New Roman" w:cs="Times New Roman"/>
          <w:sz w:val="24"/>
          <w:szCs w:val="24"/>
        </w:rPr>
        <w:t xml:space="preserve">ри </w:t>
      </w:r>
      <w:r w:rsidR="0021170C">
        <w:rPr>
          <w:rFonts w:ascii="Times New Roman" w:hAnsi="Times New Roman" w:cs="Times New Roman"/>
          <w:sz w:val="24"/>
          <w:szCs w:val="24"/>
        </w:rPr>
        <w:t xml:space="preserve">извършване на </w:t>
      </w:r>
      <w:r w:rsidR="00553BAA">
        <w:rPr>
          <w:rFonts w:ascii="Times New Roman" w:hAnsi="Times New Roman" w:cs="Times New Roman"/>
          <w:sz w:val="24"/>
          <w:szCs w:val="24"/>
        </w:rPr>
        <w:t xml:space="preserve">екстраполация, изразяваща се в </w:t>
      </w:r>
      <w:r w:rsidR="009E3821">
        <w:rPr>
          <w:rFonts w:ascii="Times New Roman" w:hAnsi="Times New Roman" w:cs="Times New Roman"/>
          <w:sz w:val="24"/>
          <w:szCs w:val="24"/>
        </w:rPr>
        <w:t>лимитиране на тавана на разходите до левовата равностойност на 2 млн. евро на з</w:t>
      </w:r>
      <w:r w:rsidR="00D76454">
        <w:rPr>
          <w:rFonts w:ascii="Times New Roman" w:hAnsi="Times New Roman" w:cs="Times New Roman"/>
          <w:sz w:val="24"/>
          <w:szCs w:val="24"/>
        </w:rPr>
        <w:t>а</w:t>
      </w:r>
      <w:r w:rsidR="009E3821">
        <w:rPr>
          <w:rFonts w:ascii="Times New Roman" w:hAnsi="Times New Roman" w:cs="Times New Roman"/>
          <w:sz w:val="24"/>
          <w:szCs w:val="24"/>
        </w:rPr>
        <w:t>явленията, постъпили в периода на прием през 2015 г. става ясно, че надза</w:t>
      </w:r>
      <w:r w:rsidR="00A64D83">
        <w:rPr>
          <w:rFonts w:ascii="Times New Roman" w:hAnsi="Times New Roman" w:cs="Times New Roman"/>
          <w:sz w:val="24"/>
          <w:szCs w:val="24"/>
        </w:rPr>
        <w:t>я</w:t>
      </w:r>
      <w:r w:rsidR="009E3821">
        <w:rPr>
          <w:rFonts w:ascii="Times New Roman" w:hAnsi="Times New Roman" w:cs="Times New Roman"/>
          <w:sz w:val="24"/>
          <w:szCs w:val="24"/>
        </w:rPr>
        <w:t xml:space="preserve">вената сума </w:t>
      </w:r>
      <w:r w:rsidR="00A64D83">
        <w:rPr>
          <w:rFonts w:ascii="Times New Roman" w:hAnsi="Times New Roman" w:cs="Times New Roman"/>
          <w:sz w:val="24"/>
          <w:szCs w:val="24"/>
        </w:rPr>
        <w:t xml:space="preserve">на разходите </w:t>
      </w:r>
      <w:r w:rsidR="009E3821" w:rsidRPr="000A27E0">
        <w:rPr>
          <w:rFonts w:ascii="Times New Roman" w:hAnsi="Times New Roman" w:cs="Times New Roman"/>
          <w:sz w:val="24"/>
          <w:szCs w:val="24"/>
        </w:rPr>
        <w:t>възлиза на</w:t>
      </w:r>
      <w:r w:rsidR="009E3821" w:rsidRPr="000A27E0">
        <w:rPr>
          <w:rFonts w:ascii="Times New Roman" w:hAnsi="Times New Roman" w:cs="Times New Roman"/>
          <w:b/>
          <w:sz w:val="24"/>
          <w:szCs w:val="24"/>
        </w:rPr>
        <w:t xml:space="preserve"> 158</w:t>
      </w:r>
      <w:r w:rsidR="00273237" w:rsidRPr="000A27E0">
        <w:rPr>
          <w:rFonts w:ascii="Times New Roman" w:hAnsi="Times New Roman" w:cs="Times New Roman"/>
          <w:b/>
          <w:sz w:val="24"/>
          <w:szCs w:val="24"/>
        </w:rPr>
        <w:t>.5</w:t>
      </w:r>
      <w:r w:rsidR="009E3821" w:rsidRPr="000A27E0">
        <w:rPr>
          <w:rFonts w:ascii="Times New Roman" w:hAnsi="Times New Roman" w:cs="Times New Roman"/>
          <w:b/>
          <w:sz w:val="24"/>
          <w:szCs w:val="24"/>
        </w:rPr>
        <w:t xml:space="preserve"> млн. евро</w:t>
      </w:r>
      <w:r w:rsidR="009E3821">
        <w:rPr>
          <w:rFonts w:ascii="Times New Roman" w:hAnsi="Times New Roman" w:cs="Times New Roman"/>
          <w:sz w:val="24"/>
          <w:szCs w:val="24"/>
        </w:rPr>
        <w:t>.</w:t>
      </w:r>
      <w:r w:rsidR="00D764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12F" w:rsidRDefault="0098212F" w:rsidP="00674C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 wp14:anchorId="43FEB9D1" wp14:editId="750FF4F3">
            <wp:extent cx="5760720" cy="2432658"/>
            <wp:effectExtent l="0" t="0" r="11430" b="63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D1815" w:rsidRDefault="009E3821" w:rsidP="00CD1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извъ</w:t>
      </w:r>
      <w:r w:rsidR="00A64D8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шване на съответното преизчисление </w:t>
      </w:r>
      <w:r w:rsidR="0021170C">
        <w:rPr>
          <w:rFonts w:ascii="Times New Roman" w:hAnsi="Times New Roman" w:cs="Times New Roman"/>
          <w:sz w:val="24"/>
          <w:szCs w:val="24"/>
        </w:rPr>
        <w:t>(</w:t>
      </w:r>
      <w:r w:rsidR="0021170C" w:rsidRPr="00924169">
        <w:rPr>
          <w:rFonts w:ascii="Times New Roman" w:hAnsi="Times New Roman" w:cs="Times New Roman"/>
          <w:color w:val="000000" w:themeColor="text1"/>
          <w:sz w:val="24"/>
          <w:szCs w:val="24"/>
        </w:rPr>
        <w:t>в случай</w:t>
      </w:r>
      <w:r w:rsidR="0021170C">
        <w:rPr>
          <w:rFonts w:ascii="Times New Roman" w:hAnsi="Times New Roman" w:cs="Times New Roman"/>
          <w:sz w:val="24"/>
          <w:szCs w:val="24"/>
        </w:rPr>
        <w:t xml:space="preserve">, че максималния размер на разходите за един кандидат беше ограничен до левовата равностойност на 2 млн. евро) </w:t>
      </w:r>
      <w:r>
        <w:rPr>
          <w:rFonts w:ascii="Times New Roman" w:hAnsi="Times New Roman" w:cs="Times New Roman"/>
          <w:sz w:val="24"/>
          <w:szCs w:val="24"/>
        </w:rPr>
        <w:t xml:space="preserve">става ясно, че с обявения </w:t>
      </w:r>
      <w:r w:rsidR="00E61E0F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273237">
        <w:rPr>
          <w:rFonts w:ascii="Times New Roman" w:hAnsi="Times New Roman" w:cs="Times New Roman"/>
          <w:sz w:val="24"/>
          <w:szCs w:val="24"/>
        </w:rPr>
        <w:t>в рамките на периода на прием</w:t>
      </w:r>
      <w:r w:rsidR="0021170C">
        <w:rPr>
          <w:rFonts w:ascii="Times New Roman" w:hAnsi="Times New Roman" w:cs="Times New Roman"/>
          <w:sz w:val="24"/>
          <w:szCs w:val="24"/>
        </w:rPr>
        <w:t xml:space="preserve"> през 2015 г.</w:t>
      </w:r>
      <w:r>
        <w:rPr>
          <w:rFonts w:ascii="Times New Roman" w:hAnsi="Times New Roman" w:cs="Times New Roman"/>
          <w:sz w:val="24"/>
          <w:szCs w:val="24"/>
        </w:rPr>
        <w:t xml:space="preserve"> е имало възможност да бъдат </w:t>
      </w:r>
      <w:r w:rsidR="00CD1815">
        <w:rPr>
          <w:rFonts w:ascii="Times New Roman" w:hAnsi="Times New Roman" w:cs="Times New Roman"/>
          <w:sz w:val="24"/>
          <w:szCs w:val="24"/>
        </w:rPr>
        <w:t>финансирани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5A3F">
        <w:rPr>
          <w:rFonts w:ascii="Times New Roman" w:hAnsi="Times New Roman" w:cs="Times New Roman"/>
          <w:sz w:val="24"/>
          <w:szCs w:val="24"/>
        </w:rPr>
        <w:t>с</w:t>
      </w:r>
      <w:r w:rsidR="00E003C0">
        <w:rPr>
          <w:rFonts w:ascii="Times New Roman" w:hAnsi="Times New Roman" w:cs="Times New Roman"/>
          <w:sz w:val="24"/>
          <w:szCs w:val="24"/>
        </w:rPr>
        <w:t xml:space="preserve"> </w:t>
      </w:r>
      <w:r w:rsidR="00EE6420">
        <w:rPr>
          <w:rFonts w:ascii="Times New Roman" w:hAnsi="Times New Roman" w:cs="Times New Roman"/>
          <w:sz w:val="24"/>
          <w:szCs w:val="24"/>
        </w:rPr>
        <w:t xml:space="preserve">20 </w:t>
      </w:r>
      <w:r w:rsidR="00E003C0">
        <w:rPr>
          <w:rFonts w:ascii="Times New Roman" w:hAnsi="Times New Roman" w:cs="Times New Roman"/>
          <w:sz w:val="24"/>
          <w:szCs w:val="24"/>
        </w:rPr>
        <w:t>% повече заявления, което прави  с</w:t>
      </w:r>
      <w:r w:rsidR="00185A3F">
        <w:rPr>
          <w:rFonts w:ascii="Times New Roman" w:hAnsi="Times New Roman" w:cs="Times New Roman"/>
          <w:sz w:val="24"/>
          <w:szCs w:val="24"/>
        </w:rPr>
        <w:t xml:space="preserve"> </w:t>
      </w:r>
      <w:r w:rsidR="000C703D" w:rsidRPr="00156DAA">
        <w:rPr>
          <w:rFonts w:ascii="Times New Roman" w:hAnsi="Times New Roman" w:cs="Times New Roman"/>
          <w:sz w:val="24"/>
          <w:szCs w:val="24"/>
          <w:lang w:val="en-US"/>
        </w:rPr>
        <w:t xml:space="preserve">47 </w:t>
      </w:r>
      <w:r w:rsidR="00D76454" w:rsidRPr="00156D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заявления </w:t>
      </w:r>
      <w:r w:rsidR="00273237" w:rsidRPr="00156D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76454" w:rsidRPr="00156DAA">
        <w:rPr>
          <w:rFonts w:ascii="Times New Roman" w:hAnsi="Times New Roman" w:cs="Times New Roman"/>
          <w:color w:val="000000" w:themeColor="text1"/>
          <w:sz w:val="24"/>
          <w:szCs w:val="24"/>
        </w:rPr>
        <w:t>повече</w:t>
      </w:r>
      <w:r w:rsidR="0001387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01387A" w:rsidRPr="0001387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CD18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</w:t>
      </w:r>
      <w:r w:rsidR="00185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общо </w:t>
      </w:r>
      <w:r w:rsidR="0001387A" w:rsidRPr="0001387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287 </w:t>
      </w:r>
      <w:r w:rsidR="0001387A" w:rsidRPr="0001387A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заявления)</w:t>
      </w:r>
      <w:r w:rsidR="00CD18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1815">
        <w:rPr>
          <w:rFonts w:ascii="Times New Roman" w:hAnsi="Times New Roman" w:cs="Times New Roman"/>
          <w:sz w:val="24"/>
          <w:szCs w:val="24"/>
        </w:rPr>
        <w:t xml:space="preserve">с освободената сума от </w:t>
      </w:r>
      <w:r w:rsidR="00CD1815" w:rsidRPr="000A27E0">
        <w:rPr>
          <w:rFonts w:ascii="Times New Roman" w:hAnsi="Times New Roman" w:cs="Times New Roman"/>
          <w:b/>
          <w:sz w:val="24"/>
          <w:szCs w:val="24"/>
        </w:rPr>
        <w:t>158.5 млн. евро</w:t>
      </w:r>
      <w:r w:rsidR="00CD18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6D29" w:rsidRPr="000C703D" w:rsidRDefault="0021170C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Това заключение </w:t>
      </w:r>
      <w:r w:rsidR="003D072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базира</w:t>
      </w:r>
      <w:r w:rsidR="003D0728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27E0">
        <w:rPr>
          <w:rFonts w:ascii="Times New Roman" w:hAnsi="Times New Roman" w:cs="Times New Roman"/>
          <w:sz w:val="24"/>
          <w:szCs w:val="24"/>
        </w:rPr>
        <w:t xml:space="preserve">въз основа на </w:t>
      </w:r>
      <w:r w:rsidR="0001387A">
        <w:rPr>
          <w:rFonts w:ascii="Times New Roman" w:hAnsi="Times New Roman" w:cs="Times New Roman"/>
          <w:sz w:val="24"/>
          <w:szCs w:val="24"/>
        </w:rPr>
        <w:t xml:space="preserve">преизчислената субсидия в следствие на лимитиране на тавана на разходите </w:t>
      </w:r>
      <w:r w:rsidR="00086567">
        <w:rPr>
          <w:rFonts w:ascii="Times New Roman" w:hAnsi="Times New Roman" w:cs="Times New Roman"/>
          <w:sz w:val="24"/>
          <w:szCs w:val="24"/>
        </w:rPr>
        <w:t xml:space="preserve">до 2 млн. евро </w:t>
      </w:r>
      <w:r w:rsidR="0001387A">
        <w:rPr>
          <w:rFonts w:ascii="Times New Roman" w:hAnsi="Times New Roman" w:cs="Times New Roman"/>
          <w:sz w:val="24"/>
          <w:szCs w:val="24"/>
        </w:rPr>
        <w:t>и в съответствие с интензитета на помощта в зависимост от статута на предприятието</w:t>
      </w:r>
      <w:r w:rsidR="00086567">
        <w:rPr>
          <w:rFonts w:ascii="Times New Roman" w:hAnsi="Times New Roman" w:cs="Times New Roman"/>
          <w:sz w:val="24"/>
          <w:szCs w:val="24"/>
        </w:rPr>
        <w:t xml:space="preserve"> (МСП или голямо предприятие)</w:t>
      </w:r>
      <w:r w:rsidR="0001387A">
        <w:rPr>
          <w:rFonts w:ascii="Times New Roman" w:hAnsi="Times New Roman" w:cs="Times New Roman"/>
          <w:sz w:val="24"/>
          <w:szCs w:val="24"/>
        </w:rPr>
        <w:t xml:space="preserve">. </w:t>
      </w:r>
      <w:r w:rsidR="00E61E0F" w:rsidRPr="000C703D">
        <w:rPr>
          <w:rFonts w:ascii="Times New Roman" w:hAnsi="Times New Roman" w:cs="Times New Roman"/>
          <w:sz w:val="24"/>
          <w:szCs w:val="24"/>
        </w:rPr>
        <w:t>Екстраполацията води до намаляване на средния размер на заявените</w:t>
      </w:r>
      <w:r w:rsidR="00396D29" w:rsidRPr="000C703D">
        <w:rPr>
          <w:rFonts w:ascii="Times New Roman" w:hAnsi="Times New Roman" w:cs="Times New Roman"/>
          <w:sz w:val="24"/>
          <w:szCs w:val="24"/>
        </w:rPr>
        <w:t xml:space="preserve"> разходите </w:t>
      </w:r>
      <w:r w:rsidR="00CD1815">
        <w:rPr>
          <w:rFonts w:ascii="Times New Roman" w:hAnsi="Times New Roman" w:cs="Times New Roman"/>
          <w:sz w:val="24"/>
          <w:szCs w:val="24"/>
        </w:rPr>
        <w:t xml:space="preserve">с </w:t>
      </w:r>
      <w:r w:rsidR="00692E45" w:rsidRPr="00E92D07">
        <w:rPr>
          <w:rFonts w:ascii="Times New Roman" w:hAnsi="Times New Roman" w:cs="Times New Roman"/>
          <w:b/>
          <w:sz w:val="24"/>
          <w:szCs w:val="24"/>
        </w:rPr>
        <w:t>10 %</w:t>
      </w:r>
      <w:r w:rsidR="00692E45">
        <w:rPr>
          <w:rFonts w:ascii="Times New Roman" w:hAnsi="Times New Roman" w:cs="Times New Roman"/>
          <w:sz w:val="24"/>
          <w:szCs w:val="24"/>
        </w:rPr>
        <w:t xml:space="preserve"> </w:t>
      </w:r>
      <w:r w:rsidR="00CD1815">
        <w:rPr>
          <w:rFonts w:ascii="Times New Roman" w:hAnsi="Times New Roman" w:cs="Times New Roman"/>
          <w:sz w:val="24"/>
          <w:szCs w:val="24"/>
        </w:rPr>
        <w:t xml:space="preserve">от </w:t>
      </w:r>
      <w:r w:rsidR="00E003C0" w:rsidRPr="00E003C0">
        <w:rPr>
          <w:rFonts w:ascii="Times New Roman" w:hAnsi="Times New Roman" w:cs="Times New Roman"/>
          <w:b/>
          <w:sz w:val="24"/>
          <w:szCs w:val="24"/>
        </w:rPr>
        <w:t>1.42 млн</w:t>
      </w:r>
      <w:r w:rsidR="00E003C0">
        <w:rPr>
          <w:rFonts w:ascii="Times New Roman" w:hAnsi="Times New Roman" w:cs="Times New Roman"/>
          <w:sz w:val="24"/>
          <w:szCs w:val="24"/>
        </w:rPr>
        <w:t xml:space="preserve">. евро </w:t>
      </w:r>
      <w:r w:rsidR="00CD1815">
        <w:rPr>
          <w:rFonts w:ascii="Times New Roman" w:hAnsi="Times New Roman" w:cs="Times New Roman"/>
          <w:sz w:val="24"/>
          <w:szCs w:val="24"/>
        </w:rPr>
        <w:t>на</w:t>
      </w:r>
      <w:r w:rsidR="00396D29" w:rsidRPr="000C703D">
        <w:rPr>
          <w:rFonts w:ascii="Times New Roman" w:hAnsi="Times New Roman" w:cs="Times New Roman"/>
          <w:sz w:val="24"/>
          <w:szCs w:val="24"/>
        </w:rPr>
        <w:t xml:space="preserve"> </w:t>
      </w:r>
      <w:r w:rsidR="00396D29" w:rsidRPr="00CD1815">
        <w:rPr>
          <w:rFonts w:ascii="Times New Roman" w:hAnsi="Times New Roman" w:cs="Times New Roman"/>
          <w:b/>
          <w:sz w:val="24"/>
          <w:szCs w:val="24"/>
        </w:rPr>
        <w:t>1.267</w:t>
      </w:r>
      <w:r w:rsidR="00396D29" w:rsidRPr="000C703D">
        <w:rPr>
          <w:rFonts w:ascii="Times New Roman" w:hAnsi="Times New Roman" w:cs="Times New Roman"/>
          <w:sz w:val="24"/>
          <w:szCs w:val="24"/>
        </w:rPr>
        <w:t xml:space="preserve"> млн. е</w:t>
      </w:r>
      <w:r w:rsidR="00273237" w:rsidRPr="000C703D">
        <w:rPr>
          <w:rFonts w:ascii="Times New Roman" w:hAnsi="Times New Roman" w:cs="Times New Roman"/>
          <w:sz w:val="24"/>
          <w:szCs w:val="24"/>
        </w:rPr>
        <w:t>в</w:t>
      </w:r>
      <w:r w:rsidR="00396D29" w:rsidRPr="000C703D">
        <w:rPr>
          <w:rFonts w:ascii="Times New Roman" w:hAnsi="Times New Roman" w:cs="Times New Roman"/>
          <w:sz w:val="24"/>
          <w:szCs w:val="24"/>
        </w:rPr>
        <w:t>ро</w:t>
      </w:r>
      <w:r w:rsidR="00E61E0F" w:rsidRPr="000C703D">
        <w:rPr>
          <w:rFonts w:ascii="Times New Roman" w:hAnsi="Times New Roman" w:cs="Times New Roman"/>
          <w:sz w:val="24"/>
          <w:szCs w:val="24"/>
        </w:rPr>
        <w:t>, рес</w:t>
      </w:r>
      <w:r w:rsidR="003D0728" w:rsidRPr="000C703D">
        <w:rPr>
          <w:rFonts w:ascii="Times New Roman" w:hAnsi="Times New Roman" w:cs="Times New Roman"/>
          <w:sz w:val="24"/>
          <w:szCs w:val="24"/>
        </w:rPr>
        <w:t>п</w:t>
      </w:r>
      <w:r w:rsidR="00E61E0F" w:rsidRPr="000C703D">
        <w:rPr>
          <w:rFonts w:ascii="Times New Roman" w:hAnsi="Times New Roman" w:cs="Times New Roman"/>
          <w:sz w:val="24"/>
          <w:szCs w:val="24"/>
        </w:rPr>
        <w:t>ективно</w:t>
      </w:r>
      <w:r w:rsidR="00396D29" w:rsidRPr="000C703D">
        <w:rPr>
          <w:rFonts w:ascii="Times New Roman" w:hAnsi="Times New Roman" w:cs="Times New Roman"/>
          <w:sz w:val="24"/>
          <w:szCs w:val="24"/>
        </w:rPr>
        <w:t xml:space="preserve"> сред</w:t>
      </w:r>
      <w:r w:rsidR="00E61E0F" w:rsidRPr="000C703D">
        <w:rPr>
          <w:rFonts w:ascii="Times New Roman" w:hAnsi="Times New Roman" w:cs="Times New Roman"/>
          <w:sz w:val="24"/>
          <w:szCs w:val="24"/>
        </w:rPr>
        <w:t>ния</w:t>
      </w:r>
      <w:r w:rsidR="00396D29" w:rsidRPr="000C703D">
        <w:rPr>
          <w:rFonts w:ascii="Times New Roman" w:hAnsi="Times New Roman" w:cs="Times New Roman"/>
          <w:sz w:val="24"/>
          <w:szCs w:val="24"/>
        </w:rPr>
        <w:t xml:space="preserve"> размер на </w:t>
      </w:r>
      <w:r w:rsidR="00E61E0F" w:rsidRPr="000C703D">
        <w:rPr>
          <w:rFonts w:ascii="Times New Roman" w:hAnsi="Times New Roman" w:cs="Times New Roman"/>
          <w:sz w:val="24"/>
          <w:szCs w:val="24"/>
        </w:rPr>
        <w:t xml:space="preserve">съответната субсидия </w:t>
      </w:r>
      <w:r w:rsidR="00E003C0">
        <w:rPr>
          <w:rFonts w:ascii="Times New Roman" w:hAnsi="Times New Roman" w:cs="Times New Roman"/>
          <w:sz w:val="24"/>
          <w:szCs w:val="24"/>
        </w:rPr>
        <w:t>би намаляла с</w:t>
      </w:r>
      <w:r w:rsidR="00E92D07">
        <w:rPr>
          <w:rFonts w:ascii="Times New Roman" w:hAnsi="Times New Roman" w:cs="Times New Roman"/>
          <w:sz w:val="24"/>
          <w:szCs w:val="24"/>
        </w:rPr>
        <w:t xml:space="preserve">  </w:t>
      </w:r>
      <w:r w:rsidR="00E92D07" w:rsidRPr="00E92D07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="00E003C0" w:rsidRPr="00E92D07">
        <w:rPr>
          <w:rFonts w:ascii="Times New Roman" w:hAnsi="Times New Roman" w:cs="Times New Roman"/>
          <w:b/>
          <w:sz w:val="24"/>
          <w:szCs w:val="24"/>
        </w:rPr>
        <w:t>%</w:t>
      </w:r>
      <w:r w:rsidR="00E003C0">
        <w:rPr>
          <w:rFonts w:ascii="Times New Roman" w:hAnsi="Times New Roman" w:cs="Times New Roman"/>
          <w:sz w:val="24"/>
          <w:szCs w:val="24"/>
        </w:rPr>
        <w:t xml:space="preserve"> от </w:t>
      </w:r>
      <w:r w:rsidR="00E003C0" w:rsidRPr="00E003C0">
        <w:rPr>
          <w:rFonts w:ascii="Times New Roman" w:hAnsi="Times New Roman" w:cs="Times New Roman"/>
          <w:b/>
          <w:sz w:val="24"/>
          <w:szCs w:val="24"/>
        </w:rPr>
        <w:t>708 хил. евро</w:t>
      </w:r>
      <w:r w:rsidR="00E003C0" w:rsidRPr="000C703D">
        <w:rPr>
          <w:rFonts w:ascii="Times New Roman" w:hAnsi="Times New Roman" w:cs="Times New Roman"/>
          <w:sz w:val="24"/>
          <w:szCs w:val="24"/>
        </w:rPr>
        <w:t xml:space="preserve"> </w:t>
      </w:r>
      <w:r w:rsidR="00E61E0F" w:rsidRPr="000C703D">
        <w:rPr>
          <w:rFonts w:ascii="Times New Roman" w:hAnsi="Times New Roman" w:cs="Times New Roman"/>
          <w:sz w:val="24"/>
          <w:szCs w:val="24"/>
        </w:rPr>
        <w:t xml:space="preserve">на </w:t>
      </w:r>
      <w:r w:rsidR="00E61E0F" w:rsidRPr="00CD1815">
        <w:rPr>
          <w:rFonts w:ascii="Times New Roman" w:hAnsi="Times New Roman" w:cs="Times New Roman"/>
          <w:b/>
          <w:sz w:val="24"/>
          <w:szCs w:val="24"/>
        </w:rPr>
        <w:t>630</w:t>
      </w:r>
      <w:r w:rsidR="00E61E0F" w:rsidRPr="000C703D">
        <w:rPr>
          <w:rFonts w:ascii="Times New Roman" w:hAnsi="Times New Roman" w:cs="Times New Roman"/>
          <w:sz w:val="24"/>
          <w:szCs w:val="24"/>
        </w:rPr>
        <w:t xml:space="preserve"> хил. евро. </w:t>
      </w:r>
    </w:p>
    <w:p w:rsidR="00E61E0F" w:rsidRDefault="0023031D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посочените данни следва да се има предвид, че р</w:t>
      </w:r>
      <w:r w:rsidR="00182F10">
        <w:rPr>
          <w:rFonts w:ascii="Times New Roman" w:hAnsi="Times New Roman" w:cs="Times New Roman"/>
          <w:sz w:val="24"/>
          <w:szCs w:val="24"/>
        </w:rPr>
        <w:t>азработените индикатори по подмярка 4.2</w:t>
      </w:r>
      <w:r w:rsidR="00745DF7">
        <w:rPr>
          <w:rFonts w:ascii="Times New Roman" w:hAnsi="Times New Roman" w:cs="Times New Roman"/>
          <w:sz w:val="24"/>
          <w:szCs w:val="24"/>
        </w:rPr>
        <w:t xml:space="preserve"> „Инвестиции в преработка/маркетинг на селскостопански продукти“</w:t>
      </w:r>
      <w:r w:rsidR="005D28DF">
        <w:rPr>
          <w:rFonts w:ascii="Times New Roman" w:hAnsi="Times New Roman" w:cs="Times New Roman"/>
          <w:sz w:val="24"/>
          <w:szCs w:val="24"/>
        </w:rPr>
        <w:t>,</w:t>
      </w:r>
      <w:r w:rsidR="00182F10">
        <w:rPr>
          <w:rFonts w:ascii="Times New Roman" w:hAnsi="Times New Roman" w:cs="Times New Roman"/>
          <w:sz w:val="24"/>
          <w:szCs w:val="24"/>
        </w:rPr>
        <w:t xml:space="preserve"> в рамките на Програмата </w:t>
      </w:r>
      <w:r w:rsidR="00B776E9">
        <w:rPr>
          <w:rFonts w:ascii="Times New Roman" w:hAnsi="Times New Roman" w:cs="Times New Roman"/>
          <w:sz w:val="24"/>
          <w:szCs w:val="24"/>
        </w:rPr>
        <w:t xml:space="preserve">са свързани най-вече с броя на получателите на финансова помощ от съответните целеви групи </w:t>
      </w:r>
      <w:r w:rsidR="00553BAA">
        <w:rPr>
          <w:rFonts w:ascii="Times New Roman" w:hAnsi="Times New Roman" w:cs="Times New Roman"/>
          <w:sz w:val="24"/>
          <w:szCs w:val="24"/>
        </w:rPr>
        <w:t>а именно:</w:t>
      </w:r>
      <w:r w:rsidR="00B776E9">
        <w:rPr>
          <w:rFonts w:ascii="Times New Roman" w:hAnsi="Times New Roman" w:cs="Times New Roman"/>
          <w:sz w:val="24"/>
          <w:szCs w:val="24"/>
        </w:rPr>
        <w:t xml:space="preserve"> предприятия в сферата на ХВП и земеделски производители.</w:t>
      </w:r>
      <w:r w:rsidR="00182F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8B3" w:rsidRDefault="00182F10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Данните от </w:t>
      </w:r>
      <w:r w:rsidR="00745DF7">
        <w:rPr>
          <w:rFonts w:ascii="Times New Roman" w:hAnsi="Times New Roman" w:cs="Times New Roman"/>
          <w:sz w:val="24"/>
          <w:szCs w:val="24"/>
        </w:rPr>
        <w:t>периода</w:t>
      </w:r>
      <w:r>
        <w:rPr>
          <w:rFonts w:ascii="Times New Roman" w:hAnsi="Times New Roman" w:cs="Times New Roman"/>
          <w:sz w:val="24"/>
          <w:szCs w:val="24"/>
        </w:rPr>
        <w:t xml:space="preserve"> на прием показват </w:t>
      </w:r>
      <w:r w:rsidR="009B4418">
        <w:rPr>
          <w:rFonts w:ascii="Times New Roman" w:hAnsi="Times New Roman" w:cs="Times New Roman"/>
          <w:sz w:val="24"/>
          <w:szCs w:val="24"/>
        </w:rPr>
        <w:t>засилен</w:t>
      </w:r>
      <w:r>
        <w:rPr>
          <w:rFonts w:ascii="Times New Roman" w:hAnsi="Times New Roman" w:cs="Times New Roman"/>
          <w:sz w:val="24"/>
          <w:szCs w:val="24"/>
        </w:rPr>
        <w:t xml:space="preserve"> интерес от страна на земеделски производители</w:t>
      </w:r>
      <w:r w:rsidR="009B4418">
        <w:rPr>
          <w:rFonts w:ascii="Times New Roman" w:hAnsi="Times New Roman" w:cs="Times New Roman"/>
          <w:sz w:val="24"/>
          <w:szCs w:val="24"/>
        </w:rPr>
        <w:t xml:space="preserve"> за инвестиции в преработка на земеделски продукти</w:t>
      </w:r>
      <w:r w:rsidR="008B61DD">
        <w:rPr>
          <w:rFonts w:ascii="Times New Roman" w:hAnsi="Times New Roman" w:cs="Times New Roman"/>
          <w:sz w:val="24"/>
          <w:szCs w:val="24"/>
        </w:rPr>
        <w:t xml:space="preserve"> – 22 % от подадените заявления или общо 133 проектни предложения са подадени от земеделски стопани. </w:t>
      </w:r>
      <w:r w:rsidR="00086567">
        <w:rPr>
          <w:rFonts w:ascii="Times New Roman" w:hAnsi="Times New Roman" w:cs="Times New Roman"/>
          <w:sz w:val="24"/>
          <w:szCs w:val="24"/>
        </w:rPr>
        <w:t>От подадените заявления едва 60 % попадат в обхвата на разглежданите заявления (над 55 т. вкл.).</w:t>
      </w:r>
    </w:p>
    <w:p w:rsidR="00DC5328" w:rsidRDefault="000D6112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друга страна</w:t>
      </w:r>
      <w:r w:rsidR="00E003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периода на</w:t>
      </w:r>
      <w:r w:rsidR="00523C1F" w:rsidRPr="00523C1F">
        <w:rPr>
          <w:rFonts w:ascii="Times New Roman" w:hAnsi="Times New Roman" w:cs="Times New Roman"/>
          <w:sz w:val="24"/>
          <w:szCs w:val="24"/>
        </w:rPr>
        <w:t xml:space="preserve"> прием </w:t>
      </w:r>
      <w:r w:rsidR="009635A4">
        <w:rPr>
          <w:rFonts w:ascii="Times New Roman" w:hAnsi="Times New Roman" w:cs="Times New Roman"/>
          <w:sz w:val="24"/>
          <w:szCs w:val="24"/>
        </w:rPr>
        <w:t>са подали заявления едва около 9</w:t>
      </w:r>
      <w:r w:rsidR="00523C1F" w:rsidRPr="00523C1F">
        <w:rPr>
          <w:rFonts w:ascii="Times New Roman" w:hAnsi="Times New Roman" w:cs="Times New Roman"/>
          <w:sz w:val="24"/>
          <w:szCs w:val="24"/>
        </w:rPr>
        <w:t xml:space="preserve"> % от </w:t>
      </w:r>
      <w:r w:rsidR="00E003C0">
        <w:rPr>
          <w:rFonts w:ascii="Times New Roman" w:hAnsi="Times New Roman" w:cs="Times New Roman"/>
          <w:sz w:val="24"/>
          <w:szCs w:val="24"/>
        </w:rPr>
        <w:t>всички потенциални</w:t>
      </w:r>
      <w:r w:rsidR="009635A4">
        <w:rPr>
          <w:rFonts w:ascii="Times New Roman" w:hAnsi="Times New Roman" w:cs="Times New Roman"/>
          <w:sz w:val="24"/>
          <w:szCs w:val="24"/>
        </w:rPr>
        <w:t xml:space="preserve"> кандидати-предприятия в сферата на преработка на селскостопански продукти</w:t>
      </w:r>
      <w:r w:rsidR="00523C1F" w:rsidRPr="00523C1F">
        <w:rPr>
          <w:rFonts w:ascii="Times New Roman" w:hAnsi="Times New Roman" w:cs="Times New Roman"/>
          <w:sz w:val="24"/>
          <w:szCs w:val="24"/>
        </w:rPr>
        <w:t xml:space="preserve">. </w:t>
      </w:r>
      <w:r w:rsidR="00523C1F" w:rsidRPr="0001387A">
        <w:rPr>
          <w:rFonts w:ascii="Times New Roman" w:hAnsi="Times New Roman" w:cs="Times New Roman"/>
          <w:sz w:val="24"/>
          <w:szCs w:val="24"/>
        </w:rPr>
        <w:t xml:space="preserve">От тях едва около </w:t>
      </w:r>
      <w:r w:rsidR="0001387A" w:rsidRPr="0001387A">
        <w:rPr>
          <w:rFonts w:ascii="Times New Roman" w:hAnsi="Times New Roman" w:cs="Times New Roman"/>
          <w:sz w:val="24"/>
          <w:szCs w:val="24"/>
        </w:rPr>
        <w:t xml:space="preserve">35 </w:t>
      </w:r>
      <w:r w:rsidR="00523C1F" w:rsidRPr="0001387A">
        <w:rPr>
          <w:rFonts w:ascii="Times New Roman" w:hAnsi="Times New Roman" w:cs="Times New Roman"/>
          <w:sz w:val="24"/>
          <w:szCs w:val="24"/>
        </w:rPr>
        <w:t xml:space="preserve">% ще бъдат одобрени за финансиране, което е под </w:t>
      </w:r>
      <w:r w:rsidR="0001387A" w:rsidRPr="00EC6B05">
        <w:rPr>
          <w:rFonts w:ascii="Times New Roman" w:hAnsi="Times New Roman" w:cs="Times New Roman"/>
          <w:b/>
          <w:sz w:val="24"/>
          <w:szCs w:val="24"/>
        </w:rPr>
        <w:t>3</w:t>
      </w:r>
      <w:r w:rsidR="00523C1F" w:rsidRPr="00EC6B05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="00523C1F" w:rsidRPr="0001387A">
        <w:rPr>
          <w:rFonts w:ascii="Times New Roman" w:hAnsi="Times New Roman" w:cs="Times New Roman"/>
          <w:sz w:val="24"/>
          <w:szCs w:val="24"/>
        </w:rPr>
        <w:t xml:space="preserve"> от всичките предприятия</w:t>
      </w:r>
      <w:r w:rsidR="0001387A" w:rsidRPr="0001387A">
        <w:rPr>
          <w:rFonts w:ascii="Times New Roman" w:hAnsi="Times New Roman" w:cs="Times New Roman"/>
          <w:sz w:val="24"/>
          <w:szCs w:val="24"/>
        </w:rPr>
        <w:t>, потенциални ползватели на помощта</w:t>
      </w:r>
      <w:r w:rsidR="009635A4" w:rsidRPr="0001387A">
        <w:rPr>
          <w:rFonts w:ascii="Times New Roman" w:hAnsi="Times New Roman" w:cs="Times New Roman"/>
          <w:sz w:val="24"/>
          <w:szCs w:val="24"/>
        </w:rPr>
        <w:t xml:space="preserve"> в сектора.</w:t>
      </w:r>
      <w:r w:rsidR="00801E33" w:rsidRPr="0001387A">
        <w:rPr>
          <w:rFonts w:ascii="Times New Roman" w:hAnsi="Times New Roman" w:cs="Times New Roman"/>
          <w:sz w:val="24"/>
          <w:szCs w:val="24"/>
        </w:rPr>
        <w:t xml:space="preserve"> </w:t>
      </w:r>
      <w:r w:rsidR="00801E33" w:rsidRPr="00523C1F">
        <w:rPr>
          <w:rFonts w:ascii="Times New Roman" w:hAnsi="Times New Roman" w:cs="Times New Roman"/>
          <w:sz w:val="24"/>
          <w:szCs w:val="24"/>
        </w:rPr>
        <w:t xml:space="preserve">В </w:t>
      </w:r>
      <w:r w:rsidR="00801E33">
        <w:rPr>
          <w:rFonts w:ascii="Times New Roman" w:hAnsi="Times New Roman" w:cs="Times New Roman"/>
          <w:sz w:val="24"/>
          <w:szCs w:val="24"/>
        </w:rPr>
        <w:t>страната</w:t>
      </w:r>
      <w:r w:rsidR="00801E33" w:rsidRPr="00523C1F">
        <w:rPr>
          <w:rFonts w:ascii="Times New Roman" w:hAnsi="Times New Roman" w:cs="Times New Roman"/>
          <w:sz w:val="24"/>
          <w:szCs w:val="24"/>
        </w:rPr>
        <w:t xml:space="preserve"> </w:t>
      </w:r>
      <w:r w:rsidR="00801E33">
        <w:rPr>
          <w:rFonts w:ascii="Times New Roman" w:hAnsi="Times New Roman" w:cs="Times New Roman"/>
          <w:sz w:val="24"/>
          <w:szCs w:val="24"/>
        </w:rPr>
        <w:t>функционират</w:t>
      </w:r>
      <w:r w:rsidR="00801E33" w:rsidRPr="00523C1F">
        <w:rPr>
          <w:rFonts w:ascii="Times New Roman" w:hAnsi="Times New Roman" w:cs="Times New Roman"/>
          <w:sz w:val="24"/>
          <w:szCs w:val="24"/>
        </w:rPr>
        <w:t xml:space="preserve"> над 4</w:t>
      </w:r>
      <w:r w:rsidR="00801E33">
        <w:rPr>
          <w:rFonts w:ascii="Times New Roman" w:hAnsi="Times New Roman" w:cs="Times New Roman"/>
          <w:sz w:val="24"/>
          <w:szCs w:val="24"/>
        </w:rPr>
        <w:t xml:space="preserve"> 800</w:t>
      </w:r>
      <w:r w:rsidR="00801E33" w:rsidRPr="00523C1F">
        <w:rPr>
          <w:rFonts w:ascii="Times New Roman" w:hAnsi="Times New Roman" w:cs="Times New Roman"/>
          <w:sz w:val="24"/>
          <w:szCs w:val="24"/>
        </w:rPr>
        <w:t xml:space="preserve"> хиляди предприятия в преработвателния сектор на селскостопански продукти</w:t>
      </w:r>
      <w:r w:rsidR="000C703D">
        <w:rPr>
          <w:rFonts w:ascii="Times New Roman" w:hAnsi="Times New Roman" w:cs="Times New Roman"/>
          <w:sz w:val="24"/>
          <w:szCs w:val="24"/>
        </w:rPr>
        <w:t xml:space="preserve"> </w:t>
      </w:r>
      <w:r w:rsidR="00801E33">
        <w:rPr>
          <w:rFonts w:ascii="Times New Roman" w:hAnsi="Times New Roman" w:cs="Times New Roman"/>
          <w:sz w:val="24"/>
          <w:szCs w:val="24"/>
        </w:rPr>
        <w:t>„</w:t>
      </w:r>
      <w:r w:rsidR="00801E33" w:rsidRPr="00371930">
        <w:rPr>
          <w:rFonts w:ascii="Times New Roman" w:hAnsi="Times New Roman" w:cs="Times New Roman"/>
          <w:sz w:val="24"/>
          <w:szCs w:val="24"/>
        </w:rPr>
        <w:t>Производство на хранителни продукти</w:t>
      </w:r>
      <w:r w:rsidR="00801E33">
        <w:rPr>
          <w:rFonts w:ascii="Times New Roman" w:hAnsi="Times New Roman" w:cs="Times New Roman"/>
          <w:sz w:val="24"/>
          <w:szCs w:val="24"/>
        </w:rPr>
        <w:t>“</w:t>
      </w:r>
      <w:r w:rsidR="00801E33" w:rsidRPr="00371930">
        <w:rPr>
          <w:rFonts w:ascii="Times New Roman" w:hAnsi="Times New Roman" w:cs="Times New Roman"/>
          <w:sz w:val="24"/>
          <w:szCs w:val="24"/>
        </w:rPr>
        <w:t xml:space="preserve"> (C10)</w:t>
      </w:r>
      <w:r w:rsidR="00801E33">
        <w:rPr>
          <w:rFonts w:ascii="Times New Roman" w:hAnsi="Times New Roman" w:cs="Times New Roman"/>
          <w:sz w:val="24"/>
          <w:szCs w:val="24"/>
        </w:rPr>
        <w:t>.</w:t>
      </w:r>
    </w:p>
    <w:p w:rsidR="00273155" w:rsidRPr="009659F2" w:rsidRDefault="00DC5328" w:rsidP="009659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69EF227D" wp14:editId="160B0FC5">
            <wp:extent cx="4922520" cy="2545080"/>
            <wp:effectExtent l="0" t="0" r="0" b="762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01E33" w:rsidRDefault="00801E33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допълнение, в</w:t>
      </w:r>
      <w:r w:rsidRPr="00523C1F">
        <w:rPr>
          <w:rFonts w:ascii="Times New Roman" w:hAnsi="Times New Roman" w:cs="Times New Roman"/>
          <w:sz w:val="24"/>
          <w:szCs w:val="24"/>
        </w:rPr>
        <w:t xml:space="preserve">идно от анализа на </w:t>
      </w:r>
      <w:r>
        <w:rPr>
          <w:rFonts w:ascii="Times New Roman" w:hAnsi="Times New Roman" w:cs="Times New Roman"/>
          <w:sz w:val="24"/>
          <w:szCs w:val="24"/>
        </w:rPr>
        <w:t xml:space="preserve">приема, </w:t>
      </w:r>
      <w:r w:rsidRPr="00523C1F">
        <w:rPr>
          <w:rFonts w:ascii="Times New Roman" w:hAnsi="Times New Roman" w:cs="Times New Roman"/>
          <w:sz w:val="24"/>
          <w:szCs w:val="24"/>
        </w:rPr>
        <w:t xml:space="preserve">финансова помощ </w:t>
      </w:r>
      <w:r w:rsidR="0001387A">
        <w:rPr>
          <w:rFonts w:ascii="Times New Roman" w:hAnsi="Times New Roman" w:cs="Times New Roman"/>
          <w:sz w:val="24"/>
          <w:szCs w:val="24"/>
        </w:rPr>
        <w:t>имат възможност да</w:t>
      </w:r>
      <w:r w:rsidRPr="00523C1F">
        <w:rPr>
          <w:rFonts w:ascii="Times New Roman" w:hAnsi="Times New Roman" w:cs="Times New Roman"/>
          <w:sz w:val="24"/>
          <w:szCs w:val="24"/>
        </w:rPr>
        <w:t xml:space="preserve"> получат </w:t>
      </w:r>
      <w:r w:rsidR="0001387A">
        <w:rPr>
          <w:rFonts w:ascii="Times New Roman" w:hAnsi="Times New Roman" w:cs="Times New Roman"/>
          <w:sz w:val="24"/>
          <w:szCs w:val="24"/>
        </w:rPr>
        <w:t>едва</w:t>
      </w:r>
      <w:r w:rsidRPr="00523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23C1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C1F">
        <w:rPr>
          <w:rFonts w:ascii="Times New Roman" w:hAnsi="Times New Roman" w:cs="Times New Roman"/>
          <w:sz w:val="24"/>
          <w:szCs w:val="24"/>
        </w:rPr>
        <w:t>% от подадените заявления.</w:t>
      </w:r>
      <w:r>
        <w:rPr>
          <w:rFonts w:ascii="Times New Roman" w:hAnsi="Times New Roman" w:cs="Times New Roman"/>
          <w:sz w:val="24"/>
          <w:szCs w:val="24"/>
        </w:rPr>
        <w:t xml:space="preserve"> Това от своя страна ще доведе до слабо изпълнение на заложените индикатори за брой на получатели на помощта по подмярката. </w:t>
      </w:r>
      <w:r w:rsidRPr="00801E33">
        <w:rPr>
          <w:rFonts w:ascii="Times New Roman" w:hAnsi="Times New Roman" w:cs="Times New Roman"/>
          <w:sz w:val="24"/>
          <w:szCs w:val="24"/>
        </w:rPr>
        <w:t xml:space="preserve">В допълнение, с провеждането на първия период на прием </w:t>
      </w:r>
      <w:r>
        <w:rPr>
          <w:rFonts w:ascii="Times New Roman" w:hAnsi="Times New Roman" w:cs="Times New Roman"/>
          <w:sz w:val="24"/>
          <w:szCs w:val="24"/>
        </w:rPr>
        <w:t xml:space="preserve">се предоставя възможност да бъде </w:t>
      </w:r>
      <w:r w:rsidRPr="00801E33">
        <w:rPr>
          <w:rFonts w:ascii="Times New Roman" w:hAnsi="Times New Roman" w:cs="Times New Roman"/>
          <w:sz w:val="24"/>
          <w:szCs w:val="24"/>
        </w:rPr>
        <w:t>договориран приблизително 68 % от разполагаемия ресурс по подм</w:t>
      </w:r>
      <w:r w:rsidR="00E003C0">
        <w:rPr>
          <w:rFonts w:ascii="Times New Roman" w:hAnsi="Times New Roman" w:cs="Times New Roman"/>
          <w:sz w:val="24"/>
          <w:szCs w:val="24"/>
        </w:rPr>
        <w:t>ярката, което налага по-</w:t>
      </w:r>
      <w:r w:rsidRPr="00801E33">
        <w:rPr>
          <w:rFonts w:ascii="Times New Roman" w:hAnsi="Times New Roman" w:cs="Times New Roman"/>
          <w:sz w:val="24"/>
          <w:szCs w:val="24"/>
        </w:rPr>
        <w:t>цел</w:t>
      </w:r>
      <w:r w:rsidR="006550A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01E33">
        <w:rPr>
          <w:rFonts w:ascii="Times New Roman" w:hAnsi="Times New Roman" w:cs="Times New Roman"/>
          <w:sz w:val="24"/>
          <w:szCs w:val="24"/>
        </w:rPr>
        <w:t>насочено разходване на остатъчния бюджет в рамките на предстоящите периоди на прием.</w:t>
      </w:r>
    </w:p>
    <w:p w:rsidR="009D2A32" w:rsidRPr="003F3D0B" w:rsidRDefault="008B61DD" w:rsidP="006550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A018C">
        <w:rPr>
          <w:rFonts w:ascii="Times New Roman" w:hAnsi="Times New Roman" w:cs="Times New Roman"/>
          <w:sz w:val="24"/>
          <w:szCs w:val="24"/>
        </w:rPr>
        <w:t xml:space="preserve">ъв връзка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A018C">
        <w:rPr>
          <w:rFonts w:ascii="Times New Roman" w:hAnsi="Times New Roman" w:cs="Times New Roman"/>
          <w:sz w:val="24"/>
          <w:szCs w:val="24"/>
        </w:rPr>
        <w:t xml:space="preserve"> гореизложеното,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018C">
        <w:rPr>
          <w:rFonts w:ascii="Times New Roman" w:hAnsi="Times New Roman" w:cs="Times New Roman"/>
          <w:sz w:val="24"/>
          <w:szCs w:val="24"/>
        </w:rPr>
        <w:t xml:space="preserve">чрез </w:t>
      </w:r>
      <w:r w:rsidR="0021170C">
        <w:rPr>
          <w:rFonts w:ascii="Times New Roman" w:hAnsi="Times New Roman" w:cs="Times New Roman"/>
          <w:sz w:val="24"/>
          <w:szCs w:val="24"/>
        </w:rPr>
        <w:t xml:space="preserve">предлаганото </w:t>
      </w:r>
      <w:r w:rsidR="00500619">
        <w:rPr>
          <w:rFonts w:ascii="Times New Roman" w:hAnsi="Times New Roman" w:cs="Times New Roman"/>
          <w:sz w:val="24"/>
          <w:szCs w:val="24"/>
        </w:rPr>
        <w:t>намаляване</w:t>
      </w:r>
      <w:r>
        <w:rPr>
          <w:rFonts w:ascii="Times New Roman" w:hAnsi="Times New Roman" w:cs="Times New Roman"/>
          <w:sz w:val="24"/>
          <w:szCs w:val="24"/>
        </w:rPr>
        <w:t xml:space="preserve"> на тавана на разходите до левовата равностойност на 2 млн. евро за един пол</w:t>
      </w:r>
      <w:r w:rsidR="00A9708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вател за целия период на прилагане, </w:t>
      </w:r>
      <w:r w:rsidR="0021170C">
        <w:rPr>
          <w:rFonts w:ascii="Times New Roman" w:hAnsi="Times New Roman" w:cs="Times New Roman"/>
          <w:sz w:val="24"/>
          <w:szCs w:val="24"/>
        </w:rPr>
        <w:t>се цели да се</w:t>
      </w:r>
      <w:r>
        <w:rPr>
          <w:rFonts w:ascii="Times New Roman" w:hAnsi="Times New Roman" w:cs="Times New Roman"/>
          <w:sz w:val="24"/>
          <w:szCs w:val="24"/>
        </w:rPr>
        <w:t xml:space="preserve"> подпомогнат по-голям брой проекти, включително </w:t>
      </w:r>
      <w:r w:rsidR="0021170C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се предостави възможност на повече земеделски стопани </w:t>
      </w:r>
      <w:r w:rsidR="007238B3">
        <w:rPr>
          <w:rFonts w:ascii="Times New Roman" w:hAnsi="Times New Roman" w:cs="Times New Roman"/>
          <w:sz w:val="24"/>
          <w:szCs w:val="24"/>
        </w:rPr>
        <w:t xml:space="preserve">и повече преработвателни предприятия </w:t>
      </w:r>
      <w:r>
        <w:rPr>
          <w:rFonts w:ascii="Times New Roman" w:hAnsi="Times New Roman" w:cs="Times New Roman"/>
          <w:sz w:val="24"/>
          <w:szCs w:val="24"/>
        </w:rPr>
        <w:t>да реализират планираните си инвестиции</w:t>
      </w:r>
      <w:r w:rsidR="00E61E0F">
        <w:rPr>
          <w:rFonts w:ascii="Times New Roman" w:hAnsi="Times New Roman" w:cs="Times New Roman"/>
          <w:sz w:val="24"/>
          <w:szCs w:val="24"/>
        </w:rPr>
        <w:t xml:space="preserve"> в преработка/</w:t>
      </w:r>
      <w:r w:rsidR="00500619">
        <w:rPr>
          <w:rFonts w:ascii="Times New Roman" w:hAnsi="Times New Roman" w:cs="Times New Roman"/>
          <w:sz w:val="24"/>
          <w:szCs w:val="24"/>
        </w:rPr>
        <w:t>маркет</w:t>
      </w:r>
      <w:r w:rsidR="00E61E0F">
        <w:rPr>
          <w:rFonts w:ascii="Times New Roman" w:hAnsi="Times New Roman" w:cs="Times New Roman"/>
          <w:sz w:val="24"/>
          <w:szCs w:val="24"/>
        </w:rPr>
        <w:t>и</w:t>
      </w:r>
      <w:r w:rsidR="00500619">
        <w:rPr>
          <w:rFonts w:ascii="Times New Roman" w:hAnsi="Times New Roman" w:cs="Times New Roman"/>
          <w:sz w:val="24"/>
          <w:szCs w:val="24"/>
        </w:rPr>
        <w:t>нг на селскостопански продукти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7F17B6">
        <w:rPr>
          <w:rFonts w:ascii="Times New Roman" w:hAnsi="Times New Roman" w:cs="Times New Roman"/>
          <w:sz w:val="24"/>
          <w:szCs w:val="24"/>
        </w:rPr>
        <w:t xml:space="preserve"> По този начин ще се по</w:t>
      </w:r>
      <w:r w:rsidR="00B776E9">
        <w:rPr>
          <w:rFonts w:ascii="Times New Roman" w:hAnsi="Times New Roman" w:cs="Times New Roman"/>
          <w:sz w:val="24"/>
          <w:szCs w:val="24"/>
        </w:rPr>
        <w:t>с</w:t>
      </w:r>
      <w:r w:rsidR="00E61E0F">
        <w:rPr>
          <w:rFonts w:ascii="Times New Roman" w:hAnsi="Times New Roman" w:cs="Times New Roman"/>
          <w:sz w:val="24"/>
          <w:szCs w:val="24"/>
        </w:rPr>
        <w:t>тигне по-</w:t>
      </w:r>
      <w:r w:rsidR="007F17B6">
        <w:rPr>
          <w:rFonts w:ascii="Times New Roman" w:hAnsi="Times New Roman" w:cs="Times New Roman"/>
          <w:sz w:val="24"/>
          <w:szCs w:val="24"/>
        </w:rPr>
        <w:t xml:space="preserve">балансирано </w:t>
      </w:r>
      <w:r w:rsidR="00B776E9">
        <w:rPr>
          <w:rFonts w:ascii="Times New Roman" w:hAnsi="Times New Roman" w:cs="Times New Roman"/>
          <w:sz w:val="24"/>
          <w:szCs w:val="24"/>
        </w:rPr>
        <w:t>усвояване на средствата във връзка със заложените приоритети в рамките на ПРСР 2014-2020 г.</w:t>
      </w:r>
    </w:p>
    <w:sectPr w:rsidR="009D2A32" w:rsidRPr="003F3D0B" w:rsidSect="0008656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04AEA"/>
    <w:multiLevelType w:val="hybridMultilevel"/>
    <w:tmpl w:val="5A86267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B0978"/>
    <w:multiLevelType w:val="hybridMultilevel"/>
    <w:tmpl w:val="21BA32BA"/>
    <w:lvl w:ilvl="0" w:tplc="142C5B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2390D"/>
    <w:multiLevelType w:val="hybridMultilevel"/>
    <w:tmpl w:val="C5F27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F31621"/>
    <w:multiLevelType w:val="hybridMultilevel"/>
    <w:tmpl w:val="445AA8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3055E"/>
    <w:multiLevelType w:val="hybridMultilevel"/>
    <w:tmpl w:val="7223055E"/>
    <w:lvl w:ilvl="0" w:tplc="19460D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72E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B6EC7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FC0A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20689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2582E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50E51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9B00B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96C5A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61"/>
    <w:rsid w:val="0001387A"/>
    <w:rsid w:val="00067403"/>
    <w:rsid w:val="00084EB0"/>
    <w:rsid w:val="00086567"/>
    <w:rsid w:val="000A27E0"/>
    <w:rsid w:val="000C703D"/>
    <w:rsid w:val="000D6112"/>
    <w:rsid w:val="000E5644"/>
    <w:rsid w:val="00156DAA"/>
    <w:rsid w:val="001625EC"/>
    <w:rsid w:val="00171374"/>
    <w:rsid w:val="00182F10"/>
    <w:rsid w:val="00185A3F"/>
    <w:rsid w:val="001E6161"/>
    <w:rsid w:val="002016A8"/>
    <w:rsid w:val="0021170C"/>
    <w:rsid w:val="0023031D"/>
    <w:rsid w:val="00273155"/>
    <w:rsid w:val="00273237"/>
    <w:rsid w:val="00303780"/>
    <w:rsid w:val="00315C68"/>
    <w:rsid w:val="00361DF6"/>
    <w:rsid w:val="00371930"/>
    <w:rsid w:val="00396D29"/>
    <w:rsid w:val="003D0728"/>
    <w:rsid w:val="003D4D10"/>
    <w:rsid w:val="003F3D0B"/>
    <w:rsid w:val="00400BA5"/>
    <w:rsid w:val="00467915"/>
    <w:rsid w:val="00500619"/>
    <w:rsid w:val="00523C1F"/>
    <w:rsid w:val="005352C7"/>
    <w:rsid w:val="00553BAA"/>
    <w:rsid w:val="00573CBD"/>
    <w:rsid w:val="005A0B95"/>
    <w:rsid w:val="005D28DF"/>
    <w:rsid w:val="005E18C9"/>
    <w:rsid w:val="005F7960"/>
    <w:rsid w:val="00622D47"/>
    <w:rsid w:val="006316D2"/>
    <w:rsid w:val="006402AF"/>
    <w:rsid w:val="006550AF"/>
    <w:rsid w:val="00674CA7"/>
    <w:rsid w:val="00692E45"/>
    <w:rsid w:val="006C5D7F"/>
    <w:rsid w:val="00707A52"/>
    <w:rsid w:val="00715C4E"/>
    <w:rsid w:val="007238B3"/>
    <w:rsid w:val="00745DF7"/>
    <w:rsid w:val="0075000A"/>
    <w:rsid w:val="007F17B6"/>
    <w:rsid w:val="00801E33"/>
    <w:rsid w:val="00853D7C"/>
    <w:rsid w:val="008604D7"/>
    <w:rsid w:val="008B61DD"/>
    <w:rsid w:val="008E2CF2"/>
    <w:rsid w:val="008E577B"/>
    <w:rsid w:val="008E74EE"/>
    <w:rsid w:val="00924169"/>
    <w:rsid w:val="009246C2"/>
    <w:rsid w:val="00932828"/>
    <w:rsid w:val="009635A4"/>
    <w:rsid w:val="009659F2"/>
    <w:rsid w:val="0098212F"/>
    <w:rsid w:val="009B4418"/>
    <w:rsid w:val="009D2A32"/>
    <w:rsid w:val="009E209D"/>
    <w:rsid w:val="009E3821"/>
    <w:rsid w:val="00A64D83"/>
    <w:rsid w:val="00A97081"/>
    <w:rsid w:val="00AA76C0"/>
    <w:rsid w:val="00AD1774"/>
    <w:rsid w:val="00AE2320"/>
    <w:rsid w:val="00B724D1"/>
    <w:rsid w:val="00B776E9"/>
    <w:rsid w:val="00BF7C9C"/>
    <w:rsid w:val="00C40FE4"/>
    <w:rsid w:val="00CD1815"/>
    <w:rsid w:val="00CF0362"/>
    <w:rsid w:val="00D31456"/>
    <w:rsid w:val="00D35775"/>
    <w:rsid w:val="00D76454"/>
    <w:rsid w:val="00DC2361"/>
    <w:rsid w:val="00DC5328"/>
    <w:rsid w:val="00E003C0"/>
    <w:rsid w:val="00E32D6E"/>
    <w:rsid w:val="00E3620B"/>
    <w:rsid w:val="00E372F6"/>
    <w:rsid w:val="00E5254E"/>
    <w:rsid w:val="00E61E0F"/>
    <w:rsid w:val="00E92D07"/>
    <w:rsid w:val="00E95E6A"/>
    <w:rsid w:val="00EA018C"/>
    <w:rsid w:val="00EC6B05"/>
    <w:rsid w:val="00EE6420"/>
    <w:rsid w:val="00EF4403"/>
    <w:rsid w:val="00F15494"/>
    <w:rsid w:val="00F73E13"/>
    <w:rsid w:val="00FB54F0"/>
    <w:rsid w:val="00FE2461"/>
    <w:rsid w:val="00FE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12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707A5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707A5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12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707A5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707A5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5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mmkrastev.MZG\Desktop\Copy%20of%204-2%20&#1082;&#1088;%20&#1080;%20&#1089;&#1091;&#1084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VAsparuhov\AppData\Local\Temp\Rar$DI00.960\Zaqvlenie_4.1_20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bg-BG" sz="1200">
                <a:latin typeface="Times New Roman" panose="02020603050405020304" pitchFamily="18" charset="0"/>
                <a:cs typeface="Times New Roman" panose="02020603050405020304" pitchFamily="18" charset="0"/>
              </a:rPr>
              <a:t>подмярка 4.2 - постъпили 595 заявления в периода на прием през 2015 г. разпределение по размер на заявените разходи (млн. евро) </a:t>
            </a:r>
            <a:endParaRPr lang="en-US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1100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Sheet1!$E$8:$E$9</c:f>
              <c:strCache>
                <c:ptCount val="2"/>
                <c:pt idx="0">
                  <c:v>заявления под 2 млн. евро (409 бр.)</c:v>
                </c:pt>
                <c:pt idx="1">
                  <c:v>заявления над 2 млн. евро (186 бр.)</c:v>
                </c:pt>
              </c:strCache>
            </c:strRef>
          </c:cat>
          <c:val>
            <c:numRef>
              <c:f>Sheet1!$F$8:$F$9</c:f>
              <c:numCache>
                <c:formatCode>General</c:formatCode>
                <c:ptCount val="2"/>
                <c:pt idx="0">
                  <c:v>314.2</c:v>
                </c:pt>
                <c:pt idx="1">
                  <c:v>369.9</c:v>
                </c:pt>
              </c:numCache>
            </c:numRef>
          </c:val>
        </c:ser>
        <c:ser>
          <c:idx val="1"/>
          <c:order val="1"/>
          <c:invertIfNegative val="0"/>
          <c:dLbls>
            <c:txPr>
              <a:bodyPr/>
              <a:lstStyle/>
              <a:p>
                <a:pPr>
                  <a:defRPr sz="1200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Sheet1!$E$8:$E$9</c:f>
              <c:strCache>
                <c:ptCount val="2"/>
                <c:pt idx="0">
                  <c:v>заявления под 2 млн. евро (409 бр.)</c:v>
                </c:pt>
                <c:pt idx="1">
                  <c:v>заявления над 2 млн. евро (186 бр.)</c:v>
                </c:pt>
              </c:strCache>
            </c:strRef>
          </c:cat>
          <c:val>
            <c:numRef>
              <c:f>Sheet1!$G$8:$G$9</c:f>
              <c:numCache>
                <c:formatCode>General</c:formatCode>
                <c:ptCount val="2"/>
                <c:pt idx="1">
                  <c:v>158.5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70879488"/>
        <c:axId val="104539264"/>
      </c:barChart>
      <c:catAx>
        <c:axId val="70879488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104539264"/>
        <c:crosses val="autoZero"/>
        <c:auto val="1"/>
        <c:lblAlgn val="ctr"/>
        <c:lblOffset val="100"/>
        <c:noMultiLvlLbl val="0"/>
      </c:catAx>
      <c:valAx>
        <c:axId val="104539264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7087948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bg-BG"/>
              <a:t> </a:t>
            </a:r>
            <a:r>
              <a:rPr lang="bg-BG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Предприятия в ХВП, които ще получат финансиране от първия прием по подмярка 4.2</a:t>
            </a:r>
          </a:p>
        </c:rich>
      </c:tx>
      <c:layout>
        <c:manualLayout>
          <c:xMode val="edge"/>
          <c:yMode val="edge"/>
          <c:x val="9.4129226493747109E-2"/>
          <c:y val="2.827808949031074E-3"/>
        </c:manualLayout>
      </c:layout>
      <c:overlay val="0"/>
    </c:title>
    <c:autoTitleDeleted val="0"/>
    <c:view3D>
      <c:rotX val="30"/>
      <c:rotY val="1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447009294778328E-2"/>
          <c:y val="0.23629417898105204"/>
          <c:w val="0.67622279052725243"/>
          <c:h val="0.76370582101894802"/>
        </c:manualLayout>
      </c:layout>
      <c:pie3DChart>
        <c:varyColors val="1"/>
        <c:ser>
          <c:idx val="0"/>
          <c:order val="0"/>
          <c:tx>
            <c:strRef>
              <c:f>Sheet2!$G$13</c:f>
              <c:strCache>
                <c:ptCount val="1"/>
                <c:pt idx="0">
                  <c:v> Предприятия в ХВП, които ще получат финансира от първия прием по подмярка 4.2</c:v>
                </c:pt>
              </c:strCache>
            </c:strRef>
          </c:tx>
          <c:explosion val="28"/>
          <c:dPt>
            <c:idx val="0"/>
            <c:bubble3D val="0"/>
            <c:explosion val="14"/>
          </c:dPt>
          <c:dPt>
            <c:idx val="1"/>
            <c:bubble3D val="0"/>
            <c:spPr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c:spPr>
          </c:dPt>
          <c:dLbls>
            <c:dLbl>
              <c:idx val="1"/>
              <c:layout>
                <c:manualLayout>
                  <c:x val="0.10567636088832549"/>
                  <c:y val="0.210754868216323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Sheet2!$F$14:$F$15</c:f>
              <c:strCache>
                <c:ptCount val="2"/>
                <c:pt idx="0">
                  <c:v>Финансирани предприятия </c:v>
                </c:pt>
                <c:pt idx="1">
                  <c:v>нефинансирани предприятия</c:v>
                </c:pt>
              </c:strCache>
            </c:strRef>
          </c:cat>
          <c:val>
            <c:numRef>
              <c:f>Sheet2!$G$14:$G$15</c:f>
              <c:numCache>
                <c:formatCode>0%</c:formatCode>
                <c:ptCount val="2"/>
                <c:pt idx="0">
                  <c:v>0.03</c:v>
                </c:pt>
                <c:pt idx="1">
                  <c:v>0.97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cene3d>
          <a:camera prst="orthographicFront"/>
          <a:lightRig rig="threePt" dir="t"/>
        </a:scene3d>
        <a:sp3d>
          <a:bevelT h="635000"/>
        </a:sp3d>
      </c:spPr>
    </c:plotArea>
    <c:legend>
      <c:legendPos val="r"/>
      <c:layout>
        <c:manualLayout>
          <c:xMode val="edge"/>
          <c:yMode val="edge"/>
          <c:x val="0.74390803300125108"/>
          <c:y val="0.45911854768153981"/>
          <c:w val="0.2465340219569328"/>
          <c:h val="0.36187882764654417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0.73016</cdr:x>
      <cdr:y>0.42924</cdr:y>
    </cdr:from>
    <cdr:to>
      <cdr:x>1</cdr:x>
      <cdr:y>0.73943</cdr:y>
    </cdr:to>
    <cdr:grpSp>
      <cdr:nvGrpSpPr>
        <cdr:cNvPr id="6" name="Group 5"/>
        <cdr:cNvGrpSpPr/>
      </cdr:nvGrpSpPr>
      <cdr:grpSpPr>
        <a:xfrm xmlns:a="http://schemas.openxmlformats.org/drawingml/2006/main">
          <a:off x="4206240" y="1043940"/>
          <a:ext cx="1554480" cy="754380"/>
          <a:chOff x="4206240" y="1043940"/>
          <a:chExt cx="1554480" cy="754380"/>
        </a:xfrm>
      </cdr:grpSpPr>
      <cdr:sp macro="" textlink="">
        <cdr:nvSpPr>
          <cdr:cNvPr id="2" name="Rounded Rectangle 1"/>
          <cdr:cNvSpPr/>
        </cdr:nvSpPr>
        <cdr:spPr>
          <a:xfrm xmlns:a="http://schemas.openxmlformats.org/drawingml/2006/main">
            <a:off x="4236720" y="1517650"/>
            <a:ext cx="1524000" cy="280670"/>
          </a:xfrm>
          <a:prstGeom xmlns:a="http://schemas.openxmlformats.org/drawingml/2006/main" prst="roundRect">
            <a:avLst/>
          </a:prstGeom>
        </cdr:spPr>
        <cdr:style>
          <a:lnRef xmlns:a="http://schemas.openxmlformats.org/drawingml/2006/main" idx="1">
            <a:schemeClr val="accent6"/>
          </a:lnRef>
          <a:fillRef xmlns:a="http://schemas.openxmlformats.org/drawingml/2006/main" idx="3">
            <a:schemeClr val="accent6"/>
          </a:fillRef>
          <a:effectRef xmlns:a="http://schemas.openxmlformats.org/drawingml/2006/main" idx="2">
            <a:schemeClr val="accent6"/>
          </a:effectRef>
          <a:fontRef xmlns:a="http://schemas.openxmlformats.org/drawingml/2006/main" idx="minor">
            <a:schemeClr val="lt1"/>
          </a:fontRef>
        </cdr:style>
        <cdr:txBody>
          <a:bodyPr xmlns:a="http://schemas.openxmlformats.org/drawingml/2006/main" vertOverflow="clip"/>
          <a:lstStyle xmlns:a="http://schemas.openxmlformats.org/drawingml/2006/main"/>
          <a:p xmlns:a="http://schemas.openxmlformats.org/drawingml/2006/main">
            <a:r>
              <a:rPr lang="bg-BG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</a:t>
            </a:r>
            <a:r>
              <a:rPr lang="bg-BG" sz="1200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млн. евро граница </a:t>
            </a:r>
            <a:endParaRPr lang="bg-BG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dr:txBody>
      </cdr:sp>
      <cdr:cxnSp macro="">
        <cdr:nvCxnSpPr>
          <cdr:cNvPr id="4" name="Straight Arrow Connector 3"/>
          <cdr:cNvCxnSpPr>
            <a:stCxn xmlns:a="http://schemas.openxmlformats.org/drawingml/2006/main" id="2" idx="0"/>
          </cdr:cNvCxnSpPr>
        </cdr:nvCxnSpPr>
        <cdr:spPr>
          <a:xfrm xmlns:a="http://schemas.openxmlformats.org/drawingml/2006/main" flipH="1" flipV="1">
            <a:off x="4206240" y="1043940"/>
            <a:ext cx="792480" cy="473710"/>
          </a:xfrm>
          <a:prstGeom xmlns:a="http://schemas.openxmlformats.org/drawingml/2006/main" prst="straightConnector1">
            <a:avLst/>
          </a:prstGeom>
          <a:ln xmlns:a="http://schemas.openxmlformats.org/drawingml/2006/main">
            <a:solidFill>
              <a:schemeClr val="tx2"/>
            </a:solidFill>
            <a:tailEnd type="arrow"/>
          </a:ln>
        </cdr:spPr>
        <cdr:style>
          <a:lnRef xmlns:a="http://schemas.openxmlformats.org/drawingml/2006/main" idx="1">
            <a:schemeClr val="accent1"/>
          </a:lnRef>
          <a:fillRef xmlns:a="http://schemas.openxmlformats.org/drawingml/2006/main" idx="0">
            <a:schemeClr val="accent1"/>
          </a:fillRef>
          <a:effectRef xmlns:a="http://schemas.openxmlformats.org/drawingml/2006/main" idx="0">
            <a:schemeClr val="accent1"/>
          </a:effectRef>
          <a:fontRef xmlns:a="http://schemas.openxmlformats.org/drawingml/2006/main" idx="minor">
            <a:schemeClr val="tx1"/>
          </a:fontRef>
        </cdr:style>
      </cdr:cxn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AFE6-6707-4FC1-B007-058BD6ED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2016-11-04T07:42:00Z</cp:lastPrinted>
  <dcterms:created xsi:type="dcterms:W3CDTF">2016-12-13T14:12:00Z</dcterms:created>
  <dcterms:modified xsi:type="dcterms:W3CDTF">2016-12-13T14:12:00Z</dcterms:modified>
</cp:coreProperties>
</file>