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84EE7" w14:textId="77777777" w:rsidR="00B01B23" w:rsidRPr="00535499" w:rsidRDefault="00B01B23" w:rsidP="00B01B23">
      <w:pPr>
        <w:keepNext/>
        <w:numPr>
          <w:ilvl w:val="4"/>
          <w:numId w:val="0"/>
        </w:numPr>
        <w:spacing w:before="240" w:after="240" w:line="240" w:lineRule="auto"/>
        <w:outlineLvl w:val="4"/>
        <w:rPr>
          <w:rFonts w:ascii="Arial" w:hAnsi="Arial"/>
          <w:noProof/>
          <w:color w:val="000000"/>
          <w:szCs w:val="20"/>
        </w:rPr>
      </w:pPr>
      <w:bookmarkStart w:id="0" w:name="_GoBack"/>
      <w:bookmarkEnd w:id="0"/>
      <w:r w:rsidRPr="00535499">
        <w:rPr>
          <w:rFonts w:ascii="Arial" w:hAnsi="Arial"/>
          <w:b/>
          <w:noProof/>
          <w:color w:val="000000"/>
          <w:szCs w:val="20"/>
        </w:rPr>
        <w:t>Подмярка 7.3. Широколентова инфраструктура, включително нейното създаване, подобрение и разширяване.</w:t>
      </w:r>
    </w:p>
    <w:p w14:paraId="3927ACF0" w14:textId="77777777" w:rsidR="00B01B23" w:rsidRPr="00535499" w:rsidRDefault="002E0C4D" w:rsidP="00B01B23">
      <w:pPr>
        <w:keepNext/>
        <w:numPr>
          <w:ilvl w:val="5"/>
          <w:numId w:val="0"/>
        </w:numPr>
        <w:spacing w:before="240" w:after="60" w:line="240" w:lineRule="auto"/>
        <w:outlineLvl w:val="5"/>
        <w:rPr>
          <w:rFonts w:ascii="Arial" w:hAnsi="Arial"/>
          <w:b/>
          <w:noProof/>
          <w:color w:val="000000"/>
          <w:szCs w:val="20"/>
        </w:rPr>
      </w:pPr>
      <w:r>
        <w:rPr>
          <w:rFonts w:ascii="Arial" w:hAnsi="Arial"/>
          <w:noProof/>
          <w:color w:val="000000"/>
          <w:szCs w:val="20"/>
        </w:rPr>
        <w:t>Подмярка: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3A422816" w14:textId="77777777" w:rsidTr="00393600">
        <w:tc>
          <w:tcPr>
            <w:tcW w:w="450" w:type="pct"/>
            <w:shd w:val="clear" w:color="auto" w:fill="FFFFFF"/>
            <w:tcMar>
              <w:top w:w="20" w:type="dxa"/>
              <w:bottom w:w="20" w:type="dxa"/>
            </w:tcMar>
            <w:vAlign w:val="center"/>
          </w:tcPr>
          <w:p w14:paraId="422255CB" w14:textId="42BB92AA" w:rsidR="00B01B23" w:rsidRPr="00B01B23" w:rsidRDefault="00B01B23" w:rsidP="00FB5736">
            <w:pPr>
              <w:pStyle w:val="ListParagraph"/>
              <w:keepNext/>
              <w:numPr>
                <w:ilvl w:val="1"/>
                <w:numId w:val="5"/>
              </w:numPr>
              <w:spacing w:before="240" w:after="240" w:line="240" w:lineRule="auto"/>
              <w:jc w:val="both"/>
              <w:outlineLvl w:val="4"/>
              <w:rPr>
                <w:rFonts w:ascii="Arial" w:hAnsi="Arial"/>
                <w:noProof/>
                <w:color w:val="000000"/>
                <w:szCs w:val="20"/>
              </w:rPr>
            </w:pPr>
            <w:r w:rsidRPr="00B01B23">
              <w:rPr>
                <w:rFonts w:ascii="Times New Roman" w:hAnsi="Times New Roman"/>
                <w:sz w:val="24"/>
                <w:szCs w:val="20"/>
              </w:rPr>
              <w:t xml:space="preserve">– </w:t>
            </w:r>
            <w:r w:rsidRPr="00A32B7E">
              <w:rPr>
                <w:rFonts w:ascii="Times New Roman" w:hAnsi="Times New Roman"/>
                <w:sz w:val="24"/>
                <w:szCs w:val="20"/>
                <w:lang w:val="bg-BG"/>
              </w:rPr>
              <w:t xml:space="preserve">Подпомагане на </w:t>
            </w:r>
            <w:r w:rsidR="005A0BFB">
              <w:rPr>
                <w:rFonts w:ascii="Times New Roman" w:hAnsi="Times New Roman"/>
                <w:sz w:val="24"/>
                <w:szCs w:val="20"/>
                <w:lang w:val="bg-BG"/>
              </w:rPr>
              <w:t>ш</w:t>
            </w:r>
            <w:r w:rsidR="00B36DBD" w:rsidRPr="00A32B7E">
              <w:rPr>
                <w:rFonts w:ascii="Times New Roman" w:hAnsi="Times New Roman"/>
                <w:sz w:val="24"/>
                <w:szCs w:val="20"/>
                <w:lang w:val="bg-BG"/>
              </w:rPr>
              <w:t>ироколентова инфраструктура, включително нейното създаване,</w:t>
            </w:r>
            <w:r w:rsidR="00FB5736">
              <w:rPr>
                <w:rFonts w:ascii="Times New Roman" w:hAnsi="Times New Roman"/>
                <w:sz w:val="24"/>
                <w:szCs w:val="20"/>
                <w:lang w:val="bg-BG"/>
              </w:rPr>
              <w:t xml:space="preserve"> </w:t>
            </w:r>
            <w:r w:rsidR="00B36DBD" w:rsidRPr="00A32B7E">
              <w:rPr>
                <w:rFonts w:ascii="Times New Roman" w:hAnsi="Times New Roman"/>
                <w:sz w:val="24"/>
                <w:szCs w:val="20"/>
                <w:lang w:val="bg-BG"/>
              </w:rPr>
              <w:t>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w:t>
            </w:r>
          </w:p>
        </w:tc>
      </w:tr>
    </w:tbl>
    <w:p w14:paraId="17089795" w14:textId="77777777" w:rsidR="00B01B23" w:rsidRDefault="00B01B23" w:rsidP="00B01B23">
      <w:pPr>
        <w:spacing w:before="120" w:after="120" w:line="240" w:lineRule="auto"/>
        <w:jc w:val="both"/>
        <w:rPr>
          <w:rFonts w:ascii="Times New Roman" w:hAnsi="Times New Roman"/>
          <w:sz w:val="24"/>
          <w:szCs w:val="20"/>
        </w:rPr>
      </w:pPr>
    </w:p>
    <w:p w14:paraId="3FABDC76"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t>Описание на вида операция</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03BB0A3A" w14:textId="77777777" w:rsidTr="00FB5736">
        <w:tc>
          <w:tcPr>
            <w:tcW w:w="5000" w:type="pct"/>
            <w:shd w:val="clear" w:color="auto" w:fill="FFFFFF"/>
            <w:tcMar>
              <w:top w:w="20" w:type="dxa"/>
              <w:bottom w:w="20" w:type="dxa"/>
            </w:tcMar>
            <w:vAlign w:val="center"/>
          </w:tcPr>
          <w:p w14:paraId="3F357096" w14:textId="77777777" w:rsidR="009F2424" w:rsidRPr="009F2424" w:rsidRDefault="00B01B23" w:rsidP="00FB5736">
            <w:pPr>
              <w:autoSpaceDE w:val="0"/>
              <w:autoSpaceDN w:val="0"/>
              <w:adjustRightInd w:val="0"/>
              <w:spacing w:after="0" w:line="240" w:lineRule="auto"/>
              <w:jc w:val="both"/>
              <w:rPr>
                <w:rFonts w:ascii="Times New Roman" w:hAnsi="Times New Roman"/>
                <w:sz w:val="24"/>
                <w:szCs w:val="20"/>
              </w:rPr>
            </w:pPr>
            <w:r w:rsidRPr="00535499">
              <w:rPr>
                <w:rFonts w:ascii="Times New Roman" w:hAnsi="Times New Roman"/>
                <w:sz w:val="24"/>
                <w:szCs w:val="20"/>
              </w:rPr>
              <w:t>Една от водещите инициативи на Европа 2020 - Цифровата програма на Европа (ЦПЕ), е свързана пряко с решаване на проблемите в областта на информационните технологии и Интернет. Акцентът на ЦПЕ е ускоряване на развитието на високоскоростен достъп до Интернет, за да може обществото максимално да се възползва от единния цифров па</w:t>
            </w:r>
            <w:r w:rsidR="009F2424">
              <w:rPr>
                <w:rFonts w:ascii="Times New Roman" w:hAnsi="Times New Roman"/>
                <w:sz w:val="24"/>
                <w:szCs w:val="20"/>
              </w:rPr>
              <w:t xml:space="preserve">зар в периода 2015 – 2020 г. </w:t>
            </w:r>
            <w:r w:rsidR="009F2424" w:rsidRPr="009F2424">
              <w:rPr>
                <w:rFonts w:ascii="Times New Roman" w:hAnsi="Times New Roman"/>
                <w:sz w:val="24"/>
                <w:szCs w:val="20"/>
              </w:rPr>
              <w:t>През 2013 г. бе постигната целта „основен</w:t>
            </w:r>
            <w:r w:rsidR="009F2424">
              <w:rPr>
                <w:rFonts w:ascii="Times New Roman" w:hAnsi="Times New Roman"/>
                <w:sz w:val="24"/>
                <w:szCs w:val="20"/>
              </w:rPr>
              <w:t xml:space="preserve"> </w:t>
            </w:r>
            <w:r w:rsidR="009F2424" w:rsidRPr="009F2424">
              <w:rPr>
                <w:rFonts w:ascii="Times New Roman" w:hAnsi="Times New Roman"/>
                <w:sz w:val="24"/>
                <w:szCs w:val="20"/>
              </w:rPr>
              <w:t>широколентов достъп за всички“, определена</w:t>
            </w:r>
            <w:r w:rsidR="009F2424">
              <w:rPr>
                <w:rFonts w:ascii="Times New Roman" w:hAnsi="Times New Roman"/>
                <w:sz w:val="24"/>
                <w:szCs w:val="20"/>
              </w:rPr>
              <w:t xml:space="preserve"> </w:t>
            </w:r>
            <w:r w:rsidR="00B8564A">
              <w:rPr>
                <w:rFonts w:ascii="Times New Roman" w:hAnsi="Times New Roman"/>
                <w:sz w:val="24"/>
                <w:szCs w:val="20"/>
              </w:rPr>
              <w:t>в DAE</w:t>
            </w:r>
            <w:r w:rsidR="009F2424" w:rsidRPr="009F2424">
              <w:rPr>
                <w:rFonts w:ascii="Times New Roman" w:hAnsi="Times New Roman"/>
                <w:sz w:val="24"/>
                <w:szCs w:val="20"/>
              </w:rPr>
              <w:t>, чрез комбинация от фиксирани и</w:t>
            </w:r>
            <w:r w:rsidR="009F2424">
              <w:rPr>
                <w:rFonts w:ascii="Times New Roman" w:hAnsi="Times New Roman"/>
                <w:sz w:val="24"/>
                <w:szCs w:val="20"/>
              </w:rPr>
              <w:t xml:space="preserve"> </w:t>
            </w:r>
            <w:r w:rsidR="009F2424" w:rsidRPr="009F2424">
              <w:rPr>
                <w:rFonts w:ascii="Times New Roman" w:hAnsi="Times New Roman"/>
                <w:sz w:val="24"/>
                <w:szCs w:val="20"/>
              </w:rPr>
              <w:t>безжични, както и спътникови технологии.</w:t>
            </w:r>
          </w:p>
          <w:p w14:paraId="002CFC8B" w14:textId="77777777" w:rsidR="009F2424" w:rsidRDefault="009F2424" w:rsidP="00FB5736">
            <w:pPr>
              <w:autoSpaceDE w:val="0"/>
              <w:autoSpaceDN w:val="0"/>
              <w:adjustRightInd w:val="0"/>
              <w:spacing w:after="0" w:line="240" w:lineRule="auto"/>
              <w:jc w:val="both"/>
              <w:rPr>
                <w:rFonts w:ascii="Times New Roman" w:hAnsi="Times New Roman"/>
                <w:sz w:val="24"/>
                <w:szCs w:val="20"/>
              </w:rPr>
            </w:pPr>
            <w:r w:rsidRPr="009F2424">
              <w:rPr>
                <w:rFonts w:ascii="Times New Roman" w:hAnsi="Times New Roman"/>
                <w:sz w:val="24"/>
                <w:szCs w:val="20"/>
              </w:rPr>
              <w:t>Следващите цели по отношение на</w:t>
            </w:r>
            <w:r>
              <w:rPr>
                <w:rFonts w:ascii="Times New Roman" w:hAnsi="Times New Roman"/>
                <w:sz w:val="24"/>
                <w:szCs w:val="20"/>
              </w:rPr>
              <w:t xml:space="preserve"> </w:t>
            </w:r>
            <w:r w:rsidRPr="009F2424">
              <w:rPr>
                <w:rFonts w:ascii="Times New Roman" w:hAnsi="Times New Roman"/>
                <w:sz w:val="24"/>
                <w:szCs w:val="20"/>
              </w:rPr>
              <w:t>широколентови</w:t>
            </w:r>
            <w:r w:rsidR="00B8564A">
              <w:rPr>
                <w:rFonts w:ascii="Times New Roman" w:hAnsi="Times New Roman"/>
                <w:sz w:val="24"/>
                <w:szCs w:val="20"/>
              </w:rPr>
              <w:t>те</w:t>
            </w:r>
            <w:r w:rsidR="00B8564A">
              <w:rPr>
                <w:rFonts w:ascii="Times New Roman" w:hAnsi="Times New Roman"/>
                <w:sz w:val="24"/>
                <w:szCs w:val="20"/>
                <w:lang w:val="en-US"/>
              </w:rPr>
              <w:t xml:space="preserve"> </w:t>
            </w:r>
            <w:r w:rsidR="00B8564A">
              <w:rPr>
                <w:rFonts w:ascii="Times New Roman" w:hAnsi="Times New Roman"/>
                <w:sz w:val="24"/>
                <w:szCs w:val="20"/>
              </w:rPr>
              <w:t>мрежи</w:t>
            </w:r>
            <w:r w:rsidRPr="009F2424">
              <w:rPr>
                <w:rFonts w:ascii="Times New Roman" w:hAnsi="Times New Roman"/>
                <w:sz w:val="24"/>
                <w:szCs w:val="20"/>
              </w:rPr>
              <w:t>, определени в DAE за</w:t>
            </w:r>
            <w:r>
              <w:rPr>
                <w:rFonts w:ascii="Times New Roman" w:hAnsi="Times New Roman"/>
                <w:sz w:val="24"/>
                <w:szCs w:val="20"/>
              </w:rPr>
              <w:t xml:space="preserve"> </w:t>
            </w:r>
            <w:r w:rsidRPr="009F2424">
              <w:rPr>
                <w:rFonts w:ascii="Times New Roman" w:hAnsi="Times New Roman"/>
                <w:sz w:val="24"/>
                <w:szCs w:val="20"/>
              </w:rPr>
              <w:t>2020 г., са 100 % покритие за достъп до</w:t>
            </w:r>
            <w:r>
              <w:rPr>
                <w:rFonts w:ascii="Times New Roman" w:hAnsi="Times New Roman"/>
                <w:sz w:val="24"/>
                <w:szCs w:val="20"/>
              </w:rPr>
              <w:t xml:space="preserve"> </w:t>
            </w:r>
            <w:r w:rsidRPr="009F2424">
              <w:rPr>
                <w:rFonts w:ascii="Times New Roman" w:hAnsi="Times New Roman"/>
                <w:sz w:val="24"/>
                <w:szCs w:val="20"/>
              </w:rPr>
              <w:t>интернет със скорост 30 Mbps и 50 %</w:t>
            </w:r>
            <w:r>
              <w:rPr>
                <w:rFonts w:ascii="Times New Roman" w:hAnsi="Times New Roman"/>
                <w:sz w:val="24"/>
                <w:szCs w:val="20"/>
              </w:rPr>
              <w:t xml:space="preserve"> </w:t>
            </w:r>
            <w:r w:rsidRPr="009F2424">
              <w:rPr>
                <w:rFonts w:ascii="Times New Roman" w:hAnsi="Times New Roman"/>
                <w:sz w:val="24"/>
                <w:szCs w:val="20"/>
              </w:rPr>
              <w:t>разпространение на услугата за свързване</w:t>
            </w:r>
            <w:r>
              <w:rPr>
                <w:rFonts w:ascii="Times New Roman" w:hAnsi="Times New Roman"/>
                <w:sz w:val="24"/>
                <w:szCs w:val="20"/>
              </w:rPr>
              <w:t xml:space="preserve"> </w:t>
            </w:r>
            <w:r w:rsidRPr="009F2424">
              <w:rPr>
                <w:rFonts w:ascii="Times New Roman" w:hAnsi="Times New Roman"/>
                <w:sz w:val="24"/>
                <w:szCs w:val="20"/>
              </w:rPr>
              <w:t>към интернет със скорост 100 Mbp в ЕС.</w:t>
            </w:r>
          </w:p>
          <w:p w14:paraId="58E11000" w14:textId="77777777" w:rsidR="00E72FA5" w:rsidRPr="009F2424" w:rsidRDefault="005A67C5" w:rsidP="00FB5736">
            <w:pPr>
              <w:autoSpaceDE w:val="0"/>
              <w:autoSpaceDN w:val="0"/>
              <w:adjustRightInd w:val="0"/>
              <w:spacing w:after="0" w:line="240" w:lineRule="auto"/>
              <w:jc w:val="both"/>
              <w:rPr>
                <w:rFonts w:ascii="Times New Roman" w:hAnsi="Times New Roman"/>
                <w:sz w:val="24"/>
                <w:szCs w:val="20"/>
              </w:rPr>
            </w:pPr>
            <w:r w:rsidRPr="005A67C5">
              <w:rPr>
                <w:rFonts w:ascii="Times New Roman" w:hAnsi="Times New Roman"/>
                <w:sz w:val="24"/>
                <w:szCs w:val="20"/>
              </w:rPr>
              <w:t>Националния план за широколентова инфраструктура за достъп от следващо поколение (NGA</w:t>
            </w:r>
            <w:r>
              <w:rPr>
                <w:szCs w:val="24"/>
                <w:lang w:val="en-US"/>
              </w:rPr>
              <w:t>)</w:t>
            </w:r>
            <w:r w:rsidR="00E72FA5">
              <w:rPr>
                <w:rFonts w:ascii="Times New Roman" w:hAnsi="Times New Roman"/>
                <w:sz w:val="24"/>
                <w:szCs w:val="20"/>
              </w:rPr>
              <w:t xml:space="preserve">, публикуван през 2014 г., поставя цели, които са напълно в съответствие с целите на </w:t>
            </w:r>
            <w:r w:rsidR="00E72FA5" w:rsidRPr="009F2424">
              <w:rPr>
                <w:rFonts w:ascii="Times New Roman" w:hAnsi="Times New Roman"/>
                <w:sz w:val="24"/>
                <w:szCs w:val="20"/>
              </w:rPr>
              <w:t>DAE</w:t>
            </w:r>
            <w:r w:rsidR="00E72FA5">
              <w:rPr>
                <w:rFonts w:ascii="Times New Roman" w:hAnsi="Times New Roman"/>
                <w:sz w:val="24"/>
                <w:szCs w:val="20"/>
              </w:rPr>
              <w:t>, като определя 6 приоритетни области и предвижда различни мерки за „бели”, „сиви” и „черни” зони.</w:t>
            </w:r>
          </w:p>
          <w:p w14:paraId="4D2FAFFC" w14:textId="77777777" w:rsidR="009F2424" w:rsidRDefault="009F2424" w:rsidP="00FB5736">
            <w:pPr>
              <w:autoSpaceDE w:val="0"/>
              <w:autoSpaceDN w:val="0"/>
              <w:adjustRightInd w:val="0"/>
              <w:spacing w:after="0" w:line="240" w:lineRule="auto"/>
              <w:jc w:val="both"/>
              <w:rPr>
                <w:rFonts w:ascii="Times New Roman" w:hAnsi="Times New Roman"/>
                <w:sz w:val="24"/>
                <w:szCs w:val="20"/>
              </w:rPr>
            </w:pPr>
            <w:r w:rsidRPr="009F2424">
              <w:rPr>
                <w:rFonts w:ascii="Times New Roman" w:hAnsi="Times New Roman"/>
                <w:sz w:val="24"/>
                <w:szCs w:val="20"/>
              </w:rPr>
              <w:t>Въпреки че по-голямата част от инвестициите, необходими за</w:t>
            </w:r>
            <w:r>
              <w:rPr>
                <w:rFonts w:ascii="Times New Roman" w:hAnsi="Times New Roman"/>
                <w:sz w:val="24"/>
                <w:szCs w:val="20"/>
              </w:rPr>
              <w:t xml:space="preserve"> </w:t>
            </w:r>
            <w:r w:rsidRPr="009F2424">
              <w:rPr>
                <w:rFonts w:ascii="Times New Roman" w:hAnsi="Times New Roman"/>
                <w:sz w:val="24"/>
                <w:szCs w:val="20"/>
              </w:rPr>
              <w:t>постигането на тези</w:t>
            </w:r>
            <w:r>
              <w:rPr>
                <w:rFonts w:ascii="Times New Roman" w:hAnsi="Times New Roman"/>
                <w:sz w:val="24"/>
                <w:szCs w:val="20"/>
              </w:rPr>
              <w:t xml:space="preserve"> </w:t>
            </w:r>
            <w:r w:rsidRPr="009F2424">
              <w:rPr>
                <w:rFonts w:ascii="Times New Roman" w:hAnsi="Times New Roman"/>
                <w:sz w:val="24"/>
                <w:szCs w:val="20"/>
              </w:rPr>
              <w:t>амбициозни цели, се очаква да бъде</w:t>
            </w:r>
            <w:r>
              <w:rPr>
                <w:rFonts w:ascii="Times New Roman" w:hAnsi="Times New Roman"/>
                <w:sz w:val="24"/>
                <w:szCs w:val="20"/>
              </w:rPr>
              <w:t xml:space="preserve"> </w:t>
            </w:r>
            <w:r w:rsidRPr="009F2424">
              <w:rPr>
                <w:rFonts w:ascii="Times New Roman" w:hAnsi="Times New Roman"/>
                <w:sz w:val="24"/>
                <w:szCs w:val="20"/>
              </w:rPr>
              <w:t>осигурена от частни оператори, в областите, засегнати от</w:t>
            </w:r>
            <w:r>
              <w:rPr>
                <w:rFonts w:ascii="Times New Roman" w:hAnsi="Times New Roman"/>
                <w:sz w:val="24"/>
                <w:szCs w:val="20"/>
              </w:rPr>
              <w:t xml:space="preserve"> </w:t>
            </w:r>
            <w:r w:rsidRPr="009F2424">
              <w:rPr>
                <w:rFonts w:ascii="Times New Roman" w:hAnsi="Times New Roman"/>
                <w:sz w:val="24"/>
                <w:szCs w:val="20"/>
              </w:rPr>
              <w:t>неефективност на пазара, ще бъде необходимо публично</w:t>
            </w:r>
            <w:r>
              <w:rPr>
                <w:rFonts w:ascii="Times New Roman" w:hAnsi="Times New Roman"/>
                <w:sz w:val="24"/>
                <w:szCs w:val="20"/>
              </w:rPr>
              <w:t xml:space="preserve"> </w:t>
            </w:r>
            <w:r w:rsidRPr="009F2424">
              <w:rPr>
                <w:rFonts w:ascii="Times New Roman" w:hAnsi="Times New Roman"/>
                <w:sz w:val="24"/>
                <w:szCs w:val="20"/>
              </w:rPr>
              <w:t>финансиране.</w:t>
            </w:r>
            <w:r w:rsidRPr="00535499">
              <w:rPr>
                <w:rFonts w:ascii="Times New Roman" w:hAnsi="Times New Roman"/>
                <w:sz w:val="24"/>
                <w:szCs w:val="20"/>
              </w:rPr>
              <w:t xml:space="preserve"> </w:t>
            </w:r>
          </w:p>
          <w:p w14:paraId="397F328F" w14:textId="77777777" w:rsidR="00180AF0" w:rsidRDefault="00180AF0" w:rsidP="00FB5736">
            <w:pPr>
              <w:autoSpaceDE w:val="0"/>
              <w:autoSpaceDN w:val="0"/>
              <w:adjustRightInd w:val="0"/>
              <w:spacing w:after="0" w:line="240" w:lineRule="auto"/>
              <w:jc w:val="both"/>
              <w:rPr>
                <w:rFonts w:ascii="Times New Roman" w:hAnsi="Times New Roman"/>
                <w:sz w:val="24"/>
                <w:szCs w:val="20"/>
              </w:rPr>
            </w:pPr>
            <w:r w:rsidRPr="009049E4">
              <w:rPr>
                <w:rFonts w:ascii="Times New Roman" w:hAnsi="Times New Roman"/>
                <w:sz w:val="24"/>
                <w:szCs w:val="20"/>
              </w:rPr>
              <w:t>Инвестирането в информационни и комуникационни мрежи и</w:t>
            </w:r>
            <w:r w:rsidR="009049E4">
              <w:rPr>
                <w:rFonts w:ascii="Times New Roman" w:hAnsi="Times New Roman"/>
                <w:sz w:val="24"/>
                <w:szCs w:val="20"/>
              </w:rPr>
              <w:t xml:space="preserve"> </w:t>
            </w:r>
            <w:r w:rsidRPr="009049E4">
              <w:rPr>
                <w:rFonts w:ascii="Times New Roman" w:hAnsi="Times New Roman"/>
                <w:sz w:val="24"/>
                <w:szCs w:val="20"/>
              </w:rPr>
              <w:t>услуги стана важен елемент за ефективното предоставяне на</w:t>
            </w:r>
            <w:r w:rsidR="009049E4">
              <w:rPr>
                <w:rFonts w:ascii="Times New Roman" w:hAnsi="Times New Roman"/>
                <w:sz w:val="24"/>
                <w:szCs w:val="20"/>
              </w:rPr>
              <w:t xml:space="preserve"> </w:t>
            </w:r>
            <w:r w:rsidRPr="009049E4">
              <w:rPr>
                <w:rFonts w:ascii="Times New Roman" w:hAnsi="Times New Roman"/>
                <w:sz w:val="24"/>
                <w:szCs w:val="20"/>
              </w:rPr>
              <w:t>обществени услуги с добро качество, за предотвратяване на</w:t>
            </w:r>
            <w:r w:rsidR="009049E4">
              <w:rPr>
                <w:rFonts w:ascii="Times New Roman" w:hAnsi="Times New Roman"/>
                <w:sz w:val="24"/>
                <w:szCs w:val="20"/>
              </w:rPr>
              <w:t xml:space="preserve"> </w:t>
            </w:r>
            <w:r w:rsidRPr="009049E4">
              <w:rPr>
                <w:rFonts w:ascii="Times New Roman" w:hAnsi="Times New Roman"/>
                <w:sz w:val="24"/>
                <w:szCs w:val="20"/>
              </w:rPr>
              <w:t>обезлюдяването и преместването на икономическа дейност, за</w:t>
            </w:r>
            <w:r w:rsidR="009049E4">
              <w:rPr>
                <w:rFonts w:ascii="Times New Roman" w:hAnsi="Times New Roman"/>
                <w:sz w:val="24"/>
                <w:szCs w:val="20"/>
              </w:rPr>
              <w:t xml:space="preserve"> </w:t>
            </w:r>
            <w:r w:rsidRPr="009049E4">
              <w:rPr>
                <w:rFonts w:ascii="Times New Roman" w:hAnsi="Times New Roman"/>
                <w:sz w:val="24"/>
                <w:szCs w:val="20"/>
              </w:rPr>
              <w:t>насърчаване на</w:t>
            </w:r>
            <w:r w:rsidR="009049E4">
              <w:rPr>
                <w:rFonts w:ascii="Times New Roman" w:hAnsi="Times New Roman"/>
                <w:sz w:val="24"/>
                <w:szCs w:val="20"/>
              </w:rPr>
              <w:t xml:space="preserve"> </w:t>
            </w:r>
            <w:r w:rsidRPr="009049E4">
              <w:rPr>
                <w:rFonts w:ascii="Times New Roman" w:hAnsi="Times New Roman"/>
                <w:sz w:val="24"/>
                <w:szCs w:val="20"/>
              </w:rPr>
              <w:t>социалното и икономическото развитие и за</w:t>
            </w:r>
            <w:r w:rsidR="009049E4">
              <w:rPr>
                <w:rFonts w:ascii="Times New Roman" w:hAnsi="Times New Roman"/>
                <w:sz w:val="24"/>
                <w:szCs w:val="20"/>
              </w:rPr>
              <w:t xml:space="preserve"> </w:t>
            </w:r>
            <w:r w:rsidRPr="009049E4">
              <w:rPr>
                <w:rFonts w:ascii="Times New Roman" w:hAnsi="Times New Roman"/>
                <w:sz w:val="24"/>
                <w:szCs w:val="20"/>
              </w:rPr>
              <w:t>увеличаване на културното и политическото участие.</w:t>
            </w:r>
          </w:p>
          <w:p w14:paraId="5FC373E2" w14:textId="77777777" w:rsidR="005A2A95" w:rsidRDefault="005A2A95" w:rsidP="00FB5736">
            <w:pPr>
              <w:autoSpaceDE w:val="0"/>
              <w:autoSpaceDN w:val="0"/>
              <w:adjustRightInd w:val="0"/>
              <w:spacing w:after="0" w:line="240" w:lineRule="auto"/>
              <w:jc w:val="both"/>
              <w:rPr>
                <w:rFonts w:ascii="Times New Roman" w:hAnsi="Times New Roman"/>
                <w:sz w:val="24"/>
                <w:szCs w:val="20"/>
              </w:rPr>
            </w:pPr>
            <w:r>
              <w:rPr>
                <w:rFonts w:ascii="Times New Roman" w:hAnsi="Times New Roman"/>
                <w:sz w:val="24"/>
                <w:szCs w:val="20"/>
              </w:rPr>
              <w:t>По последни данни общото покритие на фиксирани широколентови линии е 95.2% от домакинствата като в селските райони то е значително под средното за ЕС (60% срещу 91%)</w:t>
            </w:r>
            <w:r w:rsidR="00E72FA5">
              <w:rPr>
                <w:rFonts w:ascii="Times New Roman" w:hAnsi="Times New Roman"/>
                <w:sz w:val="24"/>
                <w:szCs w:val="20"/>
              </w:rPr>
              <w:t xml:space="preserve">. </w:t>
            </w:r>
          </w:p>
          <w:p w14:paraId="6841A06E" w14:textId="77777777" w:rsidR="00EE0E63" w:rsidRDefault="00EE0E63" w:rsidP="00FB5736">
            <w:pPr>
              <w:autoSpaceDE w:val="0"/>
              <w:autoSpaceDN w:val="0"/>
              <w:adjustRightInd w:val="0"/>
              <w:spacing w:after="0" w:line="240" w:lineRule="auto"/>
              <w:jc w:val="both"/>
              <w:rPr>
                <w:rFonts w:ascii="Times New Roman" w:hAnsi="Times New Roman"/>
                <w:sz w:val="24"/>
                <w:szCs w:val="20"/>
              </w:rPr>
            </w:pPr>
            <w:r>
              <w:rPr>
                <w:rFonts w:ascii="Times New Roman" w:hAnsi="Times New Roman"/>
                <w:sz w:val="24"/>
                <w:szCs w:val="20"/>
              </w:rPr>
              <w:t>Към края на юни 2015</w:t>
            </w:r>
            <w:r w:rsidR="005A2A95">
              <w:rPr>
                <w:rFonts w:ascii="Times New Roman" w:hAnsi="Times New Roman"/>
                <w:sz w:val="24"/>
                <w:szCs w:val="20"/>
              </w:rPr>
              <w:t xml:space="preserve"> г.</w:t>
            </w:r>
            <w:r>
              <w:rPr>
                <w:rFonts w:ascii="Times New Roman" w:hAnsi="Times New Roman"/>
                <w:sz w:val="24"/>
                <w:szCs w:val="20"/>
              </w:rPr>
              <w:t xml:space="preserve">, България разполага с </w:t>
            </w:r>
            <w:r w:rsidR="00EB7C8A">
              <w:rPr>
                <w:rFonts w:ascii="Times New Roman" w:hAnsi="Times New Roman"/>
                <w:sz w:val="24"/>
                <w:szCs w:val="20"/>
              </w:rPr>
              <w:t xml:space="preserve">покритие от </w:t>
            </w:r>
            <w:r w:rsidR="00E72FA5">
              <w:rPr>
                <w:rFonts w:ascii="Times New Roman" w:hAnsi="Times New Roman"/>
                <w:sz w:val="24"/>
                <w:szCs w:val="20"/>
              </w:rPr>
              <w:t xml:space="preserve">широколентова </w:t>
            </w:r>
            <w:r>
              <w:rPr>
                <w:rFonts w:ascii="Times New Roman" w:hAnsi="Times New Roman"/>
                <w:sz w:val="24"/>
                <w:szCs w:val="20"/>
              </w:rPr>
              <w:t xml:space="preserve">инфраструктура </w:t>
            </w:r>
            <w:r w:rsidR="00E72FA5">
              <w:rPr>
                <w:rFonts w:ascii="Times New Roman" w:hAnsi="Times New Roman"/>
                <w:sz w:val="24"/>
                <w:szCs w:val="20"/>
              </w:rPr>
              <w:t xml:space="preserve">за достъп </w:t>
            </w:r>
            <w:r>
              <w:rPr>
                <w:rFonts w:ascii="Times New Roman" w:hAnsi="Times New Roman"/>
                <w:sz w:val="24"/>
                <w:szCs w:val="20"/>
              </w:rPr>
              <w:t>от ново поколение</w:t>
            </w:r>
            <w:r w:rsidR="00EB7C8A">
              <w:rPr>
                <w:rFonts w:ascii="Times New Roman" w:hAnsi="Times New Roman"/>
                <w:sz w:val="24"/>
                <w:szCs w:val="20"/>
              </w:rPr>
              <w:t xml:space="preserve"> (&gt;30М</w:t>
            </w:r>
            <w:r w:rsidR="00EB7C8A">
              <w:rPr>
                <w:rFonts w:ascii="Times New Roman" w:hAnsi="Times New Roman"/>
                <w:sz w:val="24"/>
                <w:szCs w:val="20"/>
                <w:lang w:val="en-US"/>
              </w:rPr>
              <w:t>bps)</w:t>
            </w:r>
            <w:r w:rsidR="00EB7C8A">
              <w:rPr>
                <w:rFonts w:ascii="Times New Roman" w:hAnsi="Times New Roman"/>
                <w:sz w:val="24"/>
                <w:szCs w:val="20"/>
              </w:rPr>
              <w:t xml:space="preserve"> в размер на 72% от домакинствата, но достига едва 2.7% в селските райони, което е много под средното ниво за ЕС от 27.8 %.</w:t>
            </w:r>
          </w:p>
          <w:p w14:paraId="38B49B6A" w14:textId="77777777" w:rsidR="00CE359F" w:rsidRPr="00EB7C8A" w:rsidRDefault="00CE359F" w:rsidP="00FB5736">
            <w:pPr>
              <w:autoSpaceDE w:val="0"/>
              <w:autoSpaceDN w:val="0"/>
              <w:adjustRightInd w:val="0"/>
              <w:spacing w:after="0" w:line="240" w:lineRule="auto"/>
              <w:jc w:val="both"/>
              <w:rPr>
                <w:rFonts w:ascii="Times New Roman" w:hAnsi="Times New Roman"/>
                <w:sz w:val="24"/>
                <w:szCs w:val="20"/>
              </w:rPr>
            </w:pPr>
            <w:r>
              <w:rPr>
                <w:rFonts w:ascii="Times New Roman" w:hAnsi="Times New Roman"/>
                <w:sz w:val="24"/>
                <w:szCs w:val="20"/>
              </w:rPr>
              <w:t xml:space="preserve">Бюджетът по подмярка 7.3 ще бъде използван основно за финансиране на </w:t>
            </w:r>
            <w:r w:rsidR="00FE46D1">
              <w:rPr>
                <w:rFonts w:ascii="Times New Roman" w:hAnsi="Times New Roman"/>
                <w:sz w:val="24"/>
                <w:szCs w:val="20"/>
              </w:rPr>
              <w:t xml:space="preserve">пасивна широколентова инфраструктура за достъп от ново поколение, в селските райони от белите (няма  широколентова инфраструктура за достъп от ново поколение и не се планира да бъде изградена такава в следващите 3 години) и сиви зони (има само една изградена </w:t>
            </w:r>
            <w:r w:rsidR="00FE46D1">
              <w:rPr>
                <w:rFonts w:ascii="Times New Roman" w:hAnsi="Times New Roman"/>
                <w:sz w:val="24"/>
                <w:szCs w:val="20"/>
              </w:rPr>
              <w:lastRenderedPageBreak/>
              <w:t>широколентова мрежа от ново поколение или се планира да бъде изградена в следващите 3 години). Целта е разходите за изграждане на пасивна широколентова инфраструктура за достъп от ново поколение да бъдат допълнително намалени като се синхронизират с други проекти за реконструкция или изграждане на пътна и друга инфраструктура, като по този начин се мултиплицира ефекта от бюджета по подмярка 7.3</w:t>
            </w:r>
            <w:r w:rsidR="00F53310">
              <w:rPr>
                <w:rFonts w:ascii="Times New Roman" w:hAnsi="Times New Roman"/>
                <w:sz w:val="24"/>
                <w:szCs w:val="20"/>
              </w:rPr>
              <w:t xml:space="preserve"> и се осигури възможност за свързване на повече общини.</w:t>
            </w:r>
          </w:p>
        </w:tc>
      </w:tr>
    </w:tbl>
    <w:p w14:paraId="398408F2"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lastRenderedPageBreak/>
        <w:t>Вид подкрепа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79CCC2D2" w14:textId="77777777" w:rsidTr="002E0C4D">
        <w:tc>
          <w:tcPr>
            <w:tcW w:w="5000" w:type="pct"/>
            <w:shd w:val="clear" w:color="auto" w:fill="FFFFFF"/>
            <w:tcMar>
              <w:top w:w="20" w:type="dxa"/>
              <w:bottom w:w="20" w:type="dxa"/>
            </w:tcMar>
            <w:vAlign w:val="center"/>
          </w:tcPr>
          <w:p w14:paraId="1957F665" w14:textId="77777777" w:rsidR="00B01B23" w:rsidRPr="00535499" w:rsidRDefault="00B01B23" w:rsidP="0045184E">
            <w:pPr>
              <w:spacing w:before="120" w:after="280" w:afterAutospacing="1" w:line="240" w:lineRule="auto"/>
              <w:rPr>
                <w:rFonts w:ascii="Times New Roman" w:hAnsi="Times New Roman"/>
                <w:sz w:val="24"/>
                <w:szCs w:val="20"/>
              </w:rPr>
            </w:pPr>
            <w:r w:rsidRPr="00535499">
              <w:rPr>
                <w:rFonts w:ascii="Times New Roman" w:hAnsi="Times New Roman"/>
                <w:b/>
                <w:bCs/>
                <w:sz w:val="24"/>
                <w:szCs w:val="20"/>
              </w:rPr>
              <w:t xml:space="preserve">Вид на помощта </w:t>
            </w:r>
          </w:p>
          <w:p w14:paraId="5E94494C" w14:textId="77777777" w:rsidR="00B01B23" w:rsidRPr="00535499" w:rsidRDefault="00B01B23" w:rsidP="00FB5736">
            <w:pPr>
              <w:spacing w:before="120" w:after="280" w:afterAutospacing="1" w:line="240" w:lineRule="auto"/>
              <w:jc w:val="both"/>
              <w:rPr>
                <w:rFonts w:ascii="Times New Roman" w:hAnsi="Times New Roman"/>
                <w:sz w:val="24"/>
                <w:szCs w:val="20"/>
              </w:rPr>
            </w:pPr>
            <w:r w:rsidRPr="005A0BFB">
              <w:rPr>
                <w:rFonts w:ascii="Times New Roman" w:hAnsi="Times New Roman"/>
                <w:sz w:val="24"/>
                <w:szCs w:val="20"/>
              </w:rPr>
              <w:t xml:space="preserve">В рамките на тази подмярка се предоставя безвъзмездна финансова помощ за </w:t>
            </w:r>
            <w:r w:rsidR="005A0BFB" w:rsidRPr="005A0BFB">
              <w:rPr>
                <w:rFonts w:ascii="Times New Roman" w:hAnsi="Times New Roman"/>
                <w:sz w:val="24"/>
                <w:szCs w:val="20"/>
              </w:rPr>
              <w:t>инвестиции</w:t>
            </w:r>
            <w:r w:rsidRPr="005A0BFB">
              <w:rPr>
                <w:rFonts w:ascii="Times New Roman" w:hAnsi="Times New Roman"/>
                <w:sz w:val="24"/>
                <w:szCs w:val="20"/>
              </w:rPr>
              <w:t xml:space="preserve"> за създаване на широколентова инфраструктура за достъп от следващо поколение и осигуряване на активно оборудване за свързаност към облак на електронно управление в </w:t>
            </w:r>
            <w:r w:rsidR="005A0BFB">
              <w:rPr>
                <w:rFonts w:ascii="Times New Roman" w:hAnsi="Times New Roman"/>
                <w:sz w:val="24"/>
                <w:szCs w:val="20"/>
              </w:rPr>
              <w:t>белите и сиви зони.</w:t>
            </w:r>
          </w:p>
        </w:tc>
      </w:tr>
    </w:tbl>
    <w:p w14:paraId="3F5AE6CE"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t>Връзка с друго законодателство</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686050BB" w14:textId="77777777" w:rsidTr="002E0C4D">
        <w:tc>
          <w:tcPr>
            <w:tcW w:w="5000" w:type="pct"/>
            <w:shd w:val="clear" w:color="auto" w:fill="FFFFFF"/>
            <w:tcMar>
              <w:top w:w="20" w:type="dxa"/>
              <w:bottom w:w="20" w:type="dxa"/>
            </w:tcMar>
            <w:vAlign w:val="center"/>
          </w:tcPr>
          <w:p w14:paraId="1D5531B3" w14:textId="77777777" w:rsidR="00B01B23" w:rsidRPr="00535499" w:rsidRDefault="00B01B23" w:rsidP="00FB5736">
            <w:pPr>
              <w:spacing w:before="120" w:after="280" w:afterAutospacing="1" w:line="240" w:lineRule="auto"/>
              <w:jc w:val="both"/>
              <w:rPr>
                <w:rFonts w:ascii="Times New Roman" w:hAnsi="Times New Roman"/>
                <w:sz w:val="24"/>
                <w:szCs w:val="20"/>
              </w:rPr>
            </w:pPr>
            <w:r w:rsidRPr="00535499">
              <w:rPr>
                <w:rFonts w:ascii="Times New Roman" w:hAnsi="Times New Roman"/>
                <w:sz w:val="24"/>
                <w:szCs w:val="20"/>
              </w:rPr>
              <w:t>Делегиран акт в съответствие с чл. 45, параграф 6 от Регламент (ЕС) № 1305/2013, Регламент (ЕС) № 1303/2013 на Европейския парламент и на Съвета.</w:t>
            </w:r>
          </w:p>
        </w:tc>
      </w:tr>
    </w:tbl>
    <w:p w14:paraId="5205F252" w14:textId="77777777" w:rsidR="00B01B23" w:rsidRDefault="00B01B23" w:rsidP="00B01B23">
      <w:pPr>
        <w:spacing w:before="120" w:after="120" w:line="240" w:lineRule="auto"/>
        <w:jc w:val="both"/>
        <w:rPr>
          <w:rFonts w:ascii="Times New Roman" w:hAnsi="Times New Roman"/>
          <w:sz w:val="24"/>
          <w:szCs w:val="20"/>
        </w:rPr>
      </w:pPr>
    </w:p>
    <w:p w14:paraId="492E0C34" w14:textId="77777777" w:rsidR="002E0C4D" w:rsidRPr="00FB5736" w:rsidRDefault="002E0C4D" w:rsidP="00FB5736">
      <w:pPr>
        <w:keepNext/>
        <w:numPr>
          <w:ilvl w:val="5"/>
          <w:numId w:val="0"/>
        </w:numPr>
        <w:spacing w:before="240" w:after="60" w:line="240" w:lineRule="auto"/>
        <w:outlineLvl w:val="5"/>
        <w:rPr>
          <w:rFonts w:ascii="Arial" w:eastAsia="Times New Roman" w:hAnsi="Arial"/>
          <w:noProof/>
          <w:color w:val="000000"/>
          <w:szCs w:val="20"/>
          <w:lang w:val="fr-BE"/>
        </w:rPr>
      </w:pPr>
      <w:r w:rsidRPr="00FB5736">
        <w:rPr>
          <w:rFonts w:ascii="Arial" w:eastAsia="Times New Roman" w:hAnsi="Arial"/>
          <w:noProof/>
          <w:color w:val="000000"/>
          <w:szCs w:val="20"/>
          <w:lang w:val="fr-BE"/>
        </w:rPr>
        <w:t>Бенефициери</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6BF2415C" w14:textId="77777777" w:rsidTr="002E0C4D">
        <w:tc>
          <w:tcPr>
            <w:tcW w:w="5000" w:type="pct"/>
            <w:shd w:val="clear" w:color="auto" w:fill="FFFFFF"/>
            <w:tcMar>
              <w:top w:w="20" w:type="dxa"/>
              <w:bottom w:w="20" w:type="dxa"/>
            </w:tcMar>
            <w:vAlign w:val="center"/>
          </w:tcPr>
          <w:p w14:paraId="06970D9F" w14:textId="3C0E0166" w:rsidR="00B01B23" w:rsidRPr="00535499" w:rsidRDefault="00883A52" w:rsidP="00FB5736">
            <w:pPr>
              <w:spacing w:before="120" w:after="280" w:afterAutospacing="1" w:line="240" w:lineRule="auto"/>
              <w:jc w:val="both"/>
              <w:rPr>
                <w:rFonts w:ascii="Times New Roman" w:hAnsi="Times New Roman"/>
                <w:sz w:val="24"/>
                <w:szCs w:val="20"/>
              </w:rPr>
            </w:pPr>
            <w:r w:rsidRPr="00FB5736">
              <w:rPr>
                <w:rFonts w:ascii="Times New Roman" w:hAnsi="Times New Roman"/>
                <w:sz w:val="24"/>
                <w:szCs w:val="20"/>
              </w:rPr>
              <w:t xml:space="preserve">Изпълнителна </w:t>
            </w:r>
            <w:r w:rsidR="00B01B23" w:rsidRPr="00FB5736">
              <w:rPr>
                <w:rFonts w:ascii="Times New Roman" w:hAnsi="Times New Roman"/>
                <w:sz w:val="24"/>
                <w:szCs w:val="20"/>
              </w:rPr>
              <w:t>агенция „Електронни съобщителни мрежи и информационни системи“.</w:t>
            </w:r>
          </w:p>
        </w:tc>
      </w:tr>
    </w:tbl>
    <w:p w14:paraId="47C253E4" w14:textId="77777777" w:rsidR="00B01B23" w:rsidRDefault="00B01B23" w:rsidP="00B01B23">
      <w:pPr>
        <w:spacing w:before="120" w:after="120" w:line="240" w:lineRule="auto"/>
        <w:jc w:val="both"/>
        <w:rPr>
          <w:rFonts w:ascii="Times New Roman" w:hAnsi="Times New Roman"/>
          <w:sz w:val="24"/>
          <w:szCs w:val="20"/>
        </w:rPr>
      </w:pPr>
    </w:p>
    <w:p w14:paraId="05193A35"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t>Допустими разходи</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37DAF82A" w14:textId="77777777" w:rsidTr="002E0C4D">
        <w:tc>
          <w:tcPr>
            <w:tcW w:w="5000" w:type="pct"/>
            <w:shd w:val="clear" w:color="auto" w:fill="FFFFFF"/>
            <w:tcMar>
              <w:top w:w="20" w:type="dxa"/>
              <w:bottom w:w="20" w:type="dxa"/>
            </w:tcMar>
            <w:vAlign w:val="center"/>
          </w:tcPr>
          <w:p w14:paraId="33DAB7B4" w14:textId="77777777"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Разходите се свеждат до:</w:t>
            </w:r>
          </w:p>
          <w:p w14:paraId="68C653EC" w14:textId="6B8AF991"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 xml:space="preserve">а) </w:t>
            </w:r>
            <w:r w:rsidR="006C24B9" w:rsidRPr="002F384A">
              <w:rPr>
                <w:rFonts w:ascii="Times New Roman" w:hAnsi="Times New Roman"/>
                <w:sz w:val="24"/>
                <w:szCs w:val="20"/>
              </w:rPr>
              <w:t>Изграждането на пасивна широколентова инфраструктура за достъп от ново поколение (</w:t>
            </w:r>
            <w:r w:rsidR="005251D7" w:rsidRPr="002F384A">
              <w:rPr>
                <w:rFonts w:ascii="Times New Roman" w:hAnsi="Times New Roman"/>
                <w:sz w:val="24"/>
                <w:szCs w:val="20"/>
              </w:rPr>
              <w:t xml:space="preserve">напр. </w:t>
            </w:r>
            <w:r w:rsidR="00E0615E" w:rsidRPr="002F384A">
              <w:rPr>
                <w:rFonts w:ascii="Times New Roman" w:hAnsi="Times New Roman"/>
                <w:sz w:val="24"/>
                <w:szCs w:val="20"/>
              </w:rPr>
              <w:t xml:space="preserve">строителни дейности като </w:t>
            </w:r>
            <w:r w:rsidR="005251D7" w:rsidRPr="002F384A">
              <w:rPr>
                <w:rFonts w:ascii="Times New Roman" w:hAnsi="Times New Roman"/>
                <w:sz w:val="24"/>
                <w:szCs w:val="20"/>
              </w:rPr>
              <w:t>канали,</w:t>
            </w:r>
            <w:r w:rsidR="00E0615E" w:rsidRPr="002F384A">
              <w:rPr>
                <w:rFonts w:ascii="Times New Roman" w:hAnsi="Times New Roman"/>
                <w:sz w:val="24"/>
                <w:szCs w:val="20"/>
              </w:rPr>
              <w:t xml:space="preserve"> както и</w:t>
            </w:r>
            <w:r w:rsidR="005251D7" w:rsidRPr="002F384A">
              <w:rPr>
                <w:rFonts w:ascii="Times New Roman" w:hAnsi="Times New Roman"/>
                <w:sz w:val="24"/>
                <w:szCs w:val="20"/>
              </w:rPr>
              <w:t xml:space="preserve"> </w:t>
            </w:r>
            <w:r w:rsidR="00E0615E" w:rsidRPr="002F384A">
              <w:rPr>
                <w:rFonts w:ascii="Times New Roman" w:hAnsi="Times New Roman"/>
                <w:sz w:val="24"/>
                <w:szCs w:val="20"/>
              </w:rPr>
              <w:t xml:space="preserve">оптични </w:t>
            </w:r>
            <w:r w:rsidR="005251D7" w:rsidRPr="002F384A">
              <w:rPr>
                <w:rFonts w:ascii="Times New Roman" w:hAnsi="Times New Roman"/>
                <w:sz w:val="24"/>
                <w:szCs w:val="20"/>
              </w:rPr>
              <w:t>кабели, стълбове</w:t>
            </w:r>
            <w:r w:rsidR="00B8564A" w:rsidRPr="002F384A">
              <w:rPr>
                <w:rFonts w:ascii="Times New Roman" w:hAnsi="Times New Roman"/>
                <w:sz w:val="24"/>
                <w:szCs w:val="20"/>
              </w:rPr>
              <w:t>, помещения</w:t>
            </w:r>
            <w:r w:rsidR="005251D7" w:rsidRPr="002F384A">
              <w:rPr>
                <w:rFonts w:ascii="Times New Roman" w:hAnsi="Times New Roman"/>
                <w:sz w:val="24"/>
                <w:szCs w:val="20"/>
              </w:rPr>
              <w:t>)</w:t>
            </w:r>
            <w:r w:rsidR="00C6341D">
              <w:rPr>
                <w:rFonts w:ascii="Times New Roman" w:hAnsi="Times New Roman"/>
                <w:sz w:val="24"/>
                <w:szCs w:val="20"/>
              </w:rPr>
              <w:t>;</w:t>
            </w:r>
            <w:r w:rsidR="006C24B9" w:rsidRPr="002F384A">
              <w:rPr>
                <w:rFonts w:ascii="Times New Roman" w:hAnsi="Times New Roman"/>
                <w:sz w:val="24"/>
                <w:szCs w:val="20"/>
              </w:rPr>
              <w:t xml:space="preserve"> </w:t>
            </w:r>
          </w:p>
          <w:p w14:paraId="1B8E7547" w14:textId="4D95143B" w:rsidR="00B01B23" w:rsidRPr="002F384A" w:rsidRDefault="00B01B23" w:rsidP="002F384A">
            <w:pPr>
              <w:spacing w:before="120" w:after="280" w:afterAutospacing="1" w:line="240" w:lineRule="auto"/>
              <w:jc w:val="both"/>
              <w:rPr>
                <w:rFonts w:ascii="Times New Roman" w:hAnsi="Times New Roman"/>
                <w:color w:val="FF0000"/>
                <w:sz w:val="24"/>
                <w:szCs w:val="20"/>
              </w:rPr>
            </w:pPr>
            <w:r w:rsidRPr="002F384A">
              <w:rPr>
                <w:rFonts w:ascii="Times New Roman" w:hAnsi="Times New Roman"/>
                <w:sz w:val="24"/>
                <w:szCs w:val="20"/>
              </w:rPr>
              <w:t xml:space="preserve">б) </w:t>
            </w:r>
            <w:r w:rsidR="005251D7" w:rsidRPr="002F384A">
              <w:rPr>
                <w:rFonts w:ascii="Times New Roman" w:hAnsi="Times New Roman"/>
                <w:sz w:val="24"/>
                <w:szCs w:val="20"/>
              </w:rPr>
              <w:t xml:space="preserve">Закупуване и </w:t>
            </w:r>
            <w:r w:rsidR="003F4E6C" w:rsidRPr="002F384A">
              <w:rPr>
                <w:rFonts w:ascii="Times New Roman" w:hAnsi="Times New Roman"/>
                <w:sz w:val="24"/>
                <w:szCs w:val="20"/>
              </w:rPr>
              <w:t xml:space="preserve">инсталиране </w:t>
            </w:r>
            <w:r w:rsidR="005251D7" w:rsidRPr="002F384A">
              <w:rPr>
                <w:rFonts w:ascii="Times New Roman" w:hAnsi="Times New Roman"/>
                <w:sz w:val="24"/>
                <w:szCs w:val="20"/>
              </w:rPr>
              <w:t xml:space="preserve">на </w:t>
            </w:r>
            <w:r w:rsidR="003F4E6C" w:rsidRPr="002F384A">
              <w:rPr>
                <w:rFonts w:ascii="Times New Roman" w:hAnsi="Times New Roman"/>
                <w:sz w:val="24"/>
                <w:szCs w:val="20"/>
              </w:rPr>
              <w:t>агрегиращо</w:t>
            </w:r>
            <w:r w:rsidR="003F4E6C" w:rsidRPr="00393600">
              <w:rPr>
                <w:rFonts w:ascii="Times New Roman" w:hAnsi="Times New Roman"/>
                <w:sz w:val="24"/>
                <w:szCs w:val="20"/>
              </w:rPr>
              <w:t xml:space="preserve"> </w:t>
            </w:r>
            <w:r w:rsidR="005251D7" w:rsidRPr="002F384A">
              <w:rPr>
                <w:rFonts w:ascii="Times New Roman" w:hAnsi="Times New Roman"/>
                <w:sz w:val="24"/>
                <w:szCs w:val="20"/>
              </w:rPr>
              <w:t>активно оборудване (</w:t>
            </w:r>
            <w:r w:rsidR="00E0615E" w:rsidRPr="002F384A">
              <w:rPr>
                <w:rFonts w:ascii="Times New Roman" w:hAnsi="Times New Roman"/>
                <w:sz w:val="24"/>
                <w:szCs w:val="20"/>
              </w:rPr>
              <w:t>напр.</w:t>
            </w:r>
            <w:r w:rsidR="00C6341D">
              <w:rPr>
                <w:rFonts w:ascii="Times New Roman" w:hAnsi="Times New Roman"/>
                <w:sz w:val="24"/>
                <w:szCs w:val="20"/>
              </w:rPr>
              <w:t xml:space="preserve"> </w:t>
            </w:r>
            <w:r w:rsidR="00B8564A" w:rsidRPr="002F384A">
              <w:rPr>
                <w:rFonts w:ascii="Times New Roman" w:hAnsi="Times New Roman"/>
                <w:sz w:val="24"/>
                <w:szCs w:val="20"/>
              </w:rPr>
              <w:t>предаватели, рутери и комут</w:t>
            </w:r>
            <w:r w:rsidR="005251D7" w:rsidRPr="002F384A">
              <w:rPr>
                <w:rFonts w:ascii="Times New Roman" w:hAnsi="Times New Roman"/>
                <w:sz w:val="24"/>
                <w:szCs w:val="20"/>
              </w:rPr>
              <w:t>атори, сървъри за контрол и управление)</w:t>
            </w:r>
            <w:r w:rsidR="00C6341D">
              <w:rPr>
                <w:rFonts w:ascii="Times New Roman" w:hAnsi="Times New Roman"/>
                <w:sz w:val="24"/>
                <w:szCs w:val="20"/>
              </w:rPr>
              <w:t>;</w:t>
            </w:r>
          </w:p>
          <w:p w14:paraId="4335F7E3" w14:textId="77777777"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14:paraId="0873AA2B" w14:textId="77777777"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г) Нематериални инвестиции: придобиването или развитието на компютърен софтуер и придобиването на патенти, лицензи, авторски права, търговски марки.</w:t>
            </w:r>
          </w:p>
          <w:p w14:paraId="5853D9E9" w14:textId="77777777"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 xml:space="preserve">Разходите по т. „в“ не трябва да надхвърлят 12% от сумата на разходите по т. „а“, „б“ и </w:t>
            </w:r>
            <w:r w:rsidRPr="002F384A">
              <w:rPr>
                <w:rFonts w:ascii="Times New Roman" w:hAnsi="Times New Roman"/>
                <w:sz w:val="24"/>
                <w:szCs w:val="20"/>
              </w:rPr>
              <w:lastRenderedPageBreak/>
              <w:t>„г“.</w:t>
            </w:r>
          </w:p>
          <w:p w14:paraId="53142EB4" w14:textId="78D854E5" w:rsidR="00C6341D" w:rsidRPr="00C6341D" w:rsidRDefault="00C6341D" w:rsidP="00C6341D">
            <w:pPr>
              <w:spacing w:before="120" w:after="280" w:afterAutospacing="1" w:line="240" w:lineRule="auto"/>
              <w:jc w:val="both"/>
              <w:rPr>
                <w:rFonts w:ascii="Times New Roman" w:hAnsi="Times New Roman"/>
                <w:sz w:val="24"/>
                <w:szCs w:val="20"/>
              </w:rPr>
            </w:pPr>
            <w:r w:rsidRPr="00C6341D">
              <w:rPr>
                <w:rFonts w:ascii="Times New Roman" w:hAnsi="Times New Roman"/>
                <w:sz w:val="24"/>
                <w:szCs w:val="20"/>
              </w:rPr>
              <w:t xml:space="preserve">Допустими са авансови плащания в размер до 50% от публичната помощ, свързана с одобрените допустими разходи. </w:t>
            </w:r>
            <w:r w:rsidR="003C4E15">
              <w:rPr>
                <w:rFonts w:ascii="Times New Roman" w:hAnsi="Times New Roman"/>
                <w:sz w:val="24"/>
                <w:szCs w:val="20"/>
              </w:rPr>
              <w:t xml:space="preserve">Авансово плащане за възложители по </w:t>
            </w:r>
            <w:r w:rsidRPr="00C6341D">
              <w:rPr>
                <w:rFonts w:ascii="Times New Roman" w:hAnsi="Times New Roman"/>
                <w:sz w:val="24"/>
                <w:szCs w:val="20"/>
              </w:rPr>
              <w:t>ЗОП е допустимо както следва:</w:t>
            </w:r>
          </w:p>
          <w:p w14:paraId="485097EA" w14:textId="77777777" w:rsidR="00C6341D" w:rsidRPr="00C6341D" w:rsidRDefault="00C6341D" w:rsidP="00C6341D">
            <w:pPr>
              <w:numPr>
                <w:ilvl w:val="0"/>
                <w:numId w:val="6"/>
              </w:numPr>
              <w:spacing w:before="120" w:after="280" w:afterAutospacing="1" w:line="240" w:lineRule="auto"/>
              <w:jc w:val="both"/>
              <w:rPr>
                <w:rFonts w:ascii="Times New Roman" w:hAnsi="Times New Roman"/>
                <w:sz w:val="24"/>
                <w:szCs w:val="20"/>
              </w:rPr>
            </w:pPr>
            <w:r w:rsidRPr="00C6341D">
              <w:rPr>
                <w:rFonts w:ascii="Times New Roman" w:hAnsi="Times New Roman"/>
                <w:sz w:val="24"/>
                <w:szCs w:val="20"/>
              </w:rPr>
              <w:t>до 12% от стойността на одобрената публична помощ по проекта за общи разходи и при наличие на документи от проведената съгласно изискванията на ЗОП процедура за избор на изпълнител/и;</w:t>
            </w:r>
          </w:p>
          <w:p w14:paraId="102A13D5" w14:textId="56E0D4C2" w:rsidR="00C6341D" w:rsidRPr="00C6341D" w:rsidRDefault="00C6341D" w:rsidP="00C6341D">
            <w:pPr>
              <w:pStyle w:val="ListParagraph"/>
              <w:numPr>
                <w:ilvl w:val="0"/>
                <w:numId w:val="6"/>
              </w:numPr>
              <w:spacing w:before="120" w:after="280" w:afterAutospacing="1" w:line="240" w:lineRule="auto"/>
              <w:jc w:val="both"/>
              <w:rPr>
                <w:rFonts w:ascii="Times New Roman" w:hAnsi="Times New Roman"/>
                <w:sz w:val="24"/>
                <w:szCs w:val="20"/>
              </w:rPr>
            </w:pPr>
            <w:r w:rsidRPr="00C6341D">
              <w:rPr>
                <w:rFonts w:ascii="Times New Roman" w:hAnsi="Times New Roman"/>
                <w:sz w:val="24"/>
                <w:szCs w:val="20"/>
              </w:rPr>
              <w:t>разлика до 50% от стойността на одобрената публична помощ по проекта след провеждане на всички процедури и сключване на договор за избор на изпълнител/и по ЗОП.</w:t>
            </w:r>
          </w:p>
          <w:p w14:paraId="3990A7BF" w14:textId="77777777" w:rsidR="00B01B23" w:rsidRPr="002F384A"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7D802366" w14:textId="77777777" w:rsidR="00B01B23" w:rsidRPr="00535499"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Оперативните разходи, свързани с предоставянето на услугите са недопустими за подпомагане по подмярката.</w:t>
            </w:r>
          </w:p>
        </w:tc>
      </w:tr>
    </w:tbl>
    <w:p w14:paraId="666F43B0" w14:textId="77777777" w:rsidR="00B01B23" w:rsidRDefault="00B01B23" w:rsidP="00B01B23">
      <w:pPr>
        <w:spacing w:before="120" w:after="120" w:line="240" w:lineRule="auto"/>
        <w:jc w:val="both"/>
        <w:rPr>
          <w:rFonts w:ascii="Times New Roman" w:hAnsi="Times New Roman"/>
          <w:sz w:val="24"/>
          <w:szCs w:val="20"/>
        </w:rPr>
      </w:pPr>
    </w:p>
    <w:p w14:paraId="5584AE5F"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t>Условия за допустимост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07735D48" w14:textId="77777777" w:rsidTr="002E0C4D">
        <w:tc>
          <w:tcPr>
            <w:tcW w:w="5000" w:type="pct"/>
            <w:shd w:val="clear" w:color="auto" w:fill="FFFFFF"/>
            <w:tcMar>
              <w:top w:w="20" w:type="dxa"/>
              <w:bottom w:w="20" w:type="dxa"/>
            </w:tcMar>
            <w:vAlign w:val="center"/>
          </w:tcPr>
          <w:p w14:paraId="5E2260E1" w14:textId="77777777" w:rsidR="00B01B23" w:rsidRPr="002F384A" w:rsidRDefault="00B36DBD" w:rsidP="002F384A">
            <w:pPr>
              <w:spacing w:before="120" w:after="100" w:afterAutospacing="1" w:line="240" w:lineRule="auto"/>
              <w:jc w:val="both"/>
              <w:rPr>
                <w:rFonts w:ascii="Times New Roman" w:hAnsi="Times New Roman"/>
                <w:sz w:val="24"/>
                <w:szCs w:val="20"/>
              </w:rPr>
            </w:pPr>
            <w:r w:rsidRPr="002F384A">
              <w:rPr>
                <w:rFonts w:ascii="Times New Roman" w:hAnsi="Times New Roman"/>
                <w:sz w:val="24"/>
                <w:szCs w:val="20"/>
              </w:rPr>
              <w:t>Инвестициите</w:t>
            </w:r>
            <w:r w:rsidR="00B01B23" w:rsidRPr="002F384A">
              <w:rPr>
                <w:rFonts w:ascii="Times New Roman" w:hAnsi="Times New Roman"/>
                <w:sz w:val="24"/>
                <w:szCs w:val="20"/>
              </w:rPr>
              <w:t xml:space="preserve"> трябва да се използват от населението на селските райони на Република България; да осигурят широколентов достъп от следващо поколение, съответно високоскоростна интернет свързаност в </w:t>
            </w:r>
            <w:r w:rsidR="00851197" w:rsidRPr="002F384A">
              <w:rPr>
                <w:rFonts w:ascii="Times New Roman" w:hAnsi="Times New Roman"/>
                <w:sz w:val="24"/>
                <w:szCs w:val="20"/>
              </w:rPr>
              <w:t>белите и сиви зо</w:t>
            </w:r>
            <w:r w:rsidR="005A0BFB" w:rsidRPr="002F384A">
              <w:rPr>
                <w:rFonts w:ascii="Times New Roman" w:hAnsi="Times New Roman"/>
                <w:sz w:val="24"/>
                <w:szCs w:val="20"/>
              </w:rPr>
              <w:t>ни в населените места.</w:t>
            </w:r>
            <w:r w:rsidR="00B01B23" w:rsidRPr="002F384A">
              <w:rPr>
                <w:rFonts w:ascii="Times New Roman" w:hAnsi="Times New Roman"/>
                <w:sz w:val="24"/>
                <w:szCs w:val="20"/>
              </w:rPr>
              <w:t xml:space="preserve"> Дейностите не трябва да отговарят на дефиницията за дребна по мащаби инфраструктура; </w:t>
            </w:r>
            <w:r w:rsidR="0035412E" w:rsidRPr="002F384A">
              <w:rPr>
                <w:rFonts w:ascii="Times New Roman" w:hAnsi="Times New Roman"/>
                <w:sz w:val="24"/>
                <w:szCs w:val="20"/>
              </w:rPr>
              <w:t>Инвестициите</w:t>
            </w:r>
            <w:r w:rsidR="005671DB" w:rsidRPr="002F384A">
              <w:rPr>
                <w:rFonts w:ascii="Times New Roman" w:hAnsi="Times New Roman"/>
                <w:sz w:val="24"/>
                <w:szCs w:val="20"/>
              </w:rPr>
              <w:t xml:space="preserve"> </w:t>
            </w:r>
            <w:r w:rsidR="00B01B23" w:rsidRPr="002F384A">
              <w:rPr>
                <w:rFonts w:ascii="Times New Roman" w:hAnsi="Times New Roman"/>
                <w:sz w:val="24"/>
                <w:szCs w:val="20"/>
              </w:rPr>
              <w:t xml:space="preserve">са допустими за подпомагане, когато предвидените дейности се изпълняват в съответствие с общинския план за развитие на съответната община, а ако съществува стратегия за местно развитие, да са съгласувани и с нея. Предвидените дейности се изпълняват в съответствие с Националната стратегия за развитие на широколентовия достъп и Националния план за широколентова инфраструктура за достъп от следващо поколение. </w:t>
            </w:r>
            <w:r w:rsidR="005671DB" w:rsidRPr="002F384A">
              <w:rPr>
                <w:rFonts w:ascii="Times New Roman" w:hAnsi="Times New Roman"/>
                <w:sz w:val="24"/>
                <w:szCs w:val="20"/>
              </w:rPr>
              <w:t>Дейностите</w:t>
            </w:r>
            <w:r w:rsidR="00B01B23" w:rsidRPr="002F384A">
              <w:rPr>
                <w:rFonts w:ascii="Times New Roman" w:hAnsi="Times New Roman"/>
                <w:sz w:val="24"/>
                <w:szCs w:val="20"/>
              </w:rPr>
              <w:t xml:space="preserve"> са допустими за подпомагане, ако е доказано, че няма да имат отрицателно въздействие върху околната среда по смисъла на Закона за опазване на околната среда. Дейностите са допустими за подпомагане, ако е доказано, че отговарят на изискванията на заповедите за определянето на местата по Натура 2000 и плановете за тяхното управление, а когато няма издадени заповеди за определяне на местата по Натура 2000 инвестицията да е съгласувана с МОСВ, Закона за защитените територии, Закона за биологичното разнообразие и съответните им подзаконови нормативни актове за тяхното прилагане.</w:t>
            </w:r>
          </w:p>
          <w:p w14:paraId="67EB86EE" w14:textId="77777777" w:rsidR="00AA4950" w:rsidRPr="002F384A" w:rsidRDefault="00AA4950" w:rsidP="002F384A">
            <w:pPr>
              <w:spacing w:before="120" w:after="100" w:afterAutospacing="1" w:line="240" w:lineRule="auto"/>
              <w:jc w:val="both"/>
              <w:rPr>
                <w:rFonts w:ascii="Times New Roman" w:hAnsi="Times New Roman"/>
                <w:sz w:val="24"/>
                <w:szCs w:val="20"/>
              </w:rPr>
            </w:pPr>
            <w:r w:rsidRPr="002F384A">
              <w:rPr>
                <w:rFonts w:ascii="Times New Roman" w:hAnsi="Times New Roman"/>
                <w:sz w:val="24"/>
                <w:szCs w:val="20"/>
              </w:rPr>
              <w:t>Дейности по изграждане на широколентова инфраструктура в селските райони през периода 2014-20</w:t>
            </w:r>
            <w:r w:rsidR="002F112A" w:rsidRPr="002F384A">
              <w:rPr>
                <w:rFonts w:ascii="Times New Roman" w:hAnsi="Times New Roman"/>
                <w:sz w:val="24"/>
                <w:szCs w:val="20"/>
              </w:rPr>
              <w:t>20 ще се финансират само по ПРСР</w:t>
            </w:r>
            <w:r w:rsidRPr="002F384A">
              <w:rPr>
                <w:rFonts w:ascii="Times New Roman" w:hAnsi="Times New Roman"/>
                <w:sz w:val="24"/>
                <w:szCs w:val="20"/>
              </w:rPr>
              <w:t>.</w:t>
            </w:r>
          </w:p>
          <w:p w14:paraId="265AE0EB" w14:textId="1E288CEB" w:rsidR="00B01B23" w:rsidRPr="00535499" w:rsidRDefault="00B11D46" w:rsidP="00393600">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Проектите</w:t>
            </w:r>
            <w:r w:rsidR="00B01B23" w:rsidRPr="002F384A">
              <w:rPr>
                <w:rFonts w:ascii="Times New Roman" w:hAnsi="Times New Roman"/>
                <w:sz w:val="24"/>
                <w:szCs w:val="20"/>
              </w:rPr>
              <w:t xml:space="preserve"> са допустими за подпомагане, ако са придружени с </w:t>
            </w:r>
            <w:r w:rsidR="005901D4" w:rsidRPr="002F384A">
              <w:rPr>
                <w:rFonts w:ascii="Times New Roman" w:hAnsi="Times New Roman"/>
                <w:sz w:val="24"/>
                <w:szCs w:val="20"/>
              </w:rPr>
              <w:t xml:space="preserve">анализ на </w:t>
            </w:r>
            <w:r w:rsidR="00393600">
              <w:rPr>
                <w:rFonts w:ascii="Times New Roman" w:hAnsi="Times New Roman"/>
                <w:sz w:val="24"/>
                <w:szCs w:val="20"/>
              </w:rPr>
              <w:t>р</w:t>
            </w:r>
            <w:r w:rsidRPr="002F384A">
              <w:rPr>
                <w:rFonts w:ascii="Times New Roman" w:hAnsi="Times New Roman"/>
                <w:sz w:val="24"/>
                <w:szCs w:val="20"/>
              </w:rPr>
              <w:t>азходите</w:t>
            </w:r>
            <w:r w:rsidR="005901D4" w:rsidRPr="002F384A">
              <w:rPr>
                <w:rFonts w:ascii="Times New Roman" w:hAnsi="Times New Roman"/>
                <w:sz w:val="24"/>
                <w:szCs w:val="20"/>
              </w:rPr>
              <w:t xml:space="preserve"> и  ползите.</w:t>
            </w:r>
          </w:p>
        </w:tc>
      </w:tr>
    </w:tbl>
    <w:p w14:paraId="5A2D475B"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lastRenderedPageBreak/>
        <w:t>Принципи при определяне на критериите за подбор</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393600" w:rsidRPr="00393600" w14:paraId="61382D46" w14:textId="77777777" w:rsidTr="002E0C4D">
        <w:tc>
          <w:tcPr>
            <w:tcW w:w="5000" w:type="pct"/>
            <w:shd w:val="clear" w:color="auto" w:fill="FFFFFF"/>
            <w:tcMar>
              <w:top w:w="20" w:type="dxa"/>
              <w:bottom w:w="20" w:type="dxa"/>
            </w:tcMar>
            <w:vAlign w:val="center"/>
          </w:tcPr>
          <w:p w14:paraId="16174BCC" w14:textId="7119F9D7" w:rsidR="00B01B23" w:rsidRPr="00393600" w:rsidRDefault="00393600" w:rsidP="002F384A">
            <w:pPr>
              <w:spacing w:before="120" w:after="280" w:afterAutospacing="1" w:line="240" w:lineRule="auto"/>
              <w:jc w:val="both"/>
              <w:rPr>
                <w:rFonts w:ascii="Times New Roman" w:hAnsi="Times New Roman"/>
                <w:sz w:val="24"/>
                <w:szCs w:val="20"/>
              </w:rPr>
            </w:pPr>
            <w:r w:rsidRPr="00393600">
              <w:rPr>
                <w:rFonts w:ascii="Times New Roman" w:hAnsi="Times New Roman"/>
                <w:sz w:val="24"/>
                <w:szCs w:val="20"/>
              </w:rPr>
              <w:t xml:space="preserve">С прилагането на </w:t>
            </w:r>
            <w:r w:rsidR="002F384A" w:rsidRPr="00393600">
              <w:rPr>
                <w:rFonts w:ascii="Times New Roman" w:hAnsi="Times New Roman"/>
                <w:sz w:val="24"/>
                <w:szCs w:val="20"/>
              </w:rPr>
              <w:t xml:space="preserve">дейностите по изграждане на широколентова инфраструктура в селските райони </w:t>
            </w:r>
            <w:r w:rsidRPr="00393600">
              <w:rPr>
                <w:rFonts w:ascii="Times New Roman" w:hAnsi="Times New Roman"/>
                <w:sz w:val="24"/>
                <w:szCs w:val="20"/>
              </w:rPr>
              <w:t>ще се стимулира:</w:t>
            </w:r>
          </w:p>
          <w:p w14:paraId="16C38D81" w14:textId="50A50C3A" w:rsidR="006A2B24" w:rsidRPr="00393600" w:rsidRDefault="00393600" w:rsidP="002F384A">
            <w:pPr>
              <w:numPr>
                <w:ilvl w:val="0"/>
                <w:numId w:val="3"/>
              </w:numPr>
              <w:spacing w:before="120" w:after="120" w:line="240" w:lineRule="auto"/>
              <w:jc w:val="both"/>
              <w:rPr>
                <w:rFonts w:ascii="Times New Roman" w:hAnsi="Times New Roman"/>
                <w:sz w:val="24"/>
                <w:szCs w:val="20"/>
              </w:rPr>
            </w:pPr>
            <w:r w:rsidRPr="00393600">
              <w:rPr>
                <w:rFonts w:ascii="Times New Roman" w:hAnsi="Times New Roman"/>
                <w:sz w:val="24"/>
                <w:szCs w:val="20"/>
              </w:rPr>
              <w:t xml:space="preserve">изграждането на инфраструктура в </w:t>
            </w:r>
            <w:r w:rsidR="00B741E5" w:rsidRPr="00393600">
              <w:rPr>
                <w:rFonts w:ascii="Times New Roman" w:hAnsi="Times New Roman"/>
                <w:sz w:val="24"/>
                <w:szCs w:val="20"/>
              </w:rPr>
              <w:t>бели</w:t>
            </w:r>
            <w:r w:rsidRPr="00393600">
              <w:rPr>
                <w:rFonts w:ascii="Times New Roman" w:hAnsi="Times New Roman"/>
                <w:sz w:val="24"/>
                <w:szCs w:val="20"/>
              </w:rPr>
              <w:t>те</w:t>
            </w:r>
            <w:r w:rsidR="00B741E5" w:rsidRPr="00393600">
              <w:rPr>
                <w:rFonts w:ascii="Times New Roman" w:hAnsi="Times New Roman"/>
                <w:sz w:val="24"/>
                <w:szCs w:val="20"/>
              </w:rPr>
              <w:t xml:space="preserve"> зони;</w:t>
            </w:r>
          </w:p>
          <w:p w14:paraId="671850C6" w14:textId="0A740E53" w:rsidR="00D25F84" w:rsidRPr="00393600" w:rsidRDefault="002F384A" w:rsidP="002F384A">
            <w:pPr>
              <w:pStyle w:val="Heading1"/>
              <w:numPr>
                <w:ilvl w:val="0"/>
                <w:numId w:val="3"/>
              </w:numPr>
              <w:spacing w:before="120" w:after="120"/>
              <w:jc w:val="both"/>
              <w:rPr>
                <w:rFonts w:eastAsia="Calibri"/>
                <w:b w:val="0"/>
                <w:bCs w:val="0"/>
                <w:caps/>
                <w:smallCaps/>
                <w:kern w:val="0"/>
                <w:sz w:val="24"/>
                <w:szCs w:val="20"/>
                <w:lang w:val="bg-BG"/>
              </w:rPr>
            </w:pPr>
            <w:r w:rsidRPr="00393600">
              <w:rPr>
                <w:rFonts w:eastAsia="Calibri"/>
                <w:b w:val="0"/>
                <w:kern w:val="0"/>
                <w:sz w:val="24"/>
                <w:szCs w:val="20"/>
                <w:lang w:val="bg-BG"/>
              </w:rPr>
              <w:t xml:space="preserve">допълняемостта с </w:t>
            </w:r>
            <w:r w:rsidR="00522D7C" w:rsidRPr="00393600">
              <w:rPr>
                <w:rFonts w:eastAsia="Calibri"/>
                <w:b w:val="0"/>
                <w:kern w:val="0"/>
                <w:sz w:val="24"/>
                <w:szCs w:val="20"/>
                <w:lang w:val="bg-BG"/>
              </w:rPr>
              <w:t xml:space="preserve">други инфраструктурни проекти </w:t>
            </w:r>
            <w:r w:rsidR="00B741E5" w:rsidRPr="00393600">
              <w:rPr>
                <w:rFonts w:eastAsia="Calibri"/>
                <w:b w:val="0"/>
                <w:kern w:val="0"/>
                <w:sz w:val="24"/>
                <w:szCs w:val="20"/>
                <w:lang w:val="bg-BG"/>
              </w:rPr>
              <w:t>в съответствие с</w:t>
            </w:r>
            <w:r w:rsidR="00D25F84" w:rsidRPr="00393600">
              <w:rPr>
                <w:rFonts w:eastAsia="Calibri"/>
                <w:b w:val="0"/>
                <w:kern w:val="0"/>
                <w:sz w:val="24"/>
                <w:szCs w:val="20"/>
                <w:lang w:val="bg-BG"/>
              </w:rPr>
              <w:t>ъс</w:t>
            </w:r>
            <w:r w:rsidR="00B741E5" w:rsidRPr="00393600">
              <w:rPr>
                <w:rFonts w:eastAsia="Calibri"/>
                <w:kern w:val="0"/>
                <w:sz w:val="24"/>
                <w:szCs w:val="20"/>
                <w:lang w:val="bg-BG"/>
              </w:rPr>
              <w:t xml:space="preserve"> </w:t>
            </w:r>
            <w:r w:rsidR="00D25F84" w:rsidRPr="00393600">
              <w:rPr>
                <w:rFonts w:eastAsia="Calibri"/>
                <w:b w:val="0"/>
                <w:bCs w:val="0"/>
                <w:kern w:val="0"/>
                <w:sz w:val="24"/>
                <w:szCs w:val="20"/>
                <w:lang w:val="bg-BG"/>
              </w:rPr>
              <w:t>Закона за електронните съобщителни мрежи и физическа инфраструктура</w:t>
            </w:r>
            <w:r w:rsidR="002F112A" w:rsidRPr="00393600">
              <w:rPr>
                <w:rFonts w:eastAsia="Calibri"/>
                <w:b w:val="0"/>
                <w:bCs w:val="0"/>
                <w:kern w:val="0"/>
                <w:sz w:val="24"/>
                <w:szCs w:val="20"/>
                <w:lang w:val="bg-BG"/>
              </w:rPr>
              <w:t>;</w:t>
            </w:r>
          </w:p>
          <w:p w14:paraId="29752E2F" w14:textId="3E8FF362" w:rsidR="00826213" w:rsidRPr="00104CD0" w:rsidRDefault="00393600" w:rsidP="00104CD0">
            <w:pPr>
              <w:pStyle w:val="Heading1"/>
              <w:numPr>
                <w:ilvl w:val="0"/>
                <w:numId w:val="3"/>
              </w:numPr>
              <w:spacing w:before="120" w:after="120"/>
              <w:jc w:val="both"/>
              <w:rPr>
                <w:rFonts w:eastAsia="Calibri"/>
                <w:b w:val="0"/>
                <w:bCs w:val="0"/>
                <w:kern w:val="0"/>
                <w:sz w:val="24"/>
                <w:szCs w:val="20"/>
                <w:lang w:val="bg-BG"/>
              </w:rPr>
            </w:pPr>
            <w:r w:rsidRPr="00393600">
              <w:rPr>
                <w:rFonts w:eastAsia="Calibri"/>
                <w:b w:val="0"/>
                <w:bCs w:val="0"/>
                <w:kern w:val="0"/>
                <w:sz w:val="24"/>
                <w:szCs w:val="20"/>
                <w:lang w:val="bg-BG"/>
              </w:rPr>
              <w:t xml:space="preserve">прилагането на </w:t>
            </w:r>
            <w:r w:rsidR="002F384A" w:rsidRPr="00393600">
              <w:rPr>
                <w:rFonts w:eastAsia="Calibri"/>
                <w:b w:val="0"/>
                <w:bCs w:val="0"/>
                <w:kern w:val="0"/>
                <w:sz w:val="24"/>
                <w:szCs w:val="20"/>
                <w:lang w:val="bg-BG"/>
              </w:rPr>
              <w:t>решения за</w:t>
            </w:r>
            <w:r w:rsidR="00826213" w:rsidRPr="00393600">
              <w:rPr>
                <w:rFonts w:eastAsia="Calibri"/>
                <w:b w:val="0"/>
                <w:bCs w:val="0"/>
                <w:kern w:val="0"/>
                <w:sz w:val="24"/>
                <w:szCs w:val="20"/>
                <w:lang w:val="bg-BG"/>
              </w:rPr>
              <w:t xml:space="preserve"> съвместно ползване на инфраструктура с цел намаляване на разходите за разгръщане на инфраструктурата за широколентов достъп от следващо поколение</w:t>
            </w:r>
            <w:r w:rsidR="002F384A" w:rsidRPr="00393600">
              <w:rPr>
                <w:rFonts w:eastAsia="Calibri"/>
                <w:b w:val="0"/>
                <w:bCs w:val="0"/>
                <w:kern w:val="0"/>
                <w:sz w:val="24"/>
                <w:szCs w:val="20"/>
                <w:lang w:val="bg-BG"/>
              </w:rPr>
              <w:t>;</w:t>
            </w:r>
          </w:p>
          <w:p w14:paraId="2ADF9DA3" w14:textId="32B61253" w:rsidR="00B01B23" w:rsidRPr="00393600" w:rsidRDefault="00393600" w:rsidP="002F384A">
            <w:pPr>
              <w:numPr>
                <w:ilvl w:val="0"/>
                <w:numId w:val="3"/>
              </w:numPr>
              <w:spacing w:before="120" w:after="120" w:line="240" w:lineRule="auto"/>
              <w:jc w:val="both"/>
              <w:rPr>
                <w:rFonts w:ascii="Times New Roman" w:hAnsi="Times New Roman"/>
                <w:sz w:val="24"/>
                <w:szCs w:val="20"/>
              </w:rPr>
            </w:pPr>
            <w:r w:rsidRPr="00393600">
              <w:rPr>
                <w:rFonts w:ascii="Times New Roman" w:hAnsi="Times New Roman"/>
                <w:sz w:val="24"/>
                <w:szCs w:val="20"/>
              </w:rPr>
              <w:t xml:space="preserve">покриването на </w:t>
            </w:r>
            <w:r w:rsidR="006A2B24" w:rsidRPr="00393600">
              <w:rPr>
                <w:rFonts w:ascii="Times New Roman" w:hAnsi="Times New Roman"/>
                <w:sz w:val="24"/>
                <w:szCs w:val="20"/>
              </w:rPr>
              <w:t>по-</w:t>
            </w:r>
            <w:r w:rsidRPr="00393600">
              <w:rPr>
                <w:rFonts w:ascii="Times New Roman" w:hAnsi="Times New Roman"/>
                <w:sz w:val="24"/>
                <w:szCs w:val="20"/>
              </w:rPr>
              <w:t>голям</w:t>
            </w:r>
            <w:r w:rsidR="006A2B24" w:rsidRPr="00393600">
              <w:rPr>
                <w:rFonts w:ascii="Times New Roman" w:hAnsi="Times New Roman"/>
                <w:sz w:val="24"/>
                <w:szCs w:val="20"/>
              </w:rPr>
              <w:t xml:space="preserve"> брой</w:t>
            </w:r>
            <w:r w:rsidR="00B01B23" w:rsidRPr="00393600">
              <w:rPr>
                <w:rFonts w:ascii="Times New Roman" w:hAnsi="Times New Roman"/>
                <w:sz w:val="24"/>
                <w:szCs w:val="20"/>
              </w:rPr>
              <w:t xml:space="preserve"> население, което ще се възползва от допустимите дейности</w:t>
            </w:r>
            <w:r w:rsidR="00B741E5" w:rsidRPr="00393600">
              <w:rPr>
                <w:rFonts w:ascii="Times New Roman" w:hAnsi="Times New Roman"/>
                <w:sz w:val="24"/>
                <w:szCs w:val="20"/>
              </w:rPr>
              <w:t>;</w:t>
            </w:r>
          </w:p>
          <w:p w14:paraId="5FAF4AA8" w14:textId="0DE9D4AB" w:rsidR="00B01B23" w:rsidRPr="00393600" w:rsidRDefault="002F112A" w:rsidP="002F384A">
            <w:pPr>
              <w:numPr>
                <w:ilvl w:val="0"/>
                <w:numId w:val="3"/>
              </w:numPr>
              <w:spacing w:before="120" w:after="120" w:line="240" w:lineRule="auto"/>
              <w:jc w:val="both"/>
              <w:rPr>
                <w:rFonts w:ascii="Times New Roman" w:hAnsi="Times New Roman"/>
                <w:sz w:val="24"/>
                <w:szCs w:val="20"/>
              </w:rPr>
            </w:pPr>
            <w:r w:rsidRPr="00393600">
              <w:rPr>
                <w:rFonts w:ascii="Times New Roman" w:hAnsi="Times New Roman"/>
                <w:sz w:val="24"/>
                <w:szCs w:val="20"/>
              </w:rPr>
              <w:t>свързаност с общинския център;</w:t>
            </w:r>
          </w:p>
          <w:p w14:paraId="6138F5BD" w14:textId="0965A164" w:rsidR="00B01B23" w:rsidRPr="00393600" w:rsidRDefault="00B01B23" w:rsidP="002F384A">
            <w:pPr>
              <w:numPr>
                <w:ilvl w:val="0"/>
                <w:numId w:val="3"/>
              </w:numPr>
              <w:spacing w:before="120" w:after="280" w:afterAutospacing="1" w:line="240" w:lineRule="auto"/>
              <w:jc w:val="both"/>
              <w:rPr>
                <w:rFonts w:ascii="Times New Roman" w:hAnsi="Times New Roman"/>
                <w:sz w:val="24"/>
                <w:szCs w:val="20"/>
              </w:rPr>
            </w:pPr>
            <w:r w:rsidRPr="00393600">
              <w:rPr>
                <w:rFonts w:ascii="Times New Roman" w:hAnsi="Times New Roman"/>
                <w:sz w:val="24"/>
                <w:szCs w:val="20"/>
              </w:rPr>
              <w:t>иновативни технически решения.</w:t>
            </w:r>
          </w:p>
        </w:tc>
      </w:tr>
    </w:tbl>
    <w:p w14:paraId="432DB98F" w14:textId="77777777" w:rsidR="00B01B23" w:rsidRPr="00535499" w:rsidRDefault="00B01B23" w:rsidP="00B01B23">
      <w:pPr>
        <w:spacing w:before="120" w:after="120" w:line="240" w:lineRule="auto"/>
        <w:jc w:val="both"/>
        <w:rPr>
          <w:rFonts w:ascii="Times New Roman" w:hAnsi="Times New Roman"/>
          <w:sz w:val="24"/>
          <w:szCs w:val="20"/>
        </w:rPr>
      </w:pPr>
    </w:p>
    <w:p w14:paraId="4C3488B4" w14:textId="77777777" w:rsidR="002E0C4D" w:rsidRPr="002E0C4D" w:rsidRDefault="002E0C4D" w:rsidP="002E0C4D">
      <w:pPr>
        <w:keepNext/>
        <w:numPr>
          <w:ilvl w:val="5"/>
          <w:numId w:val="0"/>
        </w:numPr>
        <w:spacing w:before="240" w:after="60" w:line="240" w:lineRule="auto"/>
        <w:outlineLvl w:val="5"/>
        <w:rPr>
          <w:rFonts w:ascii="Arial" w:eastAsia="Times New Roman" w:hAnsi="Arial"/>
          <w:noProof/>
          <w:color w:val="000000"/>
          <w:szCs w:val="20"/>
          <w:lang w:val="fr-BE"/>
        </w:rPr>
      </w:pPr>
      <w:r w:rsidRPr="002E0C4D">
        <w:rPr>
          <w:rFonts w:ascii="Arial" w:eastAsia="Times New Roman" w:hAnsi="Arial"/>
          <w:noProof/>
          <w:color w:val="000000"/>
          <w:szCs w:val="20"/>
          <w:lang w:val="fr-BE"/>
        </w:rPr>
        <w:t>(Приложими) суми и проценти на предоставяната подкрепа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0189395C" w14:textId="77777777" w:rsidTr="002E0C4D">
        <w:tc>
          <w:tcPr>
            <w:tcW w:w="5000" w:type="pct"/>
            <w:shd w:val="clear" w:color="auto" w:fill="FFFFFF"/>
            <w:tcMar>
              <w:top w:w="20" w:type="dxa"/>
              <w:bottom w:w="20" w:type="dxa"/>
            </w:tcMar>
            <w:vAlign w:val="center"/>
          </w:tcPr>
          <w:p w14:paraId="166D2E7F" w14:textId="14B2E3FF" w:rsidR="00D46AAB" w:rsidRPr="00082BC2" w:rsidRDefault="00D46AAB" w:rsidP="002F384A">
            <w:pPr>
              <w:pStyle w:val="Default"/>
              <w:jc w:val="both"/>
            </w:pPr>
            <w:r w:rsidRPr="0009503C">
              <w:rPr>
                <w:rFonts w:ascii="Times New Roman" w:hAnsi="Times New Roman"/>
                <w:szCs w:val="20"/>
                <w:lang w:val="bg-BG"/>
              </w:rPr>
              <w:t xml:space="preserve">Финансовата помощ ще бъде предоставяна в съответствие с </w:t>
            </w:r>
            <w:r w:rsidR="00082BC2" w:rsidRPr="00082BC2">
              <w:rPr>
                <w:rFonts w:ascii="Times New Roman" w:eastAsia="Calibri" w:hAnsi="Times New Roman" w:cs="Times New Roman"/>
                <w:color w:val="auto"/>
                <w:szCs w:val="20"/>
                <w:lang w:val="bg-BG"/>
              </w:rPr>
              <w:t xml:space="preserve">Насоки на ЕС относно прилагането на правилата за държавна помощ във връзка с разполагане на </w:t>
            </w:r>
            <w:r w:rsidR="006150C9">
              <w:rPr>
                <w:rFonts w:ascii="Times New Roman" w:eastAsia="Calibri" w:hAnsi="Times New Roman" w:cs="Times New Roman"/>
                <w:color w:val="auto"/>
                <w:szCs w:val="20"/>
                <w:lang w:val="bg-BG"/>
              </w:rPr>
              <w:t xml:space="preserve">високоскоростни </w:t>
            </w:r>
            <w:r w:rsidR="00082BC2" w:rsidRPr="00082BC2">
              <w:rPr>
                <w:rFonts w:ascii="Times New Roman" w:eastAsia="Calibri" w:hAnsi="Times New Roman" w:cs="Times New Roman"/>
                <w:color w:val="auto"/>
                <w:szCs w:val="20"/>
                <w:lang w:val="bg-BG"/>
              </w:rPr>
              <w:t xml:space="preserve">широколентови мрежи </w:t>
            </w:r>
            <w:r w:rsidR="00082BC2" w:rsidRPr="00082BC2">
              <w:rPr>
                <w:rFonts w:ascii="Times New Roman" w:hAnsi="Times New Roman" w:cs="Times New Roman"/>
                <w:color w:val="auto"/>
                <w:szCs w:val="20"/>
              </w:rPr>
              <w:t>(2013/C 25/01)</w:t>
            </w:r>
            <w:r w:rsidR="00082BC2">
              <w:rPr>
                <w:sz w:val="19"/>
                <w:szCs w:val="19"/>
              </w:rPr>
              <w:t xml:space="preserve"> </w:t>
            </w:r>
            <w:r w:rsidR="0009503C" w:rsidRPr="0009503C">
              <w:rPr>
                <w:rFonts w:ascii="Times New Roman" w:eastAsia="Calibri" w:hAnsi="Times New Roman" w:cs="Times New Roman"/>
                <w:szCs w:val="20"/>
                <w:lang w:val="bg-BG"/>
              </w:rPr>
              <w:t>и Р</w:t>
            </w:r>
            <w:r w:rsidR="00393600">
              <w:rPr>
                <w:rFonts w:ascii="Times New Roman" w:eastAsia="Calibri" w:hAnsi="Times New Roman" w:cs="Times New Roman"/>
                <w:szCs w:val="20"/>
                <w:lang w:val="bg-BG"/>
              </w:rPr>
              <w:t>егламент</w:t>
            </w:r>
            <w:r w:rsidR="0009503C" w:rsidRPr="0009503C">
              <w:rPr>
                <w:rFonts w:ascii="Times New Roman" w:eastAsia="Calibri" w:hAnsi="Times New Roman" w:cs="Times New Roman"/>
                <w:szCs w:val="20"/>
                <w:lang w:val="bg-BG"/>
              </w:rPr>
              <w:t xml:space="preserve"> (ЕС) № 651/2014 на Комисията от 17 юни 2014 година</w:t>
            </w:r>
            <w:r w:rsidR="0009503C">
              <w:rPr>
                <w:rFonts w:ascii="EUAlbertina-Bold" w:hAnsi="EUAlbertina-Bold" w:cs="EUAlbertina-Bold"/>
                <w:b/>
                <w:bCs/>
                <w:sz w:val="19"/>
                <w:szCs w:val="19"/>
              </w:rPr>
              <w:t xml:space="preserve"> </w:t>
            </w:r>
            <w:r w:rsidR="0009503C" w:rsidRPr="0009503C">
              <w:rPr>
                <w:rFonts w:ascii="Times New Roman" w:eastAsia="Calibri" w:hAnsi="Times New Roman" w:cs="Times New Roman"/>
                <w:szCs w:val="20"/>
                <w:lang w:val="bg-BG"/>
              </w:rPr>
              <w:t>за обявяване на някои категории помощи за съвместими с вътрешния пазар в приложение на</w:t>
            </w:r>
            <w:r w:rsidR="0009503C">
              <w:rPr>
                <w:rFonts w:ascii="Times New Roman" w:hAnsi="Times New Roman"/>
                <w:szCs w:val="20"/>
              </w:rPr>
              <w:t xml:space="preserve"> </w:t>
            </w:r>
            <w:r w:rsidR="0009503C" w:rsidRPr="0009503C">
              <w:rPr>
                <w:rFonts w:ascii="Times New Roman" w:eastAsia="Calibri" w:hAnsi="Times New Roman" w:cs="Times New Roman"/>
                <w:szCs w:val="20"/>
                <w:lang w:val="bg-BG"/>
              </w:rPr>
              <w:t>членове 107 и 108 от Договора</w:t>
            </w:r>
            <w:r w:rsidR="0009503C">
              <w:rPr>
                <w:rFonts w:ascii="Times New Roman" w:hAnsi="Times New Roman"/>
                <w:szCs w:val="20"/>
              </w:rPr>
              <w:t>.</w:t>
            </w:r>
          </w:p>
          <w:p w14:paraId="33954BC9" w14:textId="7600D552" w:rsidR="00B01B23" w:rsidRPr="00535499" w:rsidRDefault="00B01B23" w:rsidP="00156C9E">
            <w:pPr>
              <w:autoSpaceDE w:val="0"/>
              <w:autoSpaceDN w:val="0"/>
              <w:adjustRightInd w:val="0"/>
              <w:spacing w:after="0" w:line="240" w:lineRule="auto"/>
              <w:jc w:val="both"/>
              <w:rPr>
                <w:rFonts w:ascii="Times New Roman" w:hAnsi="Times New Roman"/>
                <w:sz w:val="24"/>
                <w:szCs w:val="20"/>
              </w:rPr>
            </w:pPr>
            <w:r w:rsidRPr="00411635">
              <w:rPr>
                <w:rFonts w:ascii="Times New Roman" w:hAnsi="Times New Roman"/>
                <w:sz w:val="24"/>
                <w:szCs w:val="20"/>
              </w:rPr>
              <w:t xml:space="preserve">Финансовата помощ за дейности за създаване на широколентова инфраструктура </w:t>
            </w:r>
            <w:r w:rsidR="003C4E15" w:rsidRPr="00411635">
              <w:rPr>
                <w:rFonts w:ascii="Times New Roman" w:hAnsi="Times New Roman"/>
                <w:sz w:val="24"/>
                <w:szCs w:val="20"/>
              </w:rPr>
              <w:t>ще се определя</w:t>
            </w:r>
            <w:r w:rsidR="00881451" w:rsidRPr="00411635">
              <w:rPr>
                <w:rFonts w:ascii="Times New Roman" w:hAnsi="Times New Roman"/>
                <w:sz w:val="24"/>
                <w:szCs w:val="20"/>
              </w:rPr>
              <w:t xml:space="preserve"> въз основа на анализ Разходи-ползи</w:t>
            </w:r>
            <w:r w:rsidR="00156C9E" w:rsidRPr="00411635">
              <w:rPr>
                <w:rFonts w:ascii="Times New Roman" w:hAnsi="Times New Roman"/>
                <w:sz w:val="24"/>
                <w:szCs w:val="20"/>
              </w:rPr>
              <w:t xml:space="preserve"> по методология </w:t>
            </w:r>
            <w:r w:rsidR="00E41FA4" w:rsidRPr="00411635">
              <w:rPr>
                <w:rFonts w:ascii="Times New Roman" w:hAnsi="Times New Roman"/>
                <w:sz w:val="24"/>
                <w:szCs w:val="20"/>
              </w:rPr>
              <w:t xml:space="preserve">в съответствие с </w:t>
            </w:r>
            <w:r w:rsidR="00060875" w:rsidRPr="00411635">
              <w:rPr>
                <w:rFonts w:ascii="Times New Roman" w:hAnsi="Times New Roman"/>
                <w:sz w:val="24"/>
                <w:szCs w:val="20"/>
              </w:rPr>
              <w:t xml:space="preserve">Насоките на ЕК за Анализ на разходите и ползите от инвестиционните проекти за кохезионната политика за 2014-2020 и </w:t>
            </w:r>
            <w:r w:rsidR="002F384A" w:rsidRPr="00411635">
              <w:rPr>
                <w:rFonts w:ascii="Times New Roman" w:hAnsi="Times New Roman"/>
                <w:sz w:val="24"/>
                <w:szCs w:val="20"/>
              </w:rPr>
              <w:t>Регламент за изпълнение (ЕС) 2015/207 на Комисията</w:t>
            </w:r>
            <w:r w:rsidR="00060875" w:rsidRPr="00411635">
              <w:rPr>
                <w:rFonts w:ascii="Times New Roman" w:hAnsi="Times New Roman"/>
                <w:sz w:val="24"/>
                <w:szCs w:val="20"/>
              </w:rPr>
              <w:t xml:space="preserve"> от 20 януари 2015 година.</w:t>
            </w:r>
          </w:p>
        </w:tc>
      </w:tr>
    </w:tbl>
    <w:p w14:paraId="086A4203" w14:textId="77777777" w:rsidR="00B01B23" w:rsidRPr="00535499" w:rsidRDefault="00B01B23" w:rsidP="00B01B23">
      <w:pPr>
        <w:spacing w:before="120" w:after="120" w:line="240" w:lineRule="auto"/>
        <w:jc w:val="both"/>
        <w:rPr>
          <w:rFonts w:ascii="Times New Roman" w:hAnsi="Times New Roman"/>
          <w:sz w:val="24"/>
          <w:szCs w:val="20"/>
        </w:rPr>
      </w:pPr>
    </w:p>
    <w:p w14:paraId="6F731A6C" w14:textId="77777777" w:rsidR="00520AC4" w:rsidRDefault="00520AC4" w:rsidP="00520AC4">
      <w:pPr>
        <w:keepNext/>
        <w:numPr>
          <w:ilvl w:val="5"/>
          <w:numId w:val="0"/>
        </w:numPr>
        <w:spacing w:before="240" w:after="60" w:line="240" w:lineRule="auto"/>
        <w:outlineLvl w:val="5"/>
        <w:rPr>
          <w:rFonts w:ascii="Arial" w:eastAsia="Times New Roman" w:hAnsi="Arial"/>
          <w:noProof/>
          <w:color w:val="000000"/>
          <w:szCs w:val="20"/>
        </w:rPr>
      </w:pPr>
      <w:r w:rsidRPr="00520AC4">
        <w:rPr>
          <w:rFonts w:ascii="Arial" w:eastAsia="Times New Roman" w:hAnsi="Arial"/>
          <w:noProof/>
          <w:color w:val="000000"/>
          <w:szCs w:val="20"/>
          <w:lang w:val="fr-BE"/>
        </w:rPr>
        <w:t>Доказуемост и възможности за контрол на мерките и/или видовете операции</w:t>
      </w:r>
    </w:p>
    <w:p w14:paraId="2DC98275" w14:textId="77777777" w:rsidR="000541AC" w:rsidRPr="00520AC4" w:rsidRDefault="000541AC" w:rsidP="000541AC">
      <w:pPr>
        <w:keepNext/>
        <w:numPr>
          <w:ilvl w:val="6"/>
          <w:numId w:val="0"/>
        </w:numPr>
        <w:spacing w:before="240" w:after="60" w:line="240" w:lineRule="auto"/>
        <w:outlineLvl w:val="6"/>
        <w:rPr>
          <w:rFonts w:ascii="Arial" w:eastAsia="Times New Roman" w:hAnsi="Arial"/>
          <w:i/>
          <w:noProof/>
          <w:color w:val="000000"/>
          <w:szCs w:val="20"/>
        </w:rPr>
      </w:pPr>
      <w:r w:rsidRPr="000541AC">
        <w:rPr>
          <w:rFonts w:ascii="Arial" w:eastAsia="Times New Roman" w:hAnsi="Arial"/>
          <w:i/>
          <w:noProof/>
          <w:color w:val="000000"/>
          <w:szCs w:val="20"/>
          <w:lang w:val="fr-BE"/>
        </w:rPr>
        <w:t>Риск(ове) при изпълнението на мерките</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33EC8BE4" w14:textId="77777777" w:rsidTr="000541AC">
        <w:tc>
          <w:tcPr>
            <w:tcW w:w="5000" w:type="pct"/>
            <w:shd w:val="clear" w:color="auto" w:fill="FFFFFF"/>
            <w:tcMar>
              <w:top w:w="20" w:type="dxa"/>
              <w:bottom w:w="20" w:type="dxa"/>
            </w:tcMar>
            <w:vAlign w:val="center"/>
          </w:tcPr>
          <w:p w14:paraId="292963F6" w14:textId="234E248E" w:rsidR="003F4E6C" w:rsidRPr="00535499" w:rsidRDefault="00B01B23" w:rsidP="002F384A">
            <w:pPr>
              <w:spacing w:before="120" w:after="280" w:afterAutospacing="1" w:line="240" w:lineRule="auto"/>
              <w:jc w:val="both"/>
              <w:rPr>
                <w:rFonts w:ascii="Times New Roman" w:hAnsi="Times New Roman"/>
                <w:sz w:val="24"/>
                <w:szCs w:val="20"/>
              </w:rPr>
            </w:pPr>
            <w:r w:rsidRPr="002F384A">
              <w:rPr>
                <w:rFonts w:ascii="Times New Roman" w:hAnsi="Times New Roman"/>
                <w:sz w:val="24"/>
                <w:szCs w:val="20"/>
              </w:rPr>
              <w:t>Основен риск по подмярката са процедурите по ЗОП. Сложността на този процес може да доведе до допускането на грешки от страна на бенефициента и до забавянето на изпълнението на дейностите.</w:t>
            </w:r>
          </w:p>
        </w:tc>
      </w:tr>
    </w:tbl>
    <w:p w14:paraId="14BF7429" w14:textId="77777777" w:rsidR="00B01B23" w:rsidRDefault="00B01B23" w:rsidP="00B01B23">
      <w:pPr>
        <w:spacing w:before="120" w:after="120" w:line="240" w:lineRule="auto"/>
        <w:jc w:val="both"/>
        <w:rPr>
          <w:rFonts w:ascii="Times New Roman" w:hAnsi="Times New Roman"/>
          <w:sz w:val="24"/>
          <w:szCs w:val="20"/>
        </w:rPr>
      </w:pPr>
    </w:p>
    <w:p w14:paraId="0FD80391" w14:textId="77777777" w:rsidR="00F37457" w:rsidRPr="00F37457" w:rsidRDefault="00F37457" w:rsidP="00F37457">
      <w:pPr>
        <w:keepNext/>
        <w:numPr>
          <w:ilvl w:val="6"/>
          <w:numId w:val="0"/>
        </w:numPr>
        <w:spacing w:before="240" w:after="60" w:line="240" w:lineRule="auto"/>
        <w:outlineLvl w:val="6"/>
        <w:rPr>
          <w:rFonts w:ascii="Arial" w:eastAsia="Times New Roman" w:hAnsi="Arial"/>
          <w:i/>
          <w:noProof/>
          <w:color w:val="000000"/>
          <w:szCs w:val="20"/>
          <w:lang w:val="fr-BE"/>
        </w:rPr>
      </w:pPr>
      <w:r w:rsidRPr="00F37457">
        <w:rPr>
          <w:rFonts w:ascii="Arial" w:eastAsia="Times New Roman" w:hAnsi="Arial"/>
          <w:i/>
          <w:noProof/>
          <w:color w:val="000000"/>
          <w:szCs w:val="20"/>
          <w:lang w:val="fr-BE"/>
        </w:rPr>
        <w:t>Действия за смекчаване на последиците</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608AE22F" w14:textId="77777777" w:rsidTr="00F37457">
        <w:tc>
          <w:tcPr>
            <w:tcW w:w="5000" w:type="pct"/>
            <w:shd w:val="clear" w:color="auto" w:fill="FFFFFF"/>
            <w:tcMar>
              <w:top w:w="20" w:type="dxa"/>
              <w:bottom w:w="20" w:type="dxa"/>
            </w:tcMar>
            <w:vAlign w:val="center"/>
          </w:tcPr>
          <w:p w14:paraId="6D0D8DC4" w14:textId="77777777" w:rsidR="00B01B23" w:rsidRPr="00180915" w:rsidRDefault="00B01B23" w:rsidP="002F384A">
            <w:pPr>
              <w:pStyle w:val="ListParagraph"/>
              <w:spacing w:before="120" w:after="0" w:line="240" w:lineRule="auto"/>
              <w:ind w:left="0"/>
              <w:jc w:val="both"/>
              <w:rPr>
                <w:rFonts w:ascii="Times New Roman" w:hAnsi="Times New Roman"/>
                <w:sz w:val="24"/>
                <w:szCs w:val="24"/>
                <w:lang w:val="bg-BG"/>
              </w:rPr>
            </w:pPr>
            <w:r w:rsidRPr="00180915">
              <w:rPr>
                <w:rFonts w:ascii="Times New Roman" w:hAnsi="Times New Roman"/>
                <w:sz w:val="24"/>
                <w:szCs w:val="24"/>
                <w:lang w:val="bg-BG"/>
              </w:rPr>
              <w:t xml:space="preserve">С оглед установената </w:t>
            </w:r>
            <w:r w:rsidRPr="00180915">
              <w:rPr>
                <w:rFonts w:ascii="Times New Roman" w:hAnsi="Times New Roman"/>
                <w:sz w:val="24"/>
                <w:szCs w:val="24"/>
              </w:rPr>
              <w:t xml:space="preserve">на национално ниво </w:t>
            </w:r>
            <w:r w:rsidRPr="00180915">
              <w:rPr>
                <w:rFonts w:ascii="Times New Roman" w:hAnsi="Times New Roman"/>
                <w:sz w:val="24"/>
                <w:szCs w:val="24"/>
                <w:lang w:val="bg-BG"/>
              </w:rPr>
              <w:t xml:space="preserve">необходимост от съществено подобрение на системата </w:t>
            </w:r>
            <w:r w:rsidRPr="00FB66F3">
              <w:rPr>
                <w:rFonts w:ascii="Times New Roman" w:hAnsi="Times New Roman"/>
                <w:sz w:val="24"/>
                <w:szCs w:val="24"/>
              </w:rPr>
              <w:t xml:space="preserve">в областта на обществените поръчки </w:t>
            </w:r>
            <w:r w:rsidRPr="00FB66F3">
              <w:rPr>
                <w:rFonts w:ascii="Times New Roman" w:hAnsi="Times New Roman"/>
                <w:sz w:val="24"/>
                <w:szCs w:val="24"/>
                <w:lang w:val="bg-BG"/>
              </w:rPr>
              <w:t xml:space="preserve">и предвид предстоящото разработване на </w:t>
            </w:r>
            <w:r w:rsidRPr="00FB66F3">
              <w:rPr>
                <w:rFonts w:ascii="Times New Roman" w:hAnsi="Times New Roman"/>
                <w:sz w:val="24"/>
                <w:szCs w:val="24"/>
                <w:lang w:val="bg-BG"/>
              </w:rPr>
              <w:lastRenderedPageBreak/>
              <w:t xml:space="preserve">изцяло нов </w:t>
            </w:r>
            <w:r w:rsidRPr="00B0688B">
              <w:rPr>
                <w:rFonts w:ascii="Times New Roman" w:hAnsi="Times New Roman"/>
                <w:sz w:val="24"/>
                <w:szCs w:val="24"/>
              </w:rPr>
              <w:t>ЗОП</w:t>
            </w:r>
            <w:r w:rsidRPr="00B0688B">
              <w:rPr>
                <w:rFonts w:ascii="Times New Roman" w:hAnsi="Times New Roman"/>
                <w:sz w:val="24"/>
                <w:szCs w:val="24"/>
                <w:lang w:val="bg-BG"/>
              </w:rPr>
              <w:t xml:space="preserve">, в началото на м. юли 2014 г. бе приета Национална стратегия за развитите на сектора обществени поръчки за периода 2014 - 2020 г. </w:t>
            </w:r>
            <w:r w:rsidRPr="007A2F97">
              <w:rPr>
                <w:rFonts w:ascii="Times New Roman" w:hAnsi="Times New Roman"/>
                <w:sz w:val="24"/>
                <w:szCs w:val="24"/>
              </w:rPr>
              <w:t xml:space="preserve">и план за нейното изпълнение. </w:t>
            </w:r>
            <w:r w:rsidRPr="007A2F97">
              <w:rPr>
                <w:rFonts w:ascii="Times New Roman" w:hAnsi="Times New Roman"/>
                <w:sz w:val="24"/>
                <w:szCs w:val="24"/>
                <w:lang w:val="bg-BG"/>
              </w:rPr>
              <w:t xml:space="preserve">В тях се съдържат отговорите на повечето установени проблеми при прилагането на подмярката </w:t>
            </w:r>
            <w:r w:rsidRPr="000B14D8">
              <w:rPr>
                <w:rFonts w:ascii="Times New Roman" w:hAnsi="Times New Roman"/>
                <w:sz w:val="24"/>
                <w:szCs w:val="24"/>
                <w:lang w:val="bg-BG"/>
              </w:rPr>
              <w:t xml:space="preserve">през периода 2007 - 2013 г. свързани с </w:t>
            </w:r>
            <w:r w:rsidRPr="002C057B">
              <w:rPr>
                <w:rFonts w:ascii="Times New Roman" w:hAnsi="Times New Roman"/>
                <w:sz w:val="24"/>
                <w:szCs w:val="24"/>
                <w:lang w:val="bg-BG"/>
              </w:rPr>
              <w:t xml:space="preserve">намаляването на процента на грешките </w:t>
            </w:r>
            <w:r w:rsidRPr="00180915">
              <w:rPr>
                <w:rFonts w:ascii="Times New Roman" w:hAnsi="Times New Roman"/>
                <w:sz w:val="24"/>
                <w:szCs w:val="24"/>
                <w:lang w:val="bg-BG"/>
              </w:rPr>
              <w:t xml:space="preserve">допускани при провеждането на обществените поръчки от възложителите, необходимостта от провеждането на </w:t>
            </w:r>
            <w:r>
              <w:rPr>
                <w:rFonts w:ascii="Times New Roman" w:hAnsi="Times New Roman"/>
                <w:sz w:val="24"/>
                <w:szCs w:val="24"/>
                <w:lang w:val="bg-BG"/>
              </w:rPr>
              <w:t xml:space="preserve">задължителни </w:t>
            </w:r>
            <w:r w:rsidRPr="00180915">
              <w:rPr>
                <w:rFonts w:ascii="Times New Roman" w:hAnsi="Times New Roman"/>
                <w:sz w:val="24"/>
                <w:szCs w:val="24"/>
                <w:lang w:val="bg-BG"/>
              </w:rPr>
              <w:t xml:space="preserve">обучения за възложителите и органите осъществяващи контрол съгласно ЗОП и разнопосочни тълкувания на еднакви казуси от </w:t>
            </w:r>
            <w:r w:rsidRPr="00FB66F3">
              <w:rPr>
                <w:rFonts w:ascii="Times New Roman" w:hAnsi="Times New Roman"/>
                <w:sz w:val="24"/>
                <w:szCs w:val="24"/>
                <w:lang w:val="bg-BG"/>
              </w:rPr>
              <w:t>органите осъществяващи контрол в областта на обществените поръчки</w:t>
            </w:r>
            <w:r w:rsidRPr="00B0688B">
              <w:rPr>
                <w:rFonts w:ascii="Times New Roman" w:hAnsi="Times New Roman"/>
                <w:sz w:val="24"/>
                <w:szCs w:val="24"/>
                <w:lang w:val="bg-BG"/>
              </w:rPr>
              <w:t xml:space="preserve">. С въвеждането в националното законодателство на заложените </w:t>
            </w:r>
            <w:r w:rsidRPr="007A2F97">
              <w:rPr>
                <w:rFonts w:ascii="Times New Roman" w:hAnsi="Times New Roman"/>
                <w:sz w:val="24"/>
                <w:szCs w:val="24"/>
                <w:lang w:val="bg-BG"/>
              </w:rPr>
              <w:t>мерки в стратегическите документи в областта на обществените, което е обвързано с</w:t>
            </w:r>
            <w:r w:rsidRPr="00183B71">
              <w:rPr>
                <w:rFonts w:ascii="Times New Roman" w:hAnsi="Times New Roman"/>
                <w:sz w:val="24"/>
                <w:szCs w:val="24"/>
                <w:lang w:val="bg-BG"/>
              </w:rPr>
              <w:t xml:space="preserve"> одобреното </w:t>
            </w:r>
            <w:r w:rsidRPr="000B14D8">
              <w:rPr>
                <w:rFonts w:ascii="Times New Roman" w:hAnsi="Times New Roman"/>
                <w:sz w:val="24"/>
                <w:szCs w:val="24"/>
                <w:lang w:val="bg-BG"/>
              </w:rPr>
              <w:t xml:space="preserve">споразумението за партньорство ще </w:t>
            </w:r>
            <w:r>
              <w:rPr>
                <w:rFonts w:ascii="Times New Roman" w:hAnsi="Times New Roman"/>
                <w:sz w:val="24"/>
                <w:szCs w:val="24"/>
                <w:lang w:val="bg-BG"/>
              </w:rPr>
              <w:t>се постигне и</w:t>
            </w:r>
            <w:r w:rsidRPr="00180915">
              <w:rPr>
                <w:rFonts w:ascii="Times New Roman" w:hAnsi="Times New Roman"/>
                <w:sz w:val="24"/>
                <w:szCs w:val="24"/>
                <w:lang w:val="bg-BG"/>
              </w:rPr>
              <w:t xml:space="preserve"> очаквания осезаем ефект на подобрение </w:t>
            </w:r>
            <w:r>
              <w:rPr>
                <w:rFonts w:ascii="Times New Roman" w:hAnsi="Times New Roman"/>
                <w:sz w:val="24"/>
                <w:szCs w:val="24"/>
                <w:lang w:val="bg-BG"/>
              </w:rPr>
              <w:t>на</w:t>
            </w:r>
            <w:r w:rsidRPr="00180915">
              <w:rPr>
                <w:rFonts w:ascii="Times New Roman" w:hAnsi="Times New Roman"/>
                <w:sz w:val="24"/>
                <w:szCs w:val="24"/>
                <w:lang w:val="bg-BG"/>
              </w:rPr>
              <w:t xml:space="preserve"> отношенията в областта </w:t>
            </w:r>
            <w:r>
              <w:rPr>
                <w:rFonts w:ascii="Times New Roman" w:hAnsi="Times New Roman"/>
                <w:sz w:val="24"/>
                <w:szCs w:val="24"/>
                <w:lang w:val="bg-BG"/>
              </w:rPr>
              <w:t xml:space="preserve">на обществените поръчки </w:t>
            </w:r>
            <w:r w:rsidRPr="00180915">
              <w:rPr>
                <w:rFonts w:ascii="Times New Roman" w:hAnsi="Times New Roman"/>
                <w:sz w:val="24"/>
                <w:szCs w:val="24"/>
                <w:lang w:val="bg-BG"/>
              </w:rPr>
              <w:t>и значително намаляване на грешките допускани от възложителите и контролните органи при прилагането на подмярката през периода 2007 – 2013 г.</w:t>
            </w:r>
          </w:p>
          <w:p w14:paraId="3C048BF8" w14:textId="77777777" w:rsidR="00B01B23" w:rsidRPr="00180915" w:rsidRDefault="00B01B23" w:rsidP="002F384A">
            <w:pPr>
              <w:pStyle w:val="ListParagraph"/>
              <w:spacing w:before="120" w:after="0" w:line="240" w:lineRule="auto"/>
              <w:ind w:left="0"/>
              <w:jc w:val="both"/>
              <w:rPr>
                <w:rFonts w:ascii="Times New Roman" w:hAnsi="Times New Roman"/>
                <w:sz w:val="24"/>
                <w:szCs w:val="24"/>
                <w:lang w:val="bg-BG"/>
              </w:rPr>
            </w:pPr>
            <w:r w:rsidRPr="00180915">
              <w:rPr>
                <w:rFonts w:ascii="Times New Roman" w:hAnsi="Times New Roman"/>
                <w:sz w:val="24"/>
                <w:szCs w:val="24"/>
                <w:lang w:val="bg-BG"/>
              </w:rPr>
              <w:t>За да се подобри прилагането на подмярката</w:t>
            </w:r>
            <w:r>
              <w:rPr>
                <w:rFonts w:ascii="Times New Roman" w:hAnsi="Times New Roman"/>
                <w:sz w:val="24"/>
                <w:szCs w:val="24"/>
                <w:lang w:val="bg-BG"/>
              </w:rPr>
              <w:t>, като дългосрочна мярка която ще се прилага през целия период на изпълнение на подмярката се предвижда</w:t>
            </w:r>
            <w:r w:rsidRPr="00180915">
              <w:rPr>
                <w:rFonts w:ascii="Times New Roman" w:hAnsi="Times New Roman"/>
                <w:sz w:val="24"/>
                <w:szCs w:val="24"/>
                <w:lang w:val="bg-BG"/>
              </w:rPr>
              <w:t xml:space="preserve"> при въвеждането на мерките заложени в стратегическите документи в областта на обществените поръчки в ЗОП </w:t>
            </w:r>
            <w:r>
              <w:rPr>
                <w:rFonts w:ascii="Times New Roman" w:hAnsi="Times New Roman"/>
                <w:sz w:val="24"/>
                <w:szCs w:val="24"/>
                <w:lang w:val="bg-BG"/>
              </w:rPr>
              <w:t>да</w:t>
            </w:r>
            <w:r w:rsidRPr="00180915">
              <w:rPr>
                <w:rFonts w:ascii="Times New Roman" w:hAnsi="Times New Roman"/>
                <w:sz w:val="24"/>
                <w:szCs w:val="24"/>
                <w:lang w:val="bg-BG"/>
              </w:rPr>
              <w:t xml:space="preserve"> се предприемат незабавно мерки за въвеждането им и в наредбата</w:t>
            </w:r>
            <w:r>
              <w:rPr>
                <w:rFonts w:ascii="Times New Roman" w:hAnsi="Times New Roman"/>
                <w:sz w:val="24"/>
                <w:szCs w:val="24"/>
                <w:lang w:val="bg-BG"/>
              </w:rPr>
              <w:t>,</w:t>
            </w:r>
            <w:r w:rsidRPr="00180915">
              <w:rPr>
                <w:rFonts w:ascii="Times New Roman" w:hAnsi="Times New Roman"/>
                <w:sz w:val="24"/>
                <w:szCs w:val="24"/>
                <w:lang w:val="bg-BG"/>
              </w:rPr>
              <w:t xml:space="preserve"> с която ще се регламентират условията и реда за предоставяне на помощта по подмярката.</w:t>
            </w:r>
          </w:p>
          <w:p w14:paraId="157A7500" w14:textId="77777777" w:rsidR="00B01B23" w:rsidRPr="00226E77" w:rsidRDefault="00B01B23" w:rsidP="002F384A">
            <w:pPr>
              <w:pStyle w:val="ListParagraph"/>
              <w:spacing w:before="120" w:after="0" w:line="240" w:lineRule="auto"/>
              <w:ind w:left="0"/>
              <w:jc w:val="both"/>
              <w:rPr>
                <w:rFonts w:ascii="Times New Roman" w:hAnsi="Times New Roman"/>
                <w:sz w:val="24"/>
                <w:szCs w:val="24"/>
              </w:rPr>
            </w:pPr>
            <w:r w:rsidRPr="00226E77">
              <w:rPr>
                <w:rFonts w:ascii="Times New Roman" w:hAnsi="Times New Roman"/>
                <w:sz w:val="24"/>
                <w:szCs w:val="24"/>
              </w:rPr>
              <w:t xml:space="preserve">Като краткосрочни мерки, които ще бъдат предприети за подобряване на прилагането на подмярката е провеждането на обучения в областта на прилагането на ЗОП. </w:t>
            </w:r>
            <w:r w:rsidRPr="00226E77">
              <w:rPr>
                <w:rFonts w:ascii="Times New Roman" w:hAnsi="Times New Roman"/>
                <w:sz w:val="24"/>
                <w:szCs w:val="24"/>
                <w:lang w:val="bg-BG"/>
              </w:rPr>
              <w:t xml:space="preserve">Те </w:t>
            </w:r>
            <w:r w:rsidRPr="00226E77">
              <w:rPr>
                <w:rFonts w:ascii="Times New Roman" w:hAnsi="Times New Roman"/>
                <w:sz w:val="24"/>
                <w:szCs w:val="24"/>
              </w:rPr>
              <w:t xml:space="preserve">ще </w:t>
            </w:r>
            <w:r w:rsidRPr="00226E77">
              <w:rPr>
                <w:rFonts w:ascii="Times New Roman" w:hAnsi="Times New Roman"/>
                <w:sz w:val="24"/>
                <w:szCs w:val="24"/>
                <w:lang w:val="bg-BG"/>
              </w:rPr>
              <w:t xml:space="preserve"> бъдат планирани така че да обхванат максимален брой лица и да се установи базово приемливо ниво на компетентност сред цялата </w:t>
            </w:r>
            <w:r w:rsidRPr="00226E77">
              <w:rPr>
                <w:rFonts w:ascii="Times New Roman" w:hAnsi="Times New Roman"/>
                <w:sz w:val="24"/>
                <w:szCs w:val="24"/>
              </w:rPr>
              <w:t>целева група (</w:t>
            </w:r>
            <w:r w:rsidRPr="00226E77">
              <w:rPr>
                <w:rFonts w:ascii="Times New Roman" w:hAnsi="Times New Roman"/>
                <w:sz w:val="24"/>
                <w:szCs w:val="24"/>
                <w:lang w:val="bg-BG"/>
              </w:rPr>
              <w:t xml:space="preserve">в случая лица, </w:t>
            </w:r>
            <w:r w:rsidRPr="00180915">
              <w:rPr>
                <w:rFonts w:ascii="Times New Roman" w:hAnsi="Times New Roman"/>
                <w:sz w:val="24"/>
                <w:szCs w:val="24"/>
                <w:lang w:val="bg-BG"/>
              </w:rPr>
              <w:t xml:space="preserve">отговорни </w:t>
            </w:r>
            <w:r w:rsidRPr="00226E77">
              <w:rPr>
                <w:rFonts w:ascii="Times New Roman" w:hAnsi="Times New Roman"/>
                <w:sz w:val="24"/>
                <w:szCs w:val="24"/>
                <w:lang w:val="bg-BG"/>
              </w:rPr>
              <w:t>за провеждането на контрола</w:t>
            </w:r>
            <w:r w:rsidRPr="00226E77">
              <w:rPr>
                <w:rFonts w:ascii="Times New Roman" w:hAnsi="Times New Roman"/>
                <w:sz w:val="24"/>
                <w:szCs w:val="24"/>
              </w:rPr>
              <w:t xml:space="preserve">). </w:t>
            </w:r>
            <w:r w:rsidRPr="00226E77">
              <w:rPr>
                <w:rFonts w:ascii="Times New Roman" w:hAnsi="Times New Roman"/>
                <w:sz w:val="24"/>
                <w:szCs w:val="24"/>
                <w:lang w:val="bg-BG"/>
              </w:rPr>
              <w:t>РА ще представя при изготвянето и всяка промяна на контролните листове свързани с осъществяв</w:t>
            </w:r>
            <w:r w:rsidRPr="00180915">
              <w:rPr>
                <w:rFonts w:ascii="Times New Roman" w:hAnsi="Times New Roman"/>
                <w:sz w:val="24"/>
                <w:szCs w:val="24"/>
                <w:lang w:val="bg-BG"/>
              </w:rPr>
              <w:t xml:space="preserve">ане на контрола в областта на обществените поръчки на АОП, </w:t>
            </w:r>
            <w:r>
              <w:rPr>
                <w:rFonts w:ascii="Times New Roman" w:hAnsi="Times New Roman"/>
                <w:sz w:val="24"/>
                <w:szCs w:val="24"/>
                <w:lang w:val="bg-BG"/>
              </w:rPr>
              <w:t>която</w:t>
            </w:r>
            <w:r w:rsidRPr="00180915">
              <w:rPr>
                <w:rFonts w:ascii="Times New Roman" w:hAnsi="Times New Roman"/>
                <w:sz w:val="24"/>
                <w:szCs w:val="24"/>
                <w:lang w:val="bg-BG"/>
              </w:rPr>
              <w:t xml:space="preserve"> в рамките на своите компетентности, ще изразява становище за пълнотата и обективността на предвидените проверки. </w:t>
            </w:r>
            <w:r w:rsidRPr="00226E77">
              <w:rPr>
                <w:rFonts w:ascii="Times New Roman" w:hAnsi="Times New Roman"/>
                <w:sz w:val="24"/>
                <w:szCs w:val="24"/>
                <w:lang w:val="bg-BG"/>
              </w:rPr>
              <w:t xml:space="preserve">Чрез изпълнението на мярката ще се повлияе вероятността от грешки, базирани на различен подход при различните органи, вкл. ще се установи среда на информираност и взаимодействие между РА и АОП, като лица, ангажирани с предварителния контрол. </w:t>
            </w:r>
            <w:r w:rsidRPr="0038565B">
              <w:rPr>
                <w:rFonts w:ascii="Times New Roman" w:hAnsi="Times New Roman"/>
                <w:sz w:val="24"/>
                <w:szCs w:val="24"/>
                <w:lang w:val="bg-BG"/>
              </w:rPr>
              <w:t>Изготвени са указания към бенефициентите по ПРСР за прилагане на ЗОП, които са съгласувани между отговорните институции –</w:t>
            </w:r>
            <w:r>
              <w:rPr>
                <w:rFonts w:ascii="Times New Roman" w:hAnsi="Times New Roman"/>
                <w:sz w:val="24"/>
                <w:szCs w:val="24"/>
                <w:lang w:val="bg-BG"/>
              </w:rPr>
              <w:t xml:space="preserve"> </w:t>
            </w:r>
            <w:r w:rsidRPr="0038565B">
              <w:rPr>
                <w:rFonts w:ascii="Times New Roman" w:hAnsi="Times New Roman"/>
                <w:sz w:val="24"/>
                <w:szCs w:val="24"/>
                <w:lang w:val="bg-BG"/>
              </w:rPr>
              <w:t>АОП, АДФИ и СП</w:t>
            </w:r>
            <w:r>
              <w:rPr>
                <w:rFonts w:ascii="Times New Roman" w:hAnsi="Times New Roman"/>
                <w:sz w:val="24"/>
                <w:szCs w:val="24"/>
                <w:lang w:val="bg-BG"/>
              </w:rPr>
              <w:t xml:space="preserve">, които </w:t>
            </w:r>
            <w:r w:rsidRPr="0038565B">
              <w:rPr>
                <w:rFonts w:ascii="Times New Roman" w:hAnsi="Times New Roman"/>
                <w:sz w:val="24"/>
                <w:szCs w:val="24"/>
                <w:lang w:val="bg-BG"/>
              </w:rPr>
              <w:t>отразяват направените констатации от одиторите на ЕК.</w:t>
            </w:r>
            <w:r w:rsidRPr="00FB66F3">
              <w:rPr>
                <w:rFonts w:ascii="Times New Roman" w:hAnsi="Times New Roman"/>
                <w:sz w:val="24"/>
                <w:szCs w:val="24"/>
              </w:rPr>
              <w:t>, с цел</w:t>
            </w:r>
            <w:r w:rsidRPr="00226E77">
              <w:rPr>
                <w:rFonts w:ascii="Times New Roman" w:hAnsi="Times New Roman"/>
                <w:sz w:val="24"/>
                <w:szCs w:val="24"/>
              </w:rPr>
              <w:t xml:space="preserve"> превенция и удачното им </w:t>
            </w:r>
            <w:r w:rsidRPr="00226E77">
              <w:rPr>
                <w:rFonts w:ascii="Times New Roman" w:hAnsi="Times New Roman"/>
                <w:sz w:val="24"/>
                <w:szCs w:val="24"/>
                <w:lang w:val="bg-BG"/>
              </w:rPr>
              <w:t>консултиране</w:t>
            </w:r>
            <w:r w:rsidRPr="00226E77">
              <w:rPr>
                <w:rFonts w:ascii="Times New Roman" w:hAnsi="Times New Roman"/>
                <w:sz w:val="24"/>
                <w:szCs w:val="24"/>
              </w:rPr>
              <w:t>. По този начин ще с</w:t>
            </w:r>
            <w:r w:rsidRPr="00226E77">
              <w:rPr>
                <w:rFonts w:ascii="Times New Roman" w:hAnsi="Times New Roman"/>
                <w:sz w:val="24"/>
                <w:szCs w:val="24"/>
                <w:lang w:val="bg-BG"/>
              </w:rPr>
              <w:t xml:space="preserve">е </w:t>
            </w:r>
            <w:r w:rsidRPr="00226E77">
              <w:rPr>
                <w:rFonts w:ascii="Times New Roman" w:hAnsi="Times New Roman"/>
                <w:sz w:val="24"/>
                <w:szCs w:val="24"/>
              </w:rPr>
              <w:t>намали</w:t>
            </w:r>
            <w:r w:rsidRPr="00226E77">
              <w:rPr>
                <w:rFonts w:ascii="Times New Roman" w:hAnsi="Times New Roman"/>
                <w:sz w:val="24"/>
                <w:szCs w:val="24"/>
                <w:lang w:val="bg-BG"/>
              </w:rPr>
              <w:t xml:space="preserve"> съществено възможността от последващи административнонаказателни санкции и финансови корекци</w:t>
            </w:r>
            <w:r w:rsidRPr="00226E77">
              <w:rPr>
                <w:rFonts w:ascii="Times New Roman" w:hAnsi="Times New Roman"/>
                <w:sz w:val="24"/>
                <w:szCs w:val="24"/>
              </w:rPr>
              <w:t>и.</w:t>
            </w:r>
            <w:r w:rsidRPr="00FB66F3">
              <w:rPr>
                <w:rFonts w:ascii="Times New Roman" w:hAnsi="Times New Roman"/>
                <w:sz w:val="24"/>
                <w:szCs w:val="24"/>
                <w:lang w:val="bg-BG"/>
              </w:rPr>
              <w:t xml:space="preserve"> РА ще осъществява предварителен и последващ контрол </w:t>
            </w:r>
            <w:r w:rsidRPr="00226E77">
              <w:rPr>
                <w:rFonts w:ascii="Times New Roman" w:hAnsi="Times New Roman"/>
                <w:sz w:val="24"/>
                <w:szCs w:val="24"/>
                <w:lang w:val="bg-BG"/>
              </w:rPr>
              <w:t>върху процедурите за провеждане на обществените поръчки.</w:t>
            </w:r>
          </w:p>
          <w:p w14:paraId="15E7348E" w14:textId="77777777" w:rsidR="00B01B23" w:rsidRDefault="00B01B23" w:rsidP="002F384A">
            <w:pPr>
              <w:spacing w:before="120" w:after="280" w:afterAutospacing="1" w:line="240" w:lineRule="auto"/>
              <w:jc w:val="both"/>
              <w:rPr>
                <w:rFonts w:ascii="Times New Roman" w:hAnsi="Times New Roman"/>
                <w:sz w:val="24"/>
                <w:szCs w:val="20"/>
              </w:rPr>
            </w:pPr>
            <w:r w:rsidRPr="00535499">
              <w:rPr>
                <w:rFonts w:ascii="Times New Roman" w:hAnsi="Times New Roman"/>
                <w:sz w:val="24"/>
                <w:szCs w:val="20"/>
              </w:rPr>
              <w:t>Разплащателната агенция ще разработи указания до бенефициента, относно изискванията към критериите за оценка по процедурите по ЗОП. Контролът по подмярката ще се извършва чрез проверки. Проверките ще включват системни административни проверки на всички заявления за финансова помощ и ще се допълва от проверки на място.</w:t>
            </w:r>
          </w:p>
          <w:p w14:paraId="31673C8E" w14:textId="3A4DD7FB" w:rsidR="00B01B23" w:rsidRPr="00535499" w:rsidRDefault="00B01B23" w:rsidP="00393600">
            <w:pPr>
              <w:spacing w:before="120" w:after="280" w:afterAutospacing="1" w:line="240" w:lineRule="auto"/>
              <w:jc w:val="both"/>
              <w:rPr>
                <w:rFonts w:ascii="Times New Roman" w:hAnsi="Times New Roman"/>
                <w:sz w:val="24"/>
                <w:szCs w:val="20"/>
              </w:rPr>
            </w:pPr>
            <w:r w:rsidRPr="00535499">
              <w:rPr>
                <w:rFonts w:ascii="Times New Roman" w:hAnsi="Times New Roman"/>
                <w:sz w:val="24"/>
                <w:szCs w:val="20"/>
              </w:rPr>
              <w:t xml:space="preserve">Въвеждане на контролни системи, методологии за оценка и образци на документи доказващи социално-икономическото развитие на селския район и устойчивост на </w:t>
            </w:r>
            <w:r>
              <w:rPr>
                <w:rFonts w:ascii="Times New Roman" w:hAnsi="Times New Roman"/>
                <w:sz w:val="24"/>
                <w:szCs w:val="20"/>
              </w:rPr>
              <w:t>дейността</w:t>
            </w:r>
            <w:r w:rsidRPr="00535499">
              <w:rPr>
                <w:rFonts w:ascii="Times New Roman" w:hAnsi="Times New Roman"/>
                <w:sz w:val="24"/>
                <w:szCs w:val="20"/>
              </w:rPr>
              <w:t xml:space="preserve">. Необходимо да се дефинират измерими показатели на ефекта, който </w:t>
            </w:r>
            <w:r>
              <w:rPr>
                <w:rFonts w:ascii="Times New Roman" w:hAnsi="Times New Roman"/>
                <w:sz w:val="24"/>
                <w:szCs w:val="20"/>
              </w:rPr>
              <w:t>дейността</w:t>
            </w:r>
            <w:r w:rsidRPr="00535499">
              <w:rPr>
                <w:rFonts w:ascii="Times New Roman" w:hAnsi="Times New Roman"/>
                <w:sz w:val="24"/>
                <w:szCs w:val="20"/>
              </w:rPr>
              <w:t xml:space="preserve"> ще има върху общността в дългосрочен план и ще гарантира устойчиво продължение и развитие на дейностите, целите и резултатите от </w:t>
            </w:r>
            <w:r>
              <w:rPr>
                <w:rFonts w:ascii="Times New Roman" w:hAnsi="Times New Roman"/>
                <w:sz w:val="24"/>
                <w:szCs w:val="20"/>
              </w:rPr>
              <w:t>тях</w:t>
            </w:r>
            <w:r w:rsidRPr="00535499">
              <w:rPr>
                <w:rFonts w:ascii="Times New Roman" w:hAnsi="Times New Roman"/>
                <w:sz w:val="24"/>
                <w:szCs w:val="20"/>
              </w:rPr>
              <w:t xml:space="preserve">, при спазване изискванията на </w:t>
            </w:r>
            <w:r w:rsidRPr="00535499">
              <w:rPr>
                <w:rFonts w:ascii="Times New Roman" w:hAnsi="Times New Roman"/>
                <w:sz w:val="24"/>
                <w:szCs w:val="20"/>
              </w:rPr>
              <w:lastRenderedPageBreak/>
              <w:t>Регламент 1303/2013 г.</w:t>
            </w:r>
          </w:p>
        </w:tc>
      </w:tr>
    </w:tbl>
    <w:p w14:paraId="5C4364DB" w14:textId="77777777" w:rsidR="00D12F2F" w:rsidRPr="00D12F2F" w:rsidRDefault="00D12F2F" w:rsidP="00D12F2F">
      <w:pPr>
        <w:keepNext/>
        <w:numPr>
          <w:ilvl w:val="6"/>
          <w:numId w:val="0"/>
        </w:numPr>
        <w:spacing w:before="240" w:after="60" w:line="240" w:lineRule="auto"/>
        <w:outlineLvl w:val="6"/>
        <w:rPr>
          <w:rFonts w:ascii="Arial" w:eastAsia="Times New Roman" w:hAnsi="Arial"/>
          <w:i/>
          <w:noProof/>
          <w:color w:val="000000"/>
          <w:szCs w:val="20"/>
          <w:lang w:val="fr-BE"/>
        </w:rPr>
      </w:pPr>
      <w:r w:rsidRPr="00D12F2F">
        <w:rPr>
          <w:rFonts w:ascii="Arial" w:eastAsia="Times New Roman" w:hAnsi="Arial"/>
          <w:i/>
          <w:noProof/>
          <w:color w:val="000000"/>
          <w:szCs w:val="20"/>
          <w:lang w:val="fr-BE"/>
        </w:rPr>
        <w:lastRenderedPageBreak/>
        <w:t>Обща оценка на мярката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1128CE57" w14:textId="77777777" w:rsidTr="00D12F2F">
        <w:tc>
          <w:tcPr>
            <w:tcW w:w="5000" w:type="pct"/>
            <w:shd w:val="clear" w:color="auto" w:fill="FFFFFF"/>
            <w:tcMar>
              <w:top w:w="20" w:type="dxa"/>
              <w:bottom w:w="20" w:type="dxa"/>
            </w:tcMar>
            <w:vAlign w:val="center"/>
          </w:tcPr>
          <w:p w14:paraId="20810851" w14:textId="77777777" w:rsidR="00B01B23" w:rsidRPr="00535499" w:rsidRDefault="00B01B23" w:rsidP="002F384A">
            <w:pPr>
              <w:spacing w:before="120" w:after="280" w:afterAutospacing="1" w:line="240" w:lineRule="auto"/>
              <w:jc w:val="both"/>
              <w:rPr>
                <w:rFonts w:ascii="Times New Roman" w:hAnsi="Times New Roman"/>
                <w:sz w:val="24"/>
                <w:szCs w:val="20"/>
              </w:rPr>
            </w:pPr>
            <w:r w:rsidRPr="00535499">
              <w:rPr>
                <w:rFonts w:ascii="Times New Roman" w:hAnsi="Times New Roman"/>
                <w:sz w:val="24"/>
                <w:szCs w:val="20"/>
              </w:rPr>
              <w:t>Като цяло подмярката е с ниска степен на риск, като най-съществен е риска от забавяне на изпълнението поради по-бавния процес на провеждане на обществени поръчки.</w:t>
            </w:r>
          </w:p>
        </w:tc>
      </w:tr>
    </w:tbl>
    <w:p w14:paraId="65809AF2" w14:textId="77777777" w:rsidR="004F7348" w:rsidRPr="004F7348" w:rsidRDefault="004F7348" w:rsidP="004F7348">
      <w:pPr>
        <w:keepNext/>
        <w:numPr>
          <w:ilvl w:val="5"/>
          <w:numId w:val="0"/>
        </w:numPr>
        <w:spacing w:before="240" w:after="60" w:line="240" w:lineRule="auto"/>
        <w:outlineLvl w:val="5"/>
        <w:rPr>
          <w:rFonts w:ascii="Arial" w:eastAsia="Times New Roman" w:hAnsi="Arial"/>
          <w:noProof/>
          <w:color w:val="000000"/>
          <w:szCs w:val="20"/>
          <w:lang w:val="fr-BE"/>
        </w:rPr>
      </w:pPr>
      <w:r w:rsidRPr="004F7348">
        <w:rPr>
          <w:rFonts w:ascii="Arial" w:eastAsia="Times New Roman" w:hAnsi="Arial"/>
          <w:noProof/>
          <w:color w:val="000000"/>
          <w:szCs w:val="20"/>
          <w:lang w:val="fr-BE"/>
        </w:rPr>
        <w:t>Методология за изчисляване на размера или процента на подпомагане, когато е уместно</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54EAF7E1" w14:textId="77777777" w:rsidTr="004F7348">
        <w:tc>
          <w:tcPr>
            <w:tcW w:w="5000" w:type="pct"/>
            <w:shd w:val="clear" w:color="auto" w:fill="FFFFFF"/>
            <w:tcMar>
              <w:top w:w="20" w:type="dxa"/>
              <w:bottom w:w="20" w:type="dxa"/>
            </w:tcMar>
            <w:vAlign w:val="center"/>
          </w:tcPr>
          <w:p w14:paraId="11C530BA" w14:textId="77777777" w:rsidR="00B01B23" w:rsidRPr="00881451" w:rsidRDefault="00881451" w:rsidP="00881451">
            <w:pPr>
              <w:spacing w:after="240"/>
              <w:rPr>
                <w:szCs w:val="24"/>
              </w:rPr>
            </w:pPr>
            <w:r w:rsidRPr="006C24B9">
              <w:rPr>
                <w:rFonts w:ascii="Times New Roman" w:hAnsi="Times New Roman"/>
                <w:sz w:val="24"/>
                <w:szCs w:val="20"/>
              </w:rPr>
              <w:t>Неприложимо за подмярката.</w:t>
            </w:r>
          </w:p>
        </w:tc>
      </w:tr>
    </w:tbl>
    <w:p w14:paraId="5534684D" w14:textId="77777777" w:rsidR="001838E8" w:rsidRDefault="001838E8" w:rsidP="001838E8">
      <w:pPr>
        <w:keepNext/>
        <w:numPr>
          <w:ilvl w:val="5"/>
          <w:numId w:val="0"/>
        </w:numPr>
        <w:spacing w:before="240" w:after="60" w:line="240" w:lineRule="auto"/>
        <w:outlineLvl w:val="5"/>
        <w:rPr>
          <w:rFonts w:ascii="Arial" w:eastAsia="Times New Roman" w:hAnsi="Arial"/>
          <w:noProof/>
          <w:color w:val="000000"/>
          <w:szCs w:val="20"/>
        </w:rPr>
      </w:pPr>
      <w:r w:rsidRPr="001838E8">
        <w:rPr>
          <w:rFonts w:ascii="Arial" w:eastAsia="Times New Roman" w:hAnsi="Arial"/>
          <w:noProof/>
          <w:color w:val="000000"/>
          <w:szCs w:val="20"/>
          <w:lang w:val="fr-BE"/>
        </w:rPr>
        <w:t>Специфична информация за операцията</w:t>
      </w:r>
    </w:p>
    <w:p w14:paraId="56922B96" w14:textId="77777777" w:rsidR="001838E8" w:rsidRPr="001838E8" w:rsidRDefault="001838E8" w:rsidP="001838E8">
      <w:pPr>
        <w:spacing w:before="120" w:after="120" w:line="240" w:lineRule="auto"/>
        <w:jc w:val="both"/>
        <w:rPr>
          <w:rFonts w:ascii="Arial" w:eastAsia="Times New Roman" w:hAnsi="Arial"/>
          <w:noProof/>
          <w:color w:val="000000"/>
          <w:szCs w:val="20"/>
          <w:lang w:val="fr-BE"/>
        </w:rPr>
      </w:pPr>
      <w:r w:rsidRPr="001838E8">
        <w:rPr>
          <w:rFonts w:ascii="Arial" w:eastAsia="Times New Roman" w:hAnsi="Arial"/>
          <w:noProof/>
          <w:color w:val="000000"/>
          <w:szCs w:val="20"/>
          <w:lang w:val="fr-BE"/>
        </w:rPr>
        <w:t>Ако е приложимо — специална дерогация, която позволява да се подпомага по-голяма инфраструктура при инвестициите в широколентов достъп и енергия от възобновяеми източници</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2E4E4584" w14:textId="77777777" w:rsidTr="001838E8">
        <w:tc>
          <w:tcPr>
            <w:tcW w:w="5000" w:type="pct"/>
            <w:shd w:val="clear" w:color="auto" w:fill="FFFFFF"/>
            <w:tcMar>
              <w:top w:w="20" w:type="dxa"/>
              <w:bottom w:w="20" w:type="dxa"/>
            </w:tcMar>
            <w:vAlign w:val="center"/>
          </w:tcPr>
          <w:p w14:paraId="409EFC9F" w14:textId="2307972B" w:rsidR="00B01B23" w:rsidRPr="001838E8" w:rsidRDefault="003C4E15" w:rsidP="003C4E15">
            <w:pPr>
              <w:spacing w:after="240" w:line="240" w:lineRule="auto"/>
              <w:jc w:val="both"/>
              <w:rPr>
                <w:szCs w:val="24"/>
              </w:rPr>
            </w:pPr>
            <w:r>
              <w:rPr>
                <w:rFonts w:ascii="Times New Roman" w:eastAsia="Times New Roman" w:hAnsi="Times New Roman"/>
                <w:sz w:val="24"/>
                <w:szCs w:val="24"/>
                <w:lang w:eastAsia="bg-BG"/>
              </w:rPr>
              <w:t>М</w:t>
            </w:r>
            <w:r w:rsidRPr="003C4E15">
              <w:rPr>
                <w:rFonts w:ascii="Times New Roman" w:eastAsia="Times New Roman" w:hAnsi="Times New Roman"/>
                <w:sz w:val="24"/>
                <w:szCs w:val="24"/>
                <w:lang w:eastAsia="bg-BG"/>
              </w:rPr>
              <w:t>аксималн</w:t>
            </w:r>
            <w:r>
              <w:rPr>
                <w:rFonts w:ascii="Times New Roman" w:eastAsia="Times New Roman" w:hAnsi="Times New Roman"/>
                <w:sz w:val="24"/>
                <w:szCs w:val="24"/>
                <w:lang w:eastAsia="bg-BG"/>
              </w:rPr>
              <w:t>ият</w:t>
            </w:r>
            <w:r w:rsidRPr="003C4E1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размер</w:t>
            </w:r>
            <w:r w:rsidRPr="003C4E15">
              <w:rPr>
                <w:rFonts w:ascii="Times New Roman" w:eastAsia="Times New Roman" w:hAnsi="Times New Roman"/>
                <w:sz w:val="24"/>
                <w:szCs w:val="24"/>
                <w:lang w:eastAsia="bg-BG"/>
              </w:rPr>
              <w:t xml:space="preserve"> на допустимите разходи за </w:t>
            </w:r>
            <w:r>
              <w:rPr>
                <w:rFonts w:ascii="Times New Roman" w:eastAsia="Times New Roman" w:hAnsi="Times New Roman"/>
                <w:sz w:val="24"/>
                <w:szCs w:val="24"/>
                <w:lang w:eastAsia="bg-BG"/>
              </w:rPr>
              <w:t>проект/проекти, включващи д</w:t>
            </w:r>
            <w:r w:rsidR="001838E8" w:rsidRPr="001838E8">
              <w:rPr>
                <w:rFonts w:ascii="Times New Roman" w:eastAsia="Times New Roman" w:hAnsi="Times New Roman"/>
                <w:sz w:val="24"/>
                <w:szCs w:val="24"/>
                <w:lang w:val="en-US"/>
              </w:rPr>
              <w:t xml:space="preserve">ейности </w:t>
            </w:r>
            <w:r w:rsidRPr="003C4E15">
              <w:rPr>
                <w:rFonts w:ascii="Times New Roman" w:eastAsia="Times New Roman" w:hAnsi="Times New Roman"/>
                <w:sz w:val="24"/>
                <w:szCs w:val="24"/>
              </w:rPr>
              <w:t>за създаване на широколентова инфраструктура за достъп от следващо поколение и осигуряване на активно оборудване за свързаност към облак на електронно управление в белите и сиви зони</w:t>
            </w:r>
            <w:r>
              <w:rPr>
                <w:rFonts w:ascii="Times New Roman" w:eastAsia="Times New Roman" w:hAnsi="Times New Roman"/>
                <w:sz w:val="24"/>
                <w:szCs w:val="24"/>
              </w:rPr>
              <w:t xml:space="preserve"> е в размер до левовата равностойност на 30 000 000 евро.</w:t>
            </w:r>
          </w:p>
        </w:tc>
      </w:tr>
    </w:tbl>
    <w:p w14:paraId="0BCDA60F" w14:textId="77777777" w:rsidR="00B01B23" w:rsidRPr="002F384A" w:rsidRDefault="00B01B23" w:rsidP="00B01B23">
      <w:pPr>
        <w:spacing w:before="120" w:after="120" w:line="240" w:lineRule="auto"/>
        <w:jc w:val="both"/>
        <w:rPr>
          <w:rFonts w:ascii="Times New Roman" w:hAnsi="Times New Roman"/>
          <w:sz w:val="24"/>
          <w:szCs w:val="20"/>
        </w:rPr>
      </w:pPr>
    </w:p>
    <w:p w14:paraId="6B683D67" w14:textId="77777777" w:rsidR="00B01B23" w:rsidRPr="002F384A" w:rsidRDefault="00B01B23" w:rsidP="00B01B23">
      <w:pPr>
        <w:spacing w:before="120" w:after="120" w:line="240" w:lineRule="auto"/>
        <w:jc w:val="both"/>
        <w:rPr>
          <w:rFonts w:ascii="Times New Roman" w:hAnsi="Times New Roman"/>
          <w:sz w:val="24"/>
          <w:szCs w:val="20"/>
        </w:rPr>
      </w:pPr>
      <w:r w:rsidRPr="002F384A">
        <w:rPr>
          <w:rFonts w:ascii="Times New Roman" w:hAnsi="Times New Roman"/>
          <w:sz w:val="24"/>
          <w:szCs w:val="20"/>
        </w:rPr>
        <w:t>The minimum standards for energy efficiency referred to in Article 13(c) of [DA RD – C(2014)1460]</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2F384A" w:rsidRPr="002F384A" w14:paraId="75840F2B" w14:textId="77777777" w:rsidTr="0045184E">
        <w:tc>
          <w:tcPr>
            <w:tcW w:w="450" w:type="pct"/>
            <w:shd w:val="clear" w:color="auto" w:fill="FFFFFF"/>
            <w:tcMar>
              <w:top w:w="20" w:type="dxa"/>
              <w:bottom w:w="20" w:type="dxa"/>
            </w:tcMar>
            <w:vAlign w:val="center"/>
          </w:tcPr>
          <w:p w14:paraId="19087BDA" w14:textId="77777777" w:rsidR="00B01B23" w:rsidRPr="002F384A" w:rsidRDefault="00B01B23" w:rsidP="0045184E">
            <w:pPr>
              <w:spacing w:before="120" w:after="280" w:afterAutospacing="1" w:line="240" w:lineRule="auto"/>
              <w:rPr>
                <w:rFonts w:ascii="Times New Roman" w:hAnsi="Times New Roman"/>
                <w:sz w:val="24"/>
                <w:szCs w:val="20"/>
              </w:rPr>
            </w:pPr>
            <w:r w:rsidRPr="002F384A">
              <w:rPr>
                <w:rFonts w:ascii="Times New Roman" w:hAnsi="Times New Roman"/>
                <w:sz w:val="24"/>
                <w:szCs w:val="20"/>
              </w:rPr>
              <w:t>Неприложимо за подмярката.</w:t>
            </w:r>
          </w:p>
        </w:tc>
      </w:tr>
    </w:tbl>
    <w:p w14:paraId="6646CE91" w14:textId="77777777" w:rsidR="00B01B23" w:rsidRPr="002F384A" w:rsidRDefault="00B01B23" w:rsidP="00B01B23">
      <w:pPr>
        <w:spacing w:before="120" w:after="120" w:line="240" w:lineRule="auto"/>
        <w:jc w:val="both"/>
        <w:rPr>
          <w:rFonts w:ascii="Times New Roman" w:hAnsi="Times New Roman"/>
          <w:sz w:val="24"/>
          <w:szCs w:val="20"/>
        </w:rPr>
      </w:pPr>
    </w:p>
    <w:p w14:paraId="456F8AE2" w14:textId="77777777" w:rsidR="00B01B23" w:rsidRPr="002F384A" w:rsidRDefault="00B01B23" w:rsidP="00B01B23">
      <w:pPr>
        <w:spacing w:before="120" w:after="120" w:line="240" w:lineRule="auto"/>
        <w:jc w:val="both"/>
        <w:rPr>
          <w:rFonts w:ascii="Times New Roman" w:hAnsi="Times New Roman"/>
          <w:sz w:val="24"/>
          <w:szCs w:val="20"/>
        </w:rPr>
      </w:pPr>
      <w:r w:rsidRPr="002F384A">
        <w:rPr>
          <w:rFonts w:ascii="Times New Roman" w:hAnsi="Times New Roman"/>
          <w:sz w:val="24"/>
          <w:szCs w:val="20"/>
        </w:rPr>
        <w:t>Definition of the thresholds referred to in Article 13(e) of [DA RD – C(2014)1460]</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622"/>
      </w:tblGrid>
      <w:tr w:rsidR="00B01B23" w:rsidRPr="00FE26DC" w14:paraId="3F415348" w14:textId="77777777" w:rsidTr="0045184E">
        <w:tc>
          <w:tcPr>
            <w:tcW w:w="450" w:type="pct"/>
            <w:shd w:val="clear" w:color="auto" w:fill="FFFFFF"/>
            <w:tcMar>
              <w:top w:w="20" w:type="dxa"/>
              <w:bottom w:w="20" w:type="dxa"/>
            </w:tcMar>
            <w:vAlign w:val="center"/>
          </w:tcPr>
          <w:p w14:paraId="632FE3C1" w14:textId="77777777" w:rsidR="00B01B23" w:rsidRPr="00535499" w:rsidRDefault="00B01B23" w:rsidP="0045184E">
            <w:pPr>
              <w:spacing w:before="120" w:after="280" w:afterAutospacing="1" w:line="240" w:lineRule="auto"/>
              <w:rPr>
                <w:rFonts w:ascii="Times New Roman" w:hAnsi="Times New Roman"/>
                <w:sz w:val="24"/>
                <w:szCs w:val="20"/>
              </w:rPr>
            </w:pPr>
            <w:r w:rsidRPr="00535499">
              <w:rPr>
                <w:rFonts w:ascii="Times New Roman" w:hAnsi="Times New Roman"/>
                <w:sz w:val="24"/>
                <w:szCs w:val="20"/>
              </w:rPr>
              <w:t>Неприложимо за подмярката.</w:t>
            </w:r>
          </w:p>
        </w:tc>
      </w:tr>
    </w:tbl>
    <w:p w14:paraId="4824C7C6" w14:textId="77777777" w:rsidR="00B04261" w:rsidRDefault="00B04261"/>
    <w:sectPr w:rsidR="00B04261" w:rsidSect="00B04261">
      <w:pgSz w:w="12240" w:h="15840"/>
      <w:pgMar w:top="1417" w:right="1417" w:bottom="1417" w:left="1417"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9A2087" w15:done="0"/>
  <w15:commentEx w15:paraId="22C8676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EUAlbertina-Bold">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A36A3"/>
    <w:multiLevelType w:val="multilevel"/>
    <w:tmpl w:val="B582E6EE"/>
    <w:lvl w:ilvl="0">
      <w:start w:val="7"/>
      <w:numFmt w:val="decimal"/>
      <w:lvlText w:val="%1"/>
      <w:lvlJc w:val="left"/>
      <w:pPr>
        <w:ind w:left="360" w:hanging="360"/>
      </w:pPr>
      <w:rPr>
        <w:rFonts w:ascii="Times New Roman" w:hAnsi="Times New Roman" w:hint="default"/>
        <w:color w:val="auto"/>
        <w:sz w:val="24"/>
      </w:rPr>
    </w:lvl>
    <w:lvl w:ilvl="1">
      <w:start w:val="3"/>
      <w:numFmt w:val="decimal"/>
      <w:lvlText w:val="%1.%2"/>
      <w:lvlJc w:val="left"/>
      <w:pPr>
        <w:ind w:left="360" w:hanging="360"/>
      </w:pPr>
      <w:rPr>
        <w:rFonts w:ascii="Times New Roman" w:hAnsi="Times New Roman" w:hint="default"/>
        <w:color w:val="auto"/>
        <w:sz w:val="24"/>
      </w:rPr>
    </w:lvl>
    <w:lvl w:ilvl="2">
      <w:start w:val="1"/>
      <w:numFmt w:val="decimal"/>
      <w:lvlText w:val="%1.%2.%3"/>
      <w:lvlJc w:val="left"/>
      <w:pPr>
        <w:ind w:left="720" w:hanging="720"/>
      </w:pPr>
      <w:rPr>
        <w:rFonts w:ascii="Times New Roman" w:hAnsi="Times New Roman" w:hint="default"/>
        <w:color w:val="auto"/>
        <w:sz w:val="24"/>
      </w:rPr>
    </w:lvl>
    <w:lvl w:ilvl="3">
      <w:start w:val="1"/>
      <w:numFmt w:val="decimal"/>
      <w:lvlText w:val="%1.%2.%3.%4"/>
      <w:lvlJc w:val="left"/>
      <w:pPr>
        <w:ind w:left="720" w:hanging="720"/>
      </w:pPr>
      <w:rPr>
        <w:rFonts w:ascii="Times New Roman" w:hAnsi="Times New Roman" w:hint="default"/>
        <w:color w:val="auto"/>
        <w:sz w:val="24"/>
      </w:rPr>
    </w:lvl>
    <w:lvl w:ilvl="4">
      <w:start w:val="1"/>
      <w:numFmt w:val="decimal"/>
      <w:lvlText w:val="%1.%2.%3.%4.%5"/>
      <w:lvlJc w:val="left"/>
      <w:pPr>
        <w:ind w:left="1080" w:hanging="1080"/>
      </w:pPr>
      <w:rPr>
        <w:rFonts w:ascii="Times New Roman" w:hAnsi="Times New Roman" w:hint="default"/>
        <w:color w:val="auto"/>
        <w:sz w:val="24"/>
      </w:rPr>
    </w:lvl>
    <w:lvl w:ilvl="5">
      <w:start w:val="1"/>
      <w:numFmt w:val="decimal"/>
      <w:lvlText w:val="%1.%2.%3.%4.%5.%6"/>
      <w:lvlJc w:val="left"/>
      <w:pPr>
        <w:ind w:left="1080" w:hanging="1080"/>
      </w:pPr>
      <w:rPr>
        <w:rFonts w:ascii="Times New Roman" w:hAnsi="Times New Roman" w:hint="default"/>
        <w:color w:val="auto"/>
        <w:sz w:val="24"/>
      </w:rPr>
    </w:lvl>
    <w:lvl w:ilvl="6">
      <w:start w:val="1"/>
      <w:numFmt w:val="decimal"/>
      <w:lvlText w:val="%1.%2.%3.%4.%5.%6.%7"/>
      <w:lvlJc w:val="left"/>
      <w:pPr>
        <w:ind w:left="1440" w:hanging="1440"/>
      </w:pPr>
      <w:rPr>
        <w:rFonts w:ascii="Times New Roman" w:hAnsi="Times New Roman" w:hint="default"/>
        <w:color w:val="auto"/>
        <w:sz w:val="24"/>
      </w:rPr>
    </w:lvl>
    <w:lvl w:ilvl="7">
      <w:start w:val="1"/>
      <w:numFmt w:val="decimal"/>
      <w:lvlText w:val="%1.%2.%3.%4.%5.%6.%7.%8"/>
      <w:lvlJc w:val="left"/>
      <w:pPr>
        <w:ind w:left="1440" w:hanging="1440"/>
      </w:pPr>
      <w:rPr>
        <w:rFonts w:ascii="Times New Roman" w:hAnsi="Times New Roman" w:hint="default"/>
        <w:color w:val="auto"/>
        <w:sz w:val="24"/>
      </w:rPr>
    </w:lvl>
    <w:lvl w:ilvl="8">
      <w:start w:val="1"/>
      <w:numFmt w:val="decimal"/>
      <w:lvlText w:val="%1.%2.%3.%4.%5.%6.%7.%8.%9"/>
      <w:lvlJc w:val="left"/>
      <w:pPr>
        <w:ind w:left="1800" w:hanging="1800"/>
      </w:pPr>
      <w:rPr>
        <w:rFonts w:ascii="Times New Roman" w:hAnsi="Times New Roman" w:hint="default"/>
        <w:color w:val="auto"/>
        <w:sz w:val="24"/>
      </w:rPr>
    </w:lvl>
  </w:abstractNum>
  <w:abstractNum w:abstractNumId="1">
    <w:nsid w:val="72230594"/>
    <w:multiLevelType w:val="hybridMultilevel"/>
    <w:tmpl w:val="BC3A6FF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722305D2"/>
    <w:multiLevelType w:val="hybridMultilevel"/>
    <w:tmpl w:val="722305D2"/>
    <w:lvl w:ilvl="0" w:tplc="0F4C566C">
      <w:start w:val="1"/>
      <w:numFmt w:val="bullet"/>
      <w:lvlText w:val=""/>
      <w:lvlJc w:val="left"/>
      <w:pPr>
        <w:tabs>
          <w:tab w:val="num" w:pos="720"/>
        </w:tabs>
        <w:ind w:left="720" w:hanging="360"/>
      </w:pPr>
      <w:rPr>
        <w:rFonts w:ascii="Symbol" w:hAnsi="Symbol"/>
      </w:rPr>
    </w:lvl>
    <w:lvl w:ilvl="1" w:tplc="08A01D7A">
      <w:start w:val="1"/>
      <w:numFmt w:val="bullet"/>
      <w:lvlText w:val="o"/>
      <w:lvlJc w:val="left"/>
      <w:pPr>
        <w:tabs>
          <w:tab w:val="num" w:pos="1440"/>
        </w:tabs>
        <w:ind w:left="1440" w:hanging="360"/>
      </w:pPr>
      <w:rPr>
        <w:rFonts w:ascii="Courier New" w:hAnsi="Courier New"/>
      </w:rPr>
    </w:lvl>
    <w:lvl w:ilvl="2" w:tplc="5B124CF8">
      <w:start w:val="1"/>
      <w:numFmt w:val="bullet"/>
      <w:lvlText w:val=""/>
      <w:lvlJc w:val="left"/>
      <w:pPr>
        <w:tabs>
          <w:tab w:val="num" w:pos="2160"/>
        </w:tabs>
        <w:ind w:left="2160" w:hanging="360"/>
      </w:pPr>
      <w:rPr>
        <w:rFonts w:ascii="Wingdings" w:hAnsi="Wingdings"/>
      </w:rPr>
    </w:lvl>
    <w:lvl w:ilvl="3" w:tplc="1602B764">
      <w:start w:val="1"/>
      <w:numFmt w:val="bullet"/>
      <w:lvlText w:val=""/>
      <w:lvlJc w:val="left"/>
      <w:pPr>
        <w:tabs>
          <w:tab w:val="num" w:pos="2880"/>
        </w:tabs>
        <w:ind w:left="2880" w:hanging="360"/>
      </w:pPr>
      <w:rPr>
        <w:rFonts w:ascii="Symbol" w:hAnsi="Symbol"/>
      </w:rPr>
    </w:lvl>
    <w:lvl w:ilvl="4" w:tplc="12D609E0">
      <w:start w:val="1"/>
      <w:numFmt w:val="bullet"/>
      <w:lvlText w:val="o"/>
      <w:lvlJc w:val="left"/>
      <w:pPr>
        <w:tabs>
          <w:tab w:val="num" w:pos="3600"/>
        </w:tabs>
        <w:ind w:left="3600" w:hanging="360"/>
      </w:pPr>
      <w:rPr>
        <w:rFonts w:ascii="Courier New" w:hAnsi="Courier New"/>
      </w:rPr>
    </w:lvl>
    <w:lvl w:ilvl="5" w:tplc="241E01F8">
      <w:start w:val="1"/>
      <w:numFmt w:val="bullet"/>
      <w:lvlText w:val=""/>
      <w:lvlJc w:val="left"/>
      <w:pPr>
        <w:tabs>
          <w:tab w:val="num" w:pos="4320"/>
        </w:tabs>
        <w:ind w:left="4320" w:hanging="360"/>
      </w:pPr>
      <w:rPr>
        <w:rFonts w:ascii="Wingdings" w:hAnsi="Wingdings"/>
      </w:rPr>
    </w:lvl>
    <w:lvl w:ilvl="6" w:tplc="EACA0DA8">
      <w:start w:val="1"/>
      <w:numFmt w:val="bullet"/>
      <w:lvlText w:val=""/>
      <w:lvlJc w:val="left"/>
      <w:pPr>
        <w:tabs>
          <w:tab w:val="num" w:pos="5040"/>
        </w:tabs>
        <w:ind w:left="5040" w:hanging="360"/>
      </w:pPr>
      <w:rPr>
        <w:rFonts w:ascii="Symbol" w:hAnsi="Symbol"/>
      </w:rPr>
    </w:lvl>
    <w:lvl w:ilvl="7" w:tplc="35E8665C">
      <w:start w:val="1"/>
      <w:numFmt w:val="bullet"/>
      <w:lvlText w:val="o"/>
      <w:lvlJc w:val="left"/>
      <w:pPr>
        <w:tabs>
          <w:tab w:val="num" w:pos="5760"/>
        </w:tabs>
        <w:ind w:left="5760" w:hanging="360"/>
      </w:pPr>
      <w:rPr>
        <w:rFonts w:ascii="Courier New" w:hAnsi="Courier New"/>
      </w:rPr>
    </w:lvl>
    <w:lvl w:ilvl="8" w:tplc="60F2B312">
      <w:start w:val="1"/>
      <w:numFmt w:val="bullet"/>
      <w:lvlText w:val=""/>
      <w:lvlJc w:val="left"/>
      <w:pPr>
        <w:tabs>
          <w:tab w:val="num" w:pos="6480"/>
        </w:tabs>
        <w:ind w:left="6480" w:hanging="360"/>
      </w:pPr>
      <w:rPr>
        <w:rFonts w:ascii="Wingdings" w:hAnsi="Wingdings"/>
      </w:rPr>
    </w:lvl>
  </w:abstractNum>
  <w:abstractNum w:abstractNumId="3">
    <w:nsid w:val="722305D3"/>
    <w:multiLevelType w:val="hybridMultilevel"/>
    <w:tmpl w:val="722305D3"/>
    <w:lvl w:ilvl="0" w:tplc="5A306716">
      <w:start w:val="1"/>
      <w:numFmt w:val="bullet"/>
      <w:lvlText w:val=""/>
      <w:lvlJc w:val="left"/>
      <w:pPr>
        <w:tabs>
          <w:tab w:val="num" w:pos="720"/>
        </w:tabs>
        <w:ind w:left="720" w:hanging="360"/>
      </w:pPr>
      <w:rPr>
        <w:rFonts w:ascii="Symbol" w:hAnsi="Symbol"/>
      </w:rPr>
    </w:lvl>
    <w:lvl w:ilvl="1" w:tplc="17243482">
      <w:start w:val="1"/>
      <w:numFmt w:val="bullet"/>
      <w:lvlText w:val="o"/>
      <w:lvlJc w:val="left"/>
      <w:pPr>
        <w:tabs>
          <w:tab w:val="num" w:pos="1440"/>
        </w:tabs>
        <w:ind w:left="1440" w:hanging="360"/>
      </w:pPr>
      <w:rPr>
        <w:rFonts w:ascii="Courier New" w:hAnsi="Courier New"/>
      </w:rPr>
    </w:lvl>
    <w:lvl w:ilvl="2" w:tplc="B450E7B8">
      <w:start w:val="1"/>
      <w:numFmt w:val="bullet"/>
      <w:lvlText w:val=""/>
      <w:lvlJc w:val="left"/>
      <w:pPr>
        <w:tabs>
          <w:tab w:val="num" w:pos="2160"/>
        </w:tabs>
        <w:ind w:left="2160" w:hanging="360"/>
      </w:pPr>
      <w:rPr>
        <w:rFonts w:ascii="Wingdings" w:hAnsi="Wingdings"/>
      </w:rPr>
    </w:lvl>
    <w:lvl w:ilvl="3" w:tplc="3A729518">
      <w:start w:val="1"/>
      <w:numFmt w:val="bullet"/>
      <w:lvlText w:val=""/>
      <w:lvlJc w:val="left"/>
      <w:pPr>
        <w:tabs>
          <w:tab w:val="num" w:pos="2880"/>
        </w:tabs>
        <w:ind w:left="2880" w:hanging="360"/>
      </w:pPr>
      <w:rPr>
        <w:rFonts w:ascii="Symbol" w:hAnsi="Symbol"/>
      </w:rPr>
    </w:lvl>
    <w:lvl w:ilvl="4" w:tplc="1FF66D6C">
      <w:start w:val="1"/>
      <w:numFmt w:val="bullet"/>
      <w:lvlText w:val="o"/>
      <w:lvlJc w:val="left"/>
      <w:pPr>
        <w:tabs>
          <w:tab w:val="num" w:pos="3600"/>
        </w:tabs>
        <w:ind w:left="3600" w:hanging="360"/>
      </w:pPr>
      <w:rPr>
        <w:rFonts w:ascii="Courier New" w:hAnsi="Courier New"/>
      </w:rPr>
    </w:lvl>
    <w:lvl w:ilvl="5" w:tplc="2F4E35D0">
      <w:start w:val="1"/>
      <w:numFmt w:val="bullet"/>
      <w:lvlText w:val=""/>
      <w:lvlJc w:val="left"/>
      <w:pPr>
        <w:tabs>
          <w:tab w:val="num" w:pos="4320"/>
        </w:tabs>
        <w:ind w:left="4320" w:hanging="360"/>
      </w:pPr>
      <w:rPr>
        <w:rFonts w:ascii="Wingdings" w:hAnsi="Wingdings"/>
      </w:rPr>
    </w:lvl>
    <w:lvl w:ilvl="6" w:tplc="D0001A94">
      <w:start w:val="1"/>
      <w:numFmt w:val="bullet"/>
      <w:lvlText w:val=""/>
      <w:lvlJc w:val="left"/>
      <w:pPr>
        <w:tabs>
          <w:tab w:val="num" w:pos="5040"/>
        </w:tabs>
        <w:ind w:left="5040" w:hanging="360"/>
      </w:pPr>
      <w:rPr>
        <w:rFonts w:ascii="Symbol" w:hAnsi="Symbol"/>
      </w:rPr>
    </w:lvl>
    <w:lvl w:ilvl="7" w:tplc="F386057E">
      <w:start w:val="1"/>
      <w:numFmt w:val="bullet"/>
      <w:lvlText w:val="o"/>
      <w:lvlJc w:val="left"/>
      <w:pPr>
        <w:tabs>
          <w:tab w:val="num" w:pos="5760"/>
        </w:tabs>
        <w:ind w:left="5760" w:hanging="360"/>
      </w:pPr>
      <w:rPr>
        <w:rFonts w:ascii="Courier New" w:hAnsi="Courier New"/>
      </w:rPr>
    </w:lvl>
    <w:lvl w:ilvl="8" w:tplc="0FBE4A2E">
      <w:start w:val="1"/>
      <w:numFmt w:val="bullet"/>
      <w:lvlText w:val=""/>
      <w:lvlJc w:val="left"/>
      <w:pPr>
        <w:tabs>
          <w:tab w:val="num" w:pos="6480"/>
        </w:tabs>
        <w:ind w:left="6480" w:hanging="360"/>
      </w:pPr>
      <w:rPr>
        <w:rFonts w:ascii="Wingdings" w:hAnsi="Wingdings"/>
      </w:rPr>
    </w:lvl>
  </w:abstractNum>
  <w:abstractNum w:abstractNumId="4">
    <w:nsid w:val="722305D4"/>
    <w:multiLevelType w:val="hybridMultilevel"/>
    <w:tmpl w:val="AD48349A"/>
    <w:lvl w:ilvl="0" w:tplc="6D0A7DEA">
      <w:start w:val="1"/>
      <w:numFmt w:val="bullet"/>
      <w:lvlText w:val=""/>
      <w:lvlJc w:val="left"/>
      <w:pPr>
        <w:tabs>
          <w:tab w:val="num" w:pos="720"/>
        </w:tabs>
        <w:ind w:left="720" w:hanging="360"/>
      </w:pPr>
      <w:rPr>
        <w:rFonts w:ascii="Symbol" w:hAnsi="Symbol"/>
      </w:rPr>
    </w:lvl>
    <w:lvl w:ilvl="1" w:tplc="1DDABF52">
      <w:start w:val="1"/>
      <w:numFmt w:val="bullet"/>
      <w:lvlText w:val="o"/>
      <w:lvlJc w:val="left"/>
      <w:pPr>
        <w:tabs>
          <w:tab w:val="num" w:pos="1440"/>
        </w:tabs>
        <w:ind w:left="1440" w:hanging="360"/>
      </w:pPr>
      <w:rPr>
        <w:rFonts w:ascii="Courier New" w:hAnsi="Courier New"/>
      </w:rPr>
    </w:lvl>
    <w:lvl w:ilvl="2" w:tplc="576AFF22">
      <w:start w:val="1"/>
      <w:numFmt w:val="bullet"/>
      <w:lvlText w:val=""/>
      <w:lvlJc w:val="left"/>
      <w:pPr>
        <w:tabs>
          <w:tab w:val="num" w:pos="2160"/>
        </w:tabs>
        <w:ind w:left="2160" w:hanging="360"/>
      </w:pPr>
      <w:rPr>
        <w:rFonts w:ascii="Wingdings" w:hAnsi="Wingdings"/>
      </w:rPr>
    </w:lvl>
    <w:lvl w:ilvl="3" w:tplc="569E65CE">
      <w:start w:val="1"/>
      <w:numFmt w:val="bullet"/>
      <w:lvlText w:val=""/>
      <w:lvlJc w:val="left"/>
      <w:pPr>
        <w:tabs>
          <w:tab w:val="num" w:pos="2880"/>
        </w:tabs>
        <w:ind w:left="2880" w:hanging="360"/>
      </w:pPr>
      <w:rPr>
        <w:rFonts w:ascii="Symbol" w:hAnsi="Symbol"/>
      </w:rPr>
    </w:lvl>
    <w:lvl w:ilvl="4" w:tplc="EF3211F0">
      <w:start w:val="1"/>
      <w:numFmt w:val="bullet"/>
      <w:lvlText w:val="o"/>
      <w:lvlJc w:val="left"/>
      <w:pPr>
        <w:tabs>
          <w:tab w:val="num" w:pos="3600"/>
        </w:tabs>
        <w:ind w:left="3600" w:hanging="360"/>
      </w:pPr>
      <w:rPr>
        <w:rFonts w:ascii="Courier New" w:hAnsi="Courier New"/>
      </w:rPr>
    </w:lvl>
    <w:lvl w:ilvl="5" w:tplc="8B281AF6">
      <w:start w:val="1"/>
      <w:numFmt w:val="bullet"/>
      <w:lvlText w:val=""/>
      <w:lvlJc w:val="left"/>
      <w:pPr>
        <w:tabs>
          <w:tab w:val="num" w:pos="4320"/>
        </w:tabs>
        <w:ind w:left="4320" w:hanging="360"/>
      </w:pPr>
      <w:rPr>
        <w:rFonts w:ascii="Wingdings" w:hAnsi="Wingdings"/>
      </w:rPr>
    </w:lvl>
    <w:lvl w:ilvl="6" w:tplc="CD666028">
      <w:start w:val="1"/>
      <w:numFmt w:val="bullet"/>
      <w:lvlText w:val=""/>
      <w:lvlJc w:val="left"/>
      <w:pPr>
        <w:tabs>
          <w:tab w:val="num" w:pos="5040"/>
        </w:tabs>
        <w:ind w:left="5040" w:hanging="360"/>
      </w:pPr>
      <w:rPr>
        <w:rFonts w:ascii="Symbol" w:hAnsi="Symbol"/>
      </w:rPr>
    </w:lvl>
    <w:lvl w:ilvl="7" w:tplc="3DA2C204">
      <w:start w:val="1"/>
      <w:numFmt w:val="bullet"/>
      <w:lvlText w:val="o"/>
      <w:lvlJc w:val="left"/>
      <w:pPr>
        <w:tabs>
          <w:tab w:val="num" w:pos="5760"/>
        </w:tabs>
        <w:ind w:left="5760" w:hanging="360"/>
      </w:pPr>
      <w:rPr>
        <w:rFonts w:ascii="Courier New" w:hAnsi="Courier New"/>
      </w:rPr>
    </w:lvl>
    <w:lvl w:ilvl="8" w:tplc="A63AB20E">
      <w:start w:val="1"/>
      <w:numFmt w:val="bullet"/>
      <w:lvlText w:val=""/>
      <w:lvlJc w:val="left"/>
      <w:pPr>
        <w:tabs>
          <w:tab w:val="num" w:pos="6480"/>
        </w:tabs>
        <w:ind w:left="6480" w:hanging="360"/>
      </w:pPr>
      <w:rPr>
        <w:rFonts w:ascii="Wingdings" w:hAnsi="Wingdings"/>
      </w:rPr>
    </w:lvl>
  </w:abstractNum>
  <w:abstractNum w:abstractNumId="5">
    <w:nsid w:val="722305D5"/>
    <w:multiLevelType w:val="hybridMultilevel"/>
    <w:tmpl w:val="722305D5"/>
    <w:lvl w:ilvl="0" w:tplc="954E4308">
      <w:start w:val="1"/>
      <w:numFmt w:val="bullet"/>
      <w:lvlText w:val=""/>
      <w:lvlJc w:val="left"/>
      <w:pPr>
        <w:tabs>
          <w:tab w:val="num" w:pos="720"/>
        </w:tabs>
        <w:ind w:left="720" w:hanging="360"/>
      </w:pPr>
      <w:rPr>
        <w:rFonts w:ascii="Symbol" w:hAnsi="Symbol"/>
      </w:rPr>
    </w:lvl>
    <w:lvl w:ilvl="1" w:tplc="1352B168">
      <w:start w:val="1"/>
      <w:numFmt w:val="bullet"/>
      <w:lvlText w:val="o"/>
      <w:lvlJc w:val="left"/>
      <w:pPr>
        <w:tabs>
          <w:tab w:val="num" w:pos="1440"/>
        </w:tabs>
        <w:ind w:left="1440" w:hanging="360"/>
      </w:pPr>
      <w:rPr>
        <w:rFonts w:ascii="Courier New" w:hAnsi="Courier New"/>
      </w:rPr>
    </w:lvl>
    <w:lvl w:ilvl="2" w:tplc="72D4ABC6">
      <w:start w:val="1"/>
      <w:numFmt w:val="bullet"/>
      <w:lvlText w:val=""/>
      <w:lvlJc w:val="left"/>
      <w:pPr>
        <w:tabs>
          <w:tab w:val="num" w:pos="2160"/>
        </w:tabs>
        <w:ind w:left="2160" w:hanging="360"/>
      </w:pPr>
      <w:rPr>
        <w:rFonts w:ascii="Wingdings" w:hAnsi="Wingdings"/>
      </w:rPr>
    </w:lvl>
    <w:lvl w:ilvl="3" w:tplc="7ECA6864">
      <w:start w:val="1"/>
      <w:numFmt w:val="bullet"/>
      <w:lvlText w:val=""/>
      <w:lvlJc w:val="left"/>
      <w:pPr>
        <w:tabs>
          <w:tab w:val="num" w:pos="2880"/>
        </w:tabs>
        <w:ind w:left="2880" w:hanging="360"/>
      </w:pPr>
      <w:rPr>
        <w:rFonts w:ascii="Symbol" w:hAnsi="Symbol"/>
      </w:rPr>
    </w:lvl>
    <w:lvl w:ilvl="4" w:tplc="51F6AB96">
      <w:start w:val="1"/>
      <w:numFmt w:val="bullet"/>
      <w:lvlText w:val="o"/>
      <w:lvlJc w:val="left"/>
      <w:pPr>
        <w:tabs>
          <w:tab w:val="num" w:pos="3600"/>
        </w:tabs>
        <w:ind w:left="3600" w:hanging="360"/>
      </w:pPr>
      <w:rPr>
        <w:rFonts w:ascii="Courier New" w:hAnsi="Courier New"/>
      </w:rPr>
    </w:lvl>
    <w:lvl w:ilvl="5" w:tplc="23503D80">
      <w:start w:val="1"/>
      <w:numFmt w:val="bullet"/>
      <w:lvlText w:val=""/>
      <w:lvlJc w:val="left"/>
      <w:pPr>
        <w:tabs>
          <w:tab w:val="num" w:pos="4320"/>
        </w:tabs>
        <w:ind w:left="4320" w:hanging="360"/>
      </w:pPr>
      <w:rPr>
        <w:rFonts w:ascii="Wingdings" w:hAnsi="Wingdings"/>
      </w:rPr>
    </w:lvl>
    <w:lvl w:ilvl="6" w:tplc="EB5E0646">
      <w:start w:val="1"/>
      <w:numFmt w:val="bullet"/>
      <w:lvlText w:val=""/>
      <w:lvlJc w:val="left"/>
      <w:pPr>
        <w:tabs>
          <w:tab w:val="num" w:pos="5040"/>
        </w:tabs>
        <w:ind w:left="5040" w:hanging="360"/>
      </w:pPr>
      <w:rPr>
        <w:rFonts w:ascii="Symbol" w:hAnsi="Symbol"/>
      </w:rPr>
    </w:lvl>
    <w:lvl w:ilvl="7" w:tplc="EE862A32">
      <w:start w:val="1"/>
      <w:numFmt w:val="bullet"/>
      <w:lvlText w:val="o"/>
      <w:lvlJc w:val="left"/>
      <w:pPr>
        <w:tabs>
          <w:tab w:val="num" w:pos="5760"/>
        </w:tabs>
        <w:ind w:left="5760" w:hanging="360"/>
      </w:pPr>
      <w:rPr>
        <w:rFonts w:ascii="Courier New" w:hAnsi="Courier New"/>
      </w:rPr>
    </w:lvl>
    <w:lvl w:ilvl="8" w:tplc="28FE2156">
      <w:start w:val="1"/>
      <w:numFmt w:val="bullet"/>
      <w:lvlText w:val=""/>
      <w:lvlJc w:val="left"/>
      <w:pPr>
        <w:tabs>
          <w:tab w:val="num" w:pos="6480"/>
        </w:tabs>
        <w:ind w:left="6480" w:hanging="360"/>
      </w:pPr>
      <w:rPr>
        <w:rFonts w:ascii="Wingdings" w:hAnsi="Wingdings"/>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asimir Simonski">
    <w15:presenceInfo w15:providerId="None" w15:userId="Krasimir Simon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B23"/>
    <w:rsid w:val="000541AC"/>
    <w:rsid w:val="00060875"/>
    <w:rsid w:val="00080C99"/>
    <w:rsid w:val="00082BC2"/>
    <w:rsid w:val="0009476E"/>
    <w:rsid w:val="0009503C"/>
    <w:rsid w:val="000E4A6F"/>
    <w:rsid w:val="00104CD0"/>
    <w:rsid w:val="00156C9E"/>
    <w:rsid w:val="00176BAC"/>
    <w:rsid w:val="00180AF0"/>
    <w:rsid w:val="001838E8"/>
    <w:rsid w:val="001A2F81"/>
    <w:rsid w:val="001A70F8"/>
    <w:rsid w:val="002913B3"/>
    <w:rsid w:val="002E0C4D"/>
    <w:rsid w:val="002F112A"/>
    <w:rsid w:val="002F384A"/>
    <w:rsid w:val="0032628C"/>
    <w:rsid w:val="0035412E"/>
    <w:rsid w:val="00393600"/>
    <w:rsid w:val="003C4E15"/>
    <w:rsid w:val="003F4E6C"/>
    <w:rsid w:val="00411635"/>
    <w:rsid w:val="00427D1A"/>
    <w:rsid w:val="00496946"/>
    <w:rsid w:val="004F7348"/>
    <w:rsid w:val="00520AC4"/>
    <w:rsid w:val="00522D7C"/>
    <w:rsid w:val="005251D7"/>
    <w:rsid w:val="005671DB"/>
    <w:rsid w:val="005901D4"/>
    <w:rsid w:val="005A0BFB"/>
    <w:rsid w:val="005A2A95"/>
    <w:rsid w:val="005A67C5"/>
    <w:rsid w:val="006150C9"/>
    <w:rsid w:val="006A2B24"/>
    <w:rsid w:val="006C24B9"/>
    <w:rsid w:val="007A1F86"/>
    <w:rsid w:val="00826213"/>
    <w:rsid w:val="00851197"/>
    <w:rsid w:val="00881451"/>
    <w:rsid w:val="00883A52"/>
    <w:rsid w:val="008F7978"/>
    <w:rsid w:val="009049E4"/>
    <w:rsid w:val="0091622B"/>
    <w:rsid w:val="00951837"/>
    <w:rsid w:val="009F2424"/>
    <w:rsid w:val="00A32B7E"/>
    <w:rsid w:val="00A443C8"/>
    <w:rsid w:val="00AA4950"/>
    <w:rsid w:val="00AD6E75"/>
    <w:rsid w:val="00B01B23"/>
    <w:rsid w:val="00B04261"/>
    <w:rsid w:val="00B11D46"/>
    <w:rsid w:val="00B36DBD"/>
    <w:rsid w:val="00B741E5"/>
    <w:rsid w:val="00B8564A"/>
    <w:rsid w:val="00BA497C"/>
    <w:rsid w:val="00C6341D"/>
    <w:rsid w:val="00CD7409"/>
    <w:rsid w:val="00CE359F"/>
    <w:rsid w:val="00D0074F"/>
    <w:rsid w:val="00D12F2F"/>
    <w:rsid w:val="00D25F84"/>
    <w:rsid w:val="00D46AAB"/>
    <w:rsid w:val="00D87C31"/>
    <w:rsid w:val="00DE57F1"/>
    <w:rsid w:val="00DF2F89"/>
    <w:rsid w:val="00E0615E"/>
    <w:rsid w:val="00E41FA4"/>
    <w:rsid w:val="00E72FA5"/>
    <w:rsid w:val="00E86AC9"/>
    <w:rsid w:val="00EB7C8A"/>
    <w:rsid w:val="00ED63D7"/>
    <w:rsid w:val="00EE0E63"/>
    <w:rsid w:val="00F37457"/>
    <w:rsid w:val="00F53310"/>
    <w:rsid w:val="00F64EA8"/>
    <w:rsid w:val="00FB5736"/>
    <w:rsid w:val="00FE46D1"/>
    <w:rsid w:val="00FF5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A0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firstLine="70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B23"/>
    <w:pPr>
      <w:spacing w:after="200"/>
      <w:ind w:firstLine="0"/>
      <w:jc w:val="left"/>
    </w:pPr>
    <w:rPr>
      <w:rFonts w:ascii="Calibri" w:eastAsia="Calibri" w:hAnsi="Calibri" w:cs="Times New Roman"/>
      <w:lang w:val="bg-BG"/>
    </w:rPr>
  </w:style>
  <w:style w:type="paragraph" w:styleId="Heading1">
    <w:name w:val="heading 1"/>
    <w:basedOn w:val="Normal"/>
    <w:link w:val="Heading1Char"/>
    <w:uiPriority w:val="9"/>
    <w:qFormat/>
    <w:rsid w:val="00D25F84"/>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B23"/>
    <w:pPr>
      <w:ind w:left="720"/>
      <w:contextualSpacing/>
    </w:pPr>
    <w:rPr>
      <w:lang w:val="en-US"/>
    </w:rPr>
  </w:style>
  <w:style w:type="character" w:customStyle="1" w:styleId="Heading1Char">
    <w:name w:val="Heading 1 Char"/>
    <w:basedOn w:val="DefaultParagraphFont"/>
    <w:link w:val="Heading1"/>
    <w:uiPriority w:val="9"/>
    <w:rsid w:val="00D25F84"/>
    <w:rPr>
      <w:rFonts w:ascii="Times New Roman" w:eastAsia="Times New Roman" w:hAnsi="Times New Roman" w:cs="Times New Roman"/>
      <w:b/>
      <w:bCs/>
      <w:kern w:val="36"/>
      <w:sz w:val="48"/>
      <w:szCs w:val="48"/>
    </w:rPr>
  </w:style>
  <w:style w:type="paragraph" w:customStyle="1" w:styleId="Default">
    <w:name w:val="Default"/>
    <w:rsid w:val="00082BC2"/>
    <w:pPr>
      <w:autoSpaceDE w:val="0"/>
      <w:autoSpaceDN w:val="0"/>
      <w:adjustRightInd w:val="0"/>
      <w:spacing w:line="240" w:lineRule="auto"/>
      <w:ind w:firstLine="0"/>
      <w:jc w:val="left"/>
    </w:pPr>
    <w:rPr>
      <w:rFonts w:ascii="EUAlbertina" w:hAnsi="EUAlbertina" w:cs="EUAlbertina"/>
      <w:color w:val="000000"/>
      <w:sz w:val="24"/>
      <w:szCs w:val="24"/>
    </w:rPr>
  </w:style>
  <w:style w:type="paragraph" w:customStyle="1" w:styleId="CM1">
    <w:name w:val="CM1"/>
    <w:basedOn w:val="Default"/>
    <w:next w:val="Default"/>
    <w:uiPriority w:val="99"/>
    <w:rsid w:val="00082BC2"/>
    <w:rPr>
      <w:rFonts w:cstheme="minorBidi"/>
      <w:color w:val="auto"/>
    </w:rPr>
  </w:style>
  <w:style w:type="paragraph" w:customStyle="1" w:styleId="CM3">
    <w:name w:val="CM3"/>
    <w:basedOn w:val="Default"/>
    <w:next w:val="Default"/>
    <w:uiPriority w:val="99"/>
    <w:rsid w:val="00082BC2"/>
    <w:rPr>
      <w:rFonts w:cstheme="minorBidi"/>
      <w:color w:val="auto"/>
    </w:rPr>
  </w:style>
  <w:style w:type="paragraph" w:customStyle="1" w:styleId="CM4">
    <w:name w:val="CM4"/>
    <w:basedOn w:val="Default"/>
    <w:next w:val="Default"/>
    <w:uiPriority w:val="99"/>
    <w:rsid w:val="00082BC2"/>
    <w:rPr>
      <w:rFonts w:cstheme="minorBidi"/>
      <w:color w:val="auto"/>
    </w:rPr>
  </w:style>
  <w:style w:type="character" w:styleId="CommentReference">
    <w:name w:val="annotation reference"/>
    <w:basedOn w:val="DefaultParagraphFont"/>
    <w:uiPriority w:val="99"/>
    <w:semiHidden/>
    <w:unhideWhenUsed/>
    <w:rsid w:val="003F4E6C"/>
    <w:rPr>
      <w:sz w:val="16"/>
      <w:szCs w:val="16"/>
    </w:rPr>
  </w:style>
  <w:style w:type="paragraph" w:styleId="CommentText">
    <w:name w:val="annotation text"/>
    <w:basedOn w:val="Normal"/>
    <w:link w:val="CommentTextChar"/>
    <w:uiPriority w:val="99"/>
    <w:semiHidden/>
    <w:unhideWhenUsed/>
    <w:rsid w:val="003F4E6C"/>
    <w:pPr>
      <w:spacing w:line="240" w:lineRule="auto"/>
    </w:pPr>
    <w:rPr>
      <w:sz w:val="20"/>
      <w:szCs w:val="20"/>
    </w:rPr>
  </w:style>
  <w:style w:type="character" w:customStyle="1" w:styleId="CommentTextChar">
    <w:name w:val="Comment Text Char"/>
    <w:basedOn w:val="DefaultParagraphFont"/>
    <w:link w:val="CommentText"/>
    <w:uiPriority w:val="99"/>
    <w:semiHidden/>
    <w:rsid w:val="003F4E6C"/>
    <w:rPr>
      <w:rFonts w:ascii="Calibri" w:eastAsia="Calibri" w:hAnsi="Calibri"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3F4E6C"/>
    <w:rPr>
      <w:b/>
      <w:bCs/>
    </w:rPr>
  </w:style>
  <w:style w:type="character" w:customStyle="1" w:styleId="CommentSubjectChar">
    <w:name w:val="Comment Subject Char"/>
    <w:basedOn w:val="CommentTextChar"/>
    <w:link w:val="CommentSubject"/>
    <w:uiPriority w:val="99"/>
    <w:semiHidden/>
    <w:rsid w:val="003F4E6C"/>
    <w:rPr>
      <w:rFonts w:ascii="Calibri" w:eastAsia="Calibri" w:hAnsi="Calibri" w:cs="Times New Roman"/>
      <w:b/>
      <w:bCs/>
      <w:sz w:val="20"/>
      <w:szCs w:val="20"/>
      <w:lang w:val="bg-BG"/>
    </w:rPr>
  </w:style>
  <w:style w:type="paragraph" w:styleId="BalloonText">
    <w:name w:val="Balloon Text"/>
    <w:basedOn w:val="Normal"/>
    <w:link w:val="BalloonTextChar"/>
    <w:uiPriority w:val="99"/>
    <w:semiHidden/>
    <w:unhideWhenUsed/>
    <w:rsid w:val="003F4E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E6C"/>
    <w:rPr>
      <w:rFonts w:ascii="Segoe UI" w:eastAsia="Calibri" w:hAnsi="Segoe UI" w:cs="Segoe UI"/>
      <w:sz w:val="18"/>
      <w:szCs w:val="1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firstLine="70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B23"/>
    <w:pPr>
      <w:spacing w:after="200"/>
      <w:ind w:firstLine="0"/>
      <w:jc w:val="left"/>
    </w:pPr>
    <w:rPr>
      <w:rFonts w:ascii="Calibri" w:eastAsia="Calibri" w:hAnsi="Calibri" w:cs="Times New Roman"/>
      <w:lang w:val="bg-BG"/>
    </w:rPr>
  </w:style>
  <w:style w:type="paragraph" w:styleId="Heading1">
    <w:name w:val="heading 1"/>
    <w:basedOn w:val="Normal"/>
    <w:link w:val="Heading1Char"/>
    <w:uiPriority w:val="9"/>
    <w:qFormat/>
    <w:rsid w:val="00D25F84"/>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B23"/>
    <w:pPr>
      <w:ind w:left="720"/>
      <w:contextualSpacing/>
    </w:pPr>
    <w:rPr>
      <w:lang w:val="en-US"/>
    </w:rPr>
  </w:style>
  <w:style w:type="character" w:customStyle="1" w:styleId="Heading1Char">
    <w:name w:val="Heading 1 Char"/>
    <w:basedOn w:val="DefaultParagraphFont"/>
    <w:link w:val="Heading1"/>
    <w:uiPriority w:val="9"/>
    <w:rsid w:val="00D25F84"/>
    <w:rPr>
      <w:rFonts w:ascii="Times New Roman" w:eastAsia="Times New Roman" w:hAnsi="Times New Roman" w:cs="Times New Roman"/>
      <w:b/>
      <w:bCs/>
      <w:kern w:val="36"/>
      <w:sz w:val="48"/>
      <w:szCs w:val="48"/>
    </w:rPr>
  </w:style>
  <w:style w:type="paragraph" w:customStyle="1" w:styleId="Default">
    <w:name w:val="Default"/>
    <w:rsid w:val="00082BC2"/>
    <w:pPr>
      <w:autoSpaceDE w:val="0"/>
      <w:autoSpaceDN w:val="0"/>
      <w:adjustRightInd w:val="0"/>
      <w:spacing w:line="240" w:lineRule="auto"/>
      <w:ind w:firstLine="0"/>
      <w:jc w:val="left"/>
    </w:pPr>
    <w:rPr>
      <w:rFonts w:ascii="EUAlbertina" w:hAnsi="EUAlbertina" w:cs="EUAlbertina"/>
      <w:color w:val="000000"/>
      <w:sz w:val="24"/>
      <w:szCs w:val="24"/>
    </w:rPr>
  </w:style>
  <w:style w:type="paragraph" w:customStyle="1" w:styleId="CM1">
    <w:name w:val="CM1"/>
    <w:basedOn w:val="Default"/>
    <w:next w:val="Default"/>
    <w:uiPriority w:val="99"/>
    <w:rsid w:val="00082BC2"/>
    <w:rPr>
      <w:rFonts w:cstheme="minorBidi"/>
      <w:color w:val="auto"/>
    </w:rPr>
  </w:style>
  <w:style w:type="paragraph" w:customStyle="1" w:styleId="CM3">
    <w:name w:val="CM3"/>
    <w:basedOn w:val="Default"/>
    <w:next w:val="Default"/>
    <w:uiPriority w:val="99"/>
    <w:rsid w:val="00082BC2"/>
    <w:rPr>
      <w:rFonts w:cstheme="minorBidi"/>
      <w:color w:val="auto"/>
    </w:rPr>
  </w:style>
  <w:style w:type="paragraph" w:customStyle="1" w:styleId="CM4">
    <w:name w:val="CM4"/>
    <w:basedOn w:val="Default"/>
    <w:next w:val="Default"/>
    <w:uiPriority w:val="99"/>
    <w:rsid w:val="00082BC2"/>
    <w:rPr>
      <w:rFonts w:cstheme="minorBidi"/>
      <w:color w:val="auto"/>
    </w:rPr>
  </w:style>
  <w:style w:type="character" w:styleId="CommentReference">
    <w:name w:val="annotation reference"/>
    <w:basedOn w:val="DefaultParagraphFont"/>
    <w:uiPriority w:val="99"/>
    <w:semiHidden/>
    <w:unhideWhenUsed/>
    <w:rsid w:val="003F4E6C"/>
    <w:rPr>
      <w:sz w:val="16"/>
      <w:szCs w:val="16"/>
    </w:rPr>
  </w:style>
  <w:style w:type="paragraph" w:styleId="CommentText">
    <w:name w:val="annotation text"/>
    <w:basedOn w:val="Normal"/>
    <w:link w:val="CommentTextChar"/>
    <w:uiPriority w:val="99"/>
    <w:semiHidden/>
    <w:unhideWhenUsed/>
    <w:rsid w:val="003F4E6C"/>
    <w:pPr>
      <w:spacing w:line="240" w:lineRule="auto"/>
    </w:pPr>
    <w:rPr>
      <w:sz w:val="20"/>
      <w:szCs w:val="20"/>
    </w:rPr>
  </w:style>
  <w:style w:type="character" w:customStyle="1" w:styleId="CommentTextChar">
    <w:name w:val="Comment Text Char"/>
    <w:basedOn w:val="DefaultParagraphFont"/>
    <w:link w:val="CommentText"/>
    <w:uiPriority w:val="99"/>
    <w:semiHidden/>
    <w:rsid w:val="003F4E6C"/>
    <w:rPr>
      <w:rFonts w:ascii="Calibri" w:eastAsia="Calibri" w:hAnsi="Calibri"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3F4E6C"/>
    <w:rPr>
      <w:b/>
      <w:bCs/>
    </w:rPr>
  </w:style>
  <w:style w:type="character" w:customStyle="1" w:styleId="CommentSubjectChar">
    <w:name w:val="Comment Subject Char"/>
    <w:basedOn w:val="CommentTextChar"/>
    <w:link w:val="CommentSubject"/>
    <w:uiPriority w:val="99"/>
    <w:semiHidden/>
    <w:rsid w:val="003F4E6C"/>
    <w:rPr>
      <w:rFonts w:ascii="Calibri" w:eastAsia="Calibri" w:hAnsi="Calibri" w:cs="Times New Roman"/>
      <w:b/>
      <w:bCs/>
      <w:sz w:val="20"/>
      <w:szCs w:val="20"/>
      <w:lang w:val="bg-BG"/>
    </w:rPr>
  </w:style>
  <w:style w:type="paragraph" w:styleId="BalloonText">
    <w:name w:val="Balloon Text"/>
    <w:basedOn w:val="Normal"/>
    <w:link w:val="BalloonTextChar"/>
    <w:uiPriority w:val="99"/>
    <w:semiHidden/>
    <w:unhideWhenUsed/>
    <w:rsid w:val="003F4E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E6C"/>
    <w:rPr>
      <w:rFonts w:ascii="Segoe UI" w:eastAsia="Calibr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22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AA6F2-1A05-4F56-AD13-C1356B320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2007</Words>
  <Characters>11444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13425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pgeorgieva</dc:creator>
  <cp:lastModifiedBy>Snezhana Grigorova</cp:lastModifiedBy>
  <cp:revision>2</cp:revision>
  <dcterms:created xsi:type="dcterms:W3CDTF">2016-12-13T13:21:00Z</dcterms:created>
  <dcterms:modified xsi:type="dcterms:W3CDTF">2016-12-13T13:21:00Z</dcterms:modified>
</cp:coreProperties>
</file>