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Pr="00A24F2C" w:rsidRDefault="001A7BC4" w:rsidP="00EC27B2">
      <w:pPr>
        <w:ind w:left="-851" w:hanging="1"/>
        <w:jc w:val="both"/>
        <w:rPr>
          <w:b/>
          <w:i/>
          <w:lang w:val="en-US"/>
        </w:rPr>
      </w:pPr>
      <w:r w:rsidRPr="000D6231">
        <w:rPr>
          <w:b/>
          <w:i/>
        </w:rPr>
        <w:t>Отг</w:t>
      </w:r>
      <w:r w:rsidR="00443240">
        <w:rPr>
          <w:b/>
          <w:i/>
        </w:rPr>
        <w:t>овор на въпрос от Светла Бъчварова</w:t>
      </w:r>
      <w:r w:rsidRPr="000D6231">
        <w:rPr>
          <w:b/>
          <w:i/>
        </w:rPr>
        <w:t xml:space="preserve"> – народен представител от ПГ на БСП за България относ</w:t>
      </w:r>
      <w:r w:rsidR="004B07F5">
        <w:rPr>
          <w:b/>
          <w:i/>
        </w:rPr>
        <w:t>н</w:t>
      </w:r>
      <w:r w:rsidR="00A24F2C">
        <w:rPr>
          <w:b/>
          <w:i/>
        </w:rPr>
        <w:t>о прилагането на регламента „Омнибус“ в страните членки на ЕС от 01.</w:t>
      </w:r>
      <w:proofErr w:type="spellStart"/>
      <w:r w:rsidR="00A24F2C">
        <w:rPr>
          <w:b/>
          <w:i/>
        </w:rPr>
        <w:t>01</w:t>
      </w:r>
      <w:proofErr w:type="spellEnd"/>
      <w:r w:rsidR="00A24F2C">
        <w:rPr>
          <w:b/>
          <w:i/>
        </w:rPr>
        <w:t>.2018 г.</w:t>
      </w:r>
    </w:p>
    <w:p w:rsidR="00EC27B2" w:rsidRDefault="00EC27B2" w:rsidP="00EC27B2">
      <w:pPr>
        <w:ind w:left="-851" w:hanging="1"/>
        <w:jc w:val="both"/>
        <w:rPr>
          <w:b/>
          <w:sz w:val="32"/>
          <w:szCs w:val="32"/>
          <w:lang w:val="en-US"/>
        </w:rPr>
      </w:pPr>
    </w:p>
    <w:p w:rsidR="00EC27B2" w:rsidRDefault="004B07F5" w:rsidP="00EC27B2">
      <w:pPr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УВАЖАЕМА ГОСПОЖО</w:t>
      </w:r>
      <w:r w:rsidR="001A7BC4" w:rsidRPr="004B07F5">
        <w:rPr>
          <w:b/>
          <w:sz w:val="32"/>
          <w:szCs w:val="32"/>
        </w:rPr>
        <w:t xml:space="preserve"> ПРЕДСЕДАТЕЛ,</w:t>
      </w:r>
    </w:p>
    <w:p w:rsidR="00EC27B2" w:rsidRDefault="001A7BC4" w:rsidP="00EC27B2">
      <w:pPr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ДАМИ И ГОСПОДА НАРОДНИ ПРЕДСТАВИТЕЛИ,</w:t>
      </w:r>
    </w:p>
    <w:p w:rsidR="00A24F2C" w:rsidRDefault="00443240" w:rsidP="00A24F2C">
      <w:pPr>
        <w:ind w:left="-851" w:hanging="1"/>
        <w:jc w:val="both"/>
        <w:rPr>
          <w:b/>
          <w:i/>
        </w:rPr>
      </w:pPr>
      <w:r>
        <w:rPr>
          <w:b/>
          <w:sz w:val="32"/>
          <w:szCs w:val="32"/>
        </w:rPr>
        <w:t>УВАЖАЕМА</w:t>
      </w:r>
      <w:r w:rsidR="008E00C2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ПРОФЕСОР БЪЧВАРОВА</w:t>
      </w:r>
      <w:r w:rsidR="001A7BC4" w:rsidRPr="004B07F5">
        <w:rPr>
          <w:b/>
          <w:sz w:val="32"/>
          <w:szCs w:val="32"/>
        </w:rPr>
        <w:t>,</w:t>
      </w:r>
    </w:p>
    <w:p w:rsidR="00A24F2C" w:rsidRDefault="00A24F2C" w:rsidP="00A24F2C">
      <w:pPr>
        <w:spacing w:line="360" w:lineRule="auto"/>
        <w:ind w:left="-851" w:hanging="1"/>
        <w:jc w:val="both"/>
        <w:rPr>
          <w:bCs/>
          <w:sz w:val="32"/>
          <w:szCs w:val="32"/>
        </w:rPr>
      </w:pPr>
    </w:p>
    <w:p w:rsidR="00A24F2C" w:rsidRDefault="009A1B55" w:rsidP="009A1B55">
      <w:pPr>
        <w:spacing w:line="360" w:lineRule="auto"/>
        <w:ind w:left="-851" w:firstLine="851"/>
        <w:jc w:val="both"/>
        <w:rPr>
          <w:bCs/>
          <w:sz w:val="32"/>
          <w:szCs w:val="32"/>
        </w:rPr>
      </w:pPr>
      <w:r>
        <w:rPr>
          <w:bCs/>
          <w:sz w:val="32"/>
          <w:szCs w:val="32"/>
        </w:rPr>
        <w:t>Това е един изключителен документ, който беше гле</w:t>
      </w:r>
      <w:r w:rsidR="00FC75D9">
        <w:rPr>
          <w:bCs/>
          <w:sz w:val="32"/>
          <w:szCs w:val="32"/>
        </w:rPr>
        <w:t>д</w:t>
      </w:r>
      <w:r>
        <w:rPr>
          <w:bCs/>
          <w:sz w:val="32"/>
          <w:szCs w:val="32"/>
        </w:rPr>
        <w:t>ан в рамките на повече от 2 години и с много усилия приет в края на миналата година. По отношение на неща</w:t>
      </w:r>
      <w:r w:rsidR="00FC75D9">
        <w:rPr>
          <w:bCs/>
          <w:sz w:val="32"/>
          <w:szCs w:val="32"/>
        </w:rPr>
        <w:t>та,</w:t>
      </w:r>
      <w:r>
        <w:rPr>
          <w:bCs/>
          <w:sz w:val="32"/>
          <w:szCs w:val="32"/>
        </w:rPr>
        <w:t xml:space="preserve"> свързани с предстоящото кандидатстване, </w:t>
      </w:r>
      <w:r w:rsidR="00A24F2C" w:rsidRPr="00A24F2C">
        <w:rPr>
          <w:bCs/>
          <w:sz w:val="32"/>
          <w:szCs w:val="32"/>
        </w:rPr>
        <w:t xml:space="preserve">Регламент </w:t>
      </w:r>
      <w:r>
        <w:rPr>
          <w:bCs/>
          <w:sz w:val="32"/>
          <w:szCs w:val="32"/>
        </w:rPr>
        <w:t xml:space="preserve">от </w:t>
      </w:r>
      <w:r w:rsidR="00A24F2C" w:rsidRPr="00A24F2C">
        <w:rPr>
          <w:bCs/>
          <w:sz w:val="32"/>
          <w:szCs w:val="32"/>
        </w:rPr>
        <w:t>2017</w:t>
      </w:r>
      <w:r>
        <w:rPr>
          <w:bCs/>
          <w:sz w:val="32"/>
          <w:szCs w:val="32"/>
        </w:rPr>
        <w:t xml:space="preserve"> г.</w:t>
      </w:r>
      <w:r w:rsidR="00A24F2C" w:rsidRPr="00A24F2C">
        <w:rPr>
          <w:bCs/>
          <w:sz w:val="32"/>
          <w:szCs w:val="32"/>
        </w:rPr>
        <w:t xml:space="preserve"> дава възможност на държавите</w:t>
      </w:r>
      <w:r w:rsidR="00177291">
        <w:rPr>
          <w:bCs/>
          <w:sz w:val="32"/>
          <w:szCs w:val="32"/>
        </w:rPr>
        <w:t xml:space="preserve"> - </w:t>
      </w:r>
      <w:r w:rsidR="00A24F2C" w:rsidRPr="00A24F2C">
        <w:rPr>
          <w:bCs/>
          <w:sz w:val="32"/>
          <w:szCs w:val="32"/>
        </w:rPr>
        <w:t>членки за някои решения, но има и разпоредби, които са пряко приложими.</w:t>
      </w:r>
      <w:r w:rsidR="00A24F2C">
        <w:rPr>
          <w:bCs/>
          <w:sz w:val="32"/>
          <w:szCs w:val="32"/>
        </w:rPr>
        <w:t xml:space="preserve"> </w:t>
      </w:r>
      <w:r w:rsidR="00A24F2C" w:rsidRPr="00A24F2C">
        <w:rPr>
          <w:bCs/>
          <w:sz w:val="32"/>
          <w:szCs w:val="32"/>
        </w:rPr>
        <w:t xml:space="preserve">Регламентът разрешава да се спре прилагането на негативния списък, който е част от </w:t>
      </w:r>
      <w:r w:rsidR="00A24F2C" w:rsidRPr="00A24F2C">
        <w:rPr>
          <w:b/>
          <w:bCs/>
          <w:sz w:val="32"/>
          <w:szCs w:val="32"/>
        </w:rPr>
        <w:t>активен фермер</w:t>
      </w:r>
      <w:r w:rsidR="00A24F2C" w:rsidRPr="00A24F2C">
        <w:rPr>
          <w:bCs/>
          <w:sz w:val="32"/>
          <w:szCs w:val="32"/>
        </w:rPr>
        <w:t xml:space="preserve">. За България националното решение за активен фермер е разписано в Закона за подпомагане на земеделските производители. С цел насочването на директното подпомагане само към действителни земеделски стопани не се предвиждат промени в изискването за активен фермер в страната. </w:t>
      </w:r>
      <w:r>
        <w:rPr>
          <w:bCs/>
          <w:sz w:val="32"/>
          <w:szCs w:val="32"/>
        </w:rPr>
        <w:t>Ние няма да се възползваме от тази опция, тя е</w:t>
      </w:r>
      <w:r w:rsidR="00177291">
        <w:rPr>
          <w:bCs/>
          <w:sz w:val="32"/>
          <w:szCs w:val="32"/>
        </w:rPr>
        <w:t xml:space="preserve"> законово определена</w:t>
      </w:r>
      <w:r>
        <w:rPr>
          <w:bCs/>
          <w:sz w:val="32"/>
          <w:szCs w:val="32"/>
        </w:rPr>
        <w:t>.</w:t>
      </w:r>
      <w:r w:rsidR="00177291">
        <w:rPr>
          <w:bCs/>
          <w:sz w:val="32"/>
          <w:szCs w:val="32"/>
        </w:rPr>
        <w:t xml:space="preserve"> </w:t>
      </w:r>
      <w:r w:rsidR="00A24F2C" w:rsidRPr="00A24F2C">
        <w:rPr>
          <w:bCs/>
          <w:sz w:val="32"/>
          <w:szCs w:val="32"/>
        </w:rPr>
        <w:t xml:space="preserve">Прилагането на изискването за активен фермер съвпада с идеята в Съобщението на Европейската Комисия относно бъдещето на прехраната и селското стопанство за насочване на подпомагането към действителни фермери, които осигуряват своята прехрана със земеделие. </w:t>
      </w:r>
    </w:p>
    <w:p w:rsidR="00A24F2C" w:rsidRDefault="00A24F2C" w:rsidP="00A24F2C">
      <w:pPr>
        <w:spacing w:line="360" w:lineRule="auto"/>
        <w:ind w:left="-851" w:firstLine="851"/>
        <w:jc w:val="both"/>
        <w:rPr>
          <w:sz w:val="32"/>
          <w:szCs w:val="32"/>
        </w:rPr>
      </w:pPr>
      <w:r w:rsidRPr="00A24F2C">
        <w:rPr>
          <w:bCs/>
          <w:sz w:val="32"/>
          <w:szCs w:val="32"/>
        </w:rPr>
        <w:t>Държавите</w:t>
      </w:r>
      <w:r w:rsidR="00177291">
        <w:rPr>
          <w:bCs/>
          <w:sz w:val="32"/>
          <w:szCs w:val="32"/>
        </w:rPr>
        <w:t xml:space="preserve"> - </w:t>
      </w:r>
      <w:r w:rsidRPr="00A24F2C">
        <w:rPr>
          <w:bCs/>
          <w:sz w:val="32"/>
          <w:szCs w:val="32"/>
        </w:rPr>
        <w:t xml:space="preserve">членки могат да преразгледат решенията си относно въвеждането на </w:t>
      </w:r>
      <w:r w:rsidRPr="00C83278">
        <w:rPr>
          <w:b/>
          <w:bCs/>
          <w:sz w:val="32"/>
          <w:szCs w:val="32"/>
        </w:rPr>
        <w:t>таван на плащанията по</w:t>
      </w:r>
      <w:r w:rsidRPr="00A24F2C">
        <w:rPr>
          <w:bCs/>
          <w:sz w:val="32"/>
          <w:szCs w:val="32"/>
        </w:rPr>
        <w:t xml:space="preserve"> </w:t>
      </w:r>
      <w:r w:rsidRPr="00A24F2C">
        <w:rPr>
          <w:b/>
          <w:bCs/>
          <w:sz w:val="32"/>
          <w:szCs w:val="32"/>
        </w:rPr>
        <w:t>Схемата за единно плащане на площ</w:t>
      </w:r>
      <w:r w:rsidRPr="00A24F2C">
        <w:rPr>
          <w:bCs/>
          <w:sz w:val="32"/>
          <w:szCs w:val="32"/>
        </w:rPr>
        <w:t xml:space="preserve"> (</w:t>
      </w:r>
      <w:r w:rsidRPr="00A24F2C">
        <w:rPr>
          <w:bCs/>
          <w:i/>
          <w:sz w:val="28"/>
          <w:szCs w:val="28"/>
        </w:rPr>
        <w:t>СЕПП</w:t>
      </w:r>
      <w:r w:rsidRPr="00A24F2C">
        <w:rPr>
          <w:bCs/>
          <w:sz w:val="32"/>
          <w:szCs w:val="32"/>
        </w:rPr>
        <w:t>) като решението може да бъде само</w:t>
      </w:r>
      <w:r>
        <w:rPr>
          <w:bCs/>
          <w:sz w:val="32"/>
          <w:szCs w:val="32"/>
        </w:rPr>
        <w:t>,</w:t>
      </w:r>
      <w:r w:rsidRPr="00A24F2C">
        <w:rPr>
          <w:bCs/>
          <w:sz w:val="32"/>
          <w:szCs w:val="32"/>
        </w:rPr>
        <w:t xml:space="preserve"> ако до момента не е прилаган таван на плащанията. За България от 2015 г. се </w:t>
      </w:r>
      <w:r w:rsidRPr="00A24F2C">
        <w:rPr>
          <w:sz w:val="32"/>
          <w:szCs w:val="32"/>
        </w:rPr>
        <w:t xml:space="preserve">прилага инструмент за намаление на плащанията и таван по СЕПП към един бенефициент – с </w:t>
      </w:r>
      <w:r w:rsidRPr="00C83278">
        <w:rPr>
          <w:b/>
          <w:sz w:val="32"/>
          <w:szCs w:val="32"/>
        </w:rPr>
        <w:t>5%</w:t>
      </w:r>
      <w:r w:rsidRPr="00A24F2C">
        <w:rPr>
          <w:sz w:val="32"/>
          <w:szCs w:val="32"/>
        </w:rPr>
        <w:t xml:space="preserve"> за сумите между </w:t>
      </w:r>
      <w:r w:rsidRPr="00A24F2C">
        <w:rPr>
          <w:b/>
          <w:sz w:val="32"/>
          <w:szCs w:val="32"/>
        </w:rPr>
        <w:t>150 000 EUR</w:t>
      </w:r>
      <w:r w:rsidRPr="00A24F2C">
        <w:rPr>
          <w:sz w:val="32"/>
          <w:szCs w:val="32"/>
        </w:rPr>
        <w:t xml:space="preserve"> и </w:t>
      </w:r>
      <w:r w:rsidRPr="00A24F2C">
        <w:rPr>
          <w:b/>
          <w:sz w:val="32"/>
          <w:szCs w:val="32"/>
        </w:rPr>
        <w:t xml:space="preserve">300 000 </w:t>
      </w:r>
      <w:r w:rsidRPr="00A24F2C">
        <w:rPr>
          <w:b/>
          <w:sz w:val="32"/>
          <w:szCs w:val="32"/>
          <w:lang w:val="en-US"/>
        </w:rPr>
        <w:t>EUR</w:t>
      </w:r>
      <w:r w:rsidRPr="00A24F2C">
        <w:rPr>
          <w:sz w:val="32"/>
          <w:szCs w:val="32"/>
        </w:rPr>
        <w:t xml:space="preserve"> и със </w:t>
      </w:r>
      <w:r w:rsidRPr="00A24F2C">
        <w:rPr>
          <w:b/>
          <w:sz w:val="32"/>
          <w:szCs w:val="32"/>
        </w:rPr>
        <w:t>100%</w:t>
      </w:r>
      <w:r w:rsidRPr="00A24F2C">
        <w:rPr>
          <w:sz w:val="32"/>
          <w:szCs w:val="32"/>
        </w:rPr>
        <w:t xml:space="preserve"> за субсидията над </w:t>
      </w:r>
      <w:r w:rsidRPr="00A24F2C">
        <w:rPr>
          <w:b/>
          <w:sz w:val="32"/>
          <w:szCs w:val="32"/>
        </w:rPr>
        <w:t xml:space="preserve">300 000 </w:t>
      </w:r>
      <w:r w:rsidRPr="00A24F2C">
        <w:rPr>
          <w:b/>
          <w:sz w:val="32"/>
          <w:szCs w:val="32"/>
          <w:lang w:val="en-US"/>
        </w:rPr>
        <w:t>EUR</w:t>
      </w:r>
      <w:r w:rsidRPr="00A24F2C">
        <w:rPr>
          <w:sz w:val="32"/>
          <w:szCs w:val="32"/>
        </w:rPr>
        <w:t xml:space="preserve">. Като по-справедлив подход за </w:t>
      </w:r>
      <w:r w:rsidRPr="00A24F2C">
        <w:rPr>
          <w:sz w:val="32"/>
          <w:szCs w:val="32"/>
        </w:rPr>
        <w:lastRenderedPageBreak/>
        <w:t>допълване на доходите на земеделските стопани предвиждаме да се продължи прилагания досега подход за таван на плащанията.</w:t>
      </w:r>
    </w:p>
    <w:p w:rsidR="00C83278" w:rsidRPr="009A1B55" w:rsidRDefault="00A24F2C" w:rsidP="00A24F2C">
      <w:pPr>
        <w:spacing w:line="360" w:lineRule="auto"/>
        <w:ind w:left="-851" w:firstLine="851"/>
        <w:jc w:val="both"/>
        <w:rPr>
          <w:bCs/>
          <w:sz w:val="32"/>
          <w:szCs w:val="32"/>
        </w:rPr>
      </w:pPr>
      <w:r w:rsidRPr="00A24F2C">
        <w:rPr>
          <w:bCs/>
          <w:sz w:val="32"/>
          <w:szCs w:val="32"/>
        </w:rPr>
        <w:t>Регламент</w:t>
      </w:r>
      <w:r w:rsidR="009A1B55">
        <w:rPr>
          <w:bCs/>
          <w:sz w:val="32"/>
          <w:szCs w:val="32"/>
        </w:rPr>
        <w:t>ът</w:t>
      </w:r>
      <w:r w:rsidRPr="00A24F2C">
        <w:rPr>
          <w:bCs/>
          <w:sz w:val="32"/>
          <w:szCs w:val="32"/>
        </w:rPr>
        <w:t xml:space="preserve"> дава възможност на държавите</w:t>
      </w:r>
      <w:r w:rsidR="00177291">
        <w:rPr>
          <w:bCs/>
          <w:sz w:val="32"/>
          <w:szCs w:val="32"/>
        </w:rPr>
        <w:t>-</w:t>
      </w:r>
      <w:r w:rsidRPr="00A24F2C">
        <w:rPr>
          <w:bCs/>
          <w:sz w:val="32"/>
          <w:szCs w:val="32"/>
        </w:rPr>
        <w:t xml:space="preserve">членки да преразгледат решенията си относно </w:t>
      </w:r>
      <w:r w:rsidRPr="00C83278">
        <w:rPr>
          <w:b/>
          <w:bCs/>
          <w:sz w:val="32"/>
          <w:szCs w:val="32"/>
        </w:rPr>
        <w:t xml:space="preserve">прехвърлянето на средства между стълбовете </w:t>
      </w:r>
      <w:r w:rsidRPr="00C83278">
        <w:rPr>
          <w:bCs/>
          <w:sz w:val="32"/>
          <w:szCs w:val="32"/>
        </w:rPr>
        <w:t>на</w:t>
      </w:r>
      <w:r w:rsidRPr="00C83278">
        <w:rPr>
          <w:b/>
          <w:bCs/>
          <w:sz w:val="32"/>
          <w:szCs w:val="32"/>
        </w:rPr>
        <w:t xml:space="preserve"> </w:t>
      </w:r>
      <w:r w:rsidRPr="00C83278">
        <w:rPr>
          <w:bCs/>
          <w:sz w:val="32"/>
          <w:szCs w:val="32"/>
        </w:rPr>
        <w:t>Общата селскостопанска политика</w:t>
      </w:r>
      <w:r w:rsidRPr="00A24F2C">
        <w:rPr>
          <w:bCs/>
          <w:sz w:val="32"/>
          <w:szCs w:val="32"/>
        </w:rPr>
        <w:t xml:space="preserve"> (</w:t>
      </w:r>
      <w:r w:rsidRPr="00A24F2C">
        <w:rPr>
          <w:bCs/>
          <w:i/>
          <w:sz w:val="28"/>
          <w:szCs w:val="28"/>
        </w:rPr>
        <w:t>ОСП</w:t>
      </w:r>
      <w:r w:rsidRPr="00A24F2C">
        <w:rPr>
          <w:bCs/>
          <w:sz w:val="32"/>
          <w:szCs w:val="32"/>
        </w:rPr>
        <w:t xml:space="preserve">). Могат да се прехвърлят средства от директните плащания към Програмата за развитие на селските райони. Предвид голямото значение на директните плащания за земеделските стопани </w:t>
      </w:r>
      <w:r w:rsidR="009A1B55">
        <w:rPr>
          <w:bCs/>
          <w:sz w:val="32"/>
          <w:szCs w:val="32"/>
        </w:rPr>
        <w:t xml:space="preserve">не предвиждаме </w:t>
      </w:r>
      <w:r w:rsidRPr="00A24F2C">
        <w:rPr>
          <w:bCs/>
          <w:sz w:val="32"/>
          <w:szCs w:val="32"/>
        </w:rPr>
        <w:t>да предложим намаление на ресурса чрез прехвърляне на средства от директните плащания към</w:t>
      </w:r>
      <w:r w:rsidR="00285B42">
        <w:rPr>
          <w:bCs/>
          <w:sz w:val="32"/>
          <w:szCs w:val="32"/>
        </w:rPr>
        <w:t xml:space="preserve"> ПРСР</w:t>
      </w:r>
      <w:r w:rsidRPr="00A24F2C">
        <w:rPr>
          <w:bCs/>
          <w:sz w:val="32"/>
          <w:szCs w:val="32"/>
        </w:rPr>
        <w:t xml:space="preserve">. </w:t>
      </w:r>
    </w:p>
    <w:p w:rsidR="00A24F2C" w:rsidRDefault="00A24F2C" w:rsidP="00C83278">
      <w:pPr>
        <w:spacing w:line="360" w:lineRule="auto"/>
        <w:ind w:left="-851" w:firstLine="851"/>
        <w:jc w:val="both"/>
        <w:rPr>
          <w:sz w:val="32"/>
          <w:szCs w:val="32"/>
          <w:lang w:eastAsia="bg-BG"/>
        </w:rPr>
      </w:pPr>
      <w:r w:rsidRPr="00C83278">
        <w:rPr>
          <w:b/>
          <w:bCs/>
          <w:sz w:val="32"/>
          <w:szCs w:val="32"/>
        </w:rPr>
        <w:t>Свръх-резервиране на бюджета по СЕПП</w:t>
      </w:r>
      <w:r w:rsidRPr="00A24F2C">
        <w:rPr>
          <w:bCs/>
          <w:sz w:val="32"/>
          <w:szCs w:val="32"/>
        </w:rPr>
        <w:t xml:space="preserve"> също е предоставено като възможност, но без да се променя размерът на общото финансиране по всички схеми за директни плащания. </w:t>
      </w:r>
      <w:r w:rsidRPr="00C83278">
        <w:rPr>
          <w:bCs/>
          <w:sz w:val="32"/>
          <w:szCs w:val="32"/>
        </w:rPr>
        <w:t>Свръх-резервирането на бюджет</w:t>
      </w:r>
      <w:r w:rsidRPr="00A24F2C">
        <w:rPr>
          <w:bCs/>
          <w:sz w:val="32"/>
          <w:szCs w:val="32"/>
        </w:rPr>
        <w:t xml:space="preserve"> е предварително и може да се изплати само</w:t>
      </w:r>
      <w:r w:rsidR="00FC75D9">
        <w:rPr>
          <w:bCs/>
          <w:sz w:val="32"/>
          <w:szCs w:val="32"/>
        </w:rPr>
        <w:t>,</w:t>
      </w:r>
      <w:r w:rsidRPr="00A24F2C">
        <w:rPr>
          <w:bCs/>
          <w:sz w:val="32"/>
          <w:szCs w:val="32"/>
        </w:rPr>
        <w:t xml:space="preserve"> ако има значителни неусвоени средства по останалите схеми за директни плащания. </w:t>
      </w:r>
      <w:r w:rsidRPr="00A24F2C">
        <w:rPr>
          <w:sz w:val="32"/>
          <w:szCs w:val="32"/>
          <w:lang w:eastAsia="bg-BG"/>
        </w:rPr>
        <w:t>Анализът на данни от предишните кампании показва, че по схемите за директни плащания има много високо ниво на усвояване на средствата.</w:t>
      </w:r>
    </w:p>
    <w:p w:rsidR="009A1B55" w:rsidRPr="00C83278" w:rsidRDefault="009A1B55" w:rsidP="00C83278">
      <w:pPr>
        <w:spacing w:line="360" w:lineRule="auto"/>
        <w:ind w:left="-851" w:firstLine="851"/>
        <w:jc w:val="both"/>
        <w:rPr>
          <w:bCs/>
          <w:sz w:val="32"/>
          <w:szCs w:val="32"/>
        </w:rPr>
      </w:pPr>
      <w:r>
        <w:rPr>
          <w:b/>
          <w:bCs/>
          <w:sz w:val="32"/>
          <w:szCs w:val="32"/>
        </w:rPr>
        <w:t>На този етап не предвиждаме резервиране на свръх бюджет, който да отиде към базовото плащ</w:t>
      </w:r>
      <w:r w:rsidR="00FC75D9">
        <w:rPr>
          <w:b/>
          <w:bCs/>
          <w:sz w:val="32"/>
          <w:szCs w:val="32"/>
        </w:rPr>
        <w:t>а</w:t>
      </w:r>
      <w:r>
        <w:rPr>
          <w:b/>
          <w:bCs/>
          <w:sz w:val="32"/>
          <w:szCs w:val="32"/>
        </w:rPr>
        <w:t xml:space="preserve">не на СЕПП за сметка на икономии от останалите, защото реално във всички направления на пакета от Гаранционния фонд по СЕПП усвояването е много високо. </w:t>
      </w:r>
    </w:p>
    <w:p w:rsidR="00A24F2C" w:rsidRDefault="00A24F2C" w:rsidP="00A24F2C">
      <w:pPr>
        <w:spacing w:line="360" w:lineRule="auto"/>
        <w:ind w:left="-851" w:firstLine="851"/>
        <w:jc w:val="both"/>
        <w:rPr>
          <w:bCs/>
          <w:sz w:val="32"/>
          <w:szCs w:val="32"/>
        </w:rPr>
      </w:pPr>
      <w:r w:rsidRPr="00A24F2C">
        <w:rPr>
          <w:bCs/>
          <w:sz w:val="32"/>
          <w:szCs w:val="32"/>
        </w:rPr>
        <w:t xml:space="preserve">Регламентът дава възможност за </w:t>
      </w:r>
      <w:r w:rsidRPr="00C83278">
        <w:rPr>
          <w:b/>
          <w:bCs/>
          <w:sz w:val="32"/>
          <w:szCs w:val="32"/>
        </w:rPr>
        <w:t>увеличение на ставката</w:t>
      </w:r>
      <w:r w:rsidRPr="00A24F2C">
        <w:rPr>
          <w:bCs/>
          <w:sz w:val="32"/>
          <w:szCs w:val="32"/>
        </w:rPr>
        <w:t xml:space="preserve"> </w:t>
      </w:r>
      <w:r w:rsidRPr="00A24F2C">
        <w:rPr>
          <w:b/>
          <w:bCs/>
          <w:sz w:val="32"/>
          <w:szCs w:val="32"/>
        </w:rPr>
        <w:t xml:space="preserve">за Схемата за млади земеделски стопани </w:t>
      </w:r>
      <w:r w:rsidRPr="00A24F2C">
        <w:rPr>
          <w:bCs/>
          <w:sz w:val="32"/>
          <w:szCs w:val="32"/>
        </w:rPr>
        <w:t xml:space="preserve">от </w:t>
      </w:r>
      <w:r w:rsidRPr="00A24F2C">
        <w:rPr>
          <w:b/>
          <w:bCs/>
          <w:sz w:val="32"/>
          <w:szCs w:val="32"/>
        </w:rPr>
        <w:t>25% на 50%</w:t>
      </w:r>
      <w:r w:rsidRPr="00A24F2C">
        <w:rPr>
          <w:bCs/>
          <w:sz w:val="32"/>
          <w:szCs w:val="32"/>
        </w:rPr>
        <w:t xml:space="preserve"> от </w:t>
      </w:r>
      <w:r>
        <w:rPr>
          <w:bCs/>
          <w:sz w:val="32"/>
          <w:szCs w:val="32"/>
        </w:rPr>
        <w:t>размера на ставката по СЕПП</w:t>
      </w:r>
      <w:r w:rsidRPr="00A24F2C">
        <w:rPr>
          <w:bCs/>
          <w:sz w:val="32"/>
          <w:szCs w:val="32"/>
        </w:rPr>
        <w:t xml:space="preserve">. Такова решение е необходимо да бъде регламентирано в Закона за подпомагане на земеделските производители, където е определен размерът на ставката по Схемата за млади земеделски стопани. Предстои извършването на </w:t>
      </w:r>
      <w:r>
        <w:rPr>
          <w:bCs/>
          <w:sz w:val="32"/>
          <w:szCs w:val="32"/>
        </w:rPr>
        <w:t xml:space="preserve">анализ и вземането на решение. </w:t>
      </w:r>
    </w:p>
    <w:p w:rsidR="009A1B55" w:rsidRDefault="009A1B55" w:rsidP="00A24F2C">
      <w:pPr>
        <w:spacing w:line="360" w:lineRule="auto"/>
        <w:ind w:left="-851" w:firstLine="851"/>
        <w:jc w:val="both"/>
        <w:rPr>
          <w:bCs/>
          <w:sz w:val="32"/>
          <w:szCs w:val="32"/>
        </w:rPr>
      </w:pPr>
      <w:r>
        <w:rPr>
          <w:bCs/>
          <w:sz w:val="32"/>
          <w:szCs w:val="32"/>
        </w:rPr>
        <w:t>Не изключваме по тази опция</w:t>
      </w:r>
      <w:r w:rsidR="00FC75D9">
        <w:rPr>
          <w:bCs/>
          <w:sz w:val="32"/>
          <w:szCs w:val="32"/>
        </w:rPr>
        <w:t>,</w:t>
      </w:r>
      <w:r>
        <w:rPr>
          <w:bCs/>
          <w:sz w:val="32"/>
          <w:szCs w:val="32"/>
        </w:rPr>
        <w:t xml:space="preserve"> която е дадена за следващата кампания след анализа</w:t>
      </w:r>
      <w:r w:rsidR="00FC75D9">
        <w:rPr>
          <w:bCs/>
          <w:sz w:val="32"/>
          <w:szCs w:val="32"/>
        </w:rPr>
        <w:t>,</w:t>
      </w:r>
      <w:r>
        <w:rPr>
          <w:bCs/>
          <w:sz w:val="32"/>
          <w:szCs w:val="32"/>
        </w:rPr>
        <w:t xml:space="preserve"> който направим тази година да анализираме и увеличим ставката за младите зем</w:t>
      </w:r>
      <w:r w:rsidR="00FC75D9">
        <w:rPr>
          <w:bCs/>
          <w:sz w:val="32"/>
          <w:szCs w:val="32"/>
        </w:rPr>
        <w:t>е</w:t>
      </w:r>
      <w:r>
        <w:rPr>
          <w:bCs/>
          <w:sz w:val="32"/>
          <w:szCs w:val="32"/>
        </w:rPr>
        <w:t>делски производители</w:t>
      </w:r>
      <w:r w:rsidR="00FC75D9">
        <w:rPr>
          <w:bCs/>
          <w:sz w:val="32"/>
          <w:szCs w:val="32"/>
        </w:rPr>
        <w:t>,</w:t>
      </w:r>
      <w:r>
        <w:rPr>
          <w:bCs/>
          <w:sz w:val="32"/>
          <w:szCs w:val="32"/>
        </w:rPr>
        <w:t xml:space="preserve"> тъй като в </w:t>
      </w:r>
      <w:r>
        <w:rPr>
          <w:bCs/>
          <w:sz w:val="32"/>
          <w:szCs w:val="32"/>
        </w:rPr>
        <w:lastRenderedPageBreak/>
        <w:t>момента нямаме времето до настоящата кампания</w:t>
      </w:r>
      <w:r w:rsidR="00FC75D9">
        <w:rPr>
          <w:bCs/>
          <w:sz w:val="32"/>
          <w:szCs w:val="32"/>
        </w:rPr>
        <w:t>,</w:t>
      </w:r>
      <w:r>
        <w:rPr>
          <w:bCs/>
          <w:sz w:val="32"/>
          <w:szCs w:val="32"/>
        </w:rPr>
        <w:t xml:space="preserve"> която трябва да стартираме. </w:t>
      </w:r>
      <w:bookmarkStart w:id="0" w:name="_GoBack"/>
      <w:bookmarkEnd w:id="0"/>
    </w:p>
    <w:p w:rsidR="009A1B55" w:rsidRDefault="009A1B55" w:rsidP="00E9347C">
      <w:pPr>
        <w:spacing w:line="360" w:lineRule="auto"/>
        <w:ind w:left="-851" w:firstLine="851"/>
        <w:jc w:val="both"/>
        <w:rPr>
          <w:bCs/>
          <w:sz w:val="32"/>
          <w:szCs w:val="32"/>
        </w:rPr>
      </w:pPr>
    </w:p>
    <w:p w:rsidR="004327D3" w:rsidRPr="00E9347C" w:rsidRDefault="001A7BC4" w:rsidP="00E9347C">
      <w:pPr>
        <w:spacing w:line="360" w:lineRule="auto"/>
        <w:ind w:left="-851" w:firstLine="851"/>
        <w:jc w:val="both"/>
        <w:rPr>
          <w:b/>
          <w:i/>
        </w:rPr>
      </w:pPr>
      <w:r w:rsidRPr="004B07F5">
        <w:rPr>
          <w:b/>
          <w:sz w:val="32"/>
          <w:szCs w:val="32"/>
        </w:rPr>
        <w:t>БЛАГОДАРЯ ЗА ВНИМАНИЕТО!</w:t>
      </w:r>
    </w:p>
    <w:sectPr w:rsidR="004327D3" w:rsidRPr="00E9347C" w:rsidSect="00E9347C">
      <w:pgSz w:w="11907" w:h="16839" w:code="9"/>
      <w:pgMar w:top="426" w:right="851" w:bottom="56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1A7BC4"/>
    <w:rsid w:val="000A5E03"/>
    <w:rsid w:val="000D6231"/>
    <w:rsid w:val="00102251"/>
    <w:rsid w:val="00132B31"/>
    <w:rsid w:val="00177291"/>
    <w:rsid w:val="001A7BC4"/>
    <w:rsid w:val="00245BA1"/>
    <w:rsid w:val="00285B42"/>
    <w:rsid w:val="002A6CAD"/>
    <w:rsid w:val="00385E2F"/>
    <w:rsid w:val="003E50A4"/>
    <w:rsid w:val="004327D3"/>
    <w:rsid w:val="00443240"/>
    <w:rsid w:val="0046453C"/>
    <w:rsid w:val="004B07F5"/>
    <w:rsid w:val="006C233A"/>
    <w:rsid w:val="00840165"/>
    <w:rsid w:val="0085133E"/>
    <w:rsid w:val="008E00C2"/>
    <w:rsid w:val="00946443"/>
    <w:rsid w:val="00955519"/>
    <w:rsid w:val="0096064D"/>
    <w:rsid w:val="009A1B55"/>
    <w:rsid w:val="009C1E68"/>
    <w:rsid w:val="009C5C21"/>
    <w:rsid w:val="009E3CC9"/>
    <w:rsid w:val="00A24B4A"/>
    <w:rsid w:val="00A24F2C"/>
    <w:rsid w:val="00C453CB"/>
    <w:rsid w:val="00C83278"/>
    <w:rsid w:val="00CF3BF6"/>
    <w:rsid w:val="00D12923"/>
    <w:rsid w:val="00E103D0"/>
    <w:rsid w:val="00E5060D"/>
    <w:rsid w:val="00E9347C"/>
    <w:rsid w:val="00EC27B2"/>
    <w:rsid w:val="00FC6BE0"/>
    <w:rsid w:val="00FC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Albena Yambolieva</cp:lastModifiedBy>
  <cp:revision>27</cp:revision>
  <cp:lastPrinted>2017-11-30T12:10:00Z</cp:lastPrinted>
  <dcterms:created xsi:type="dcterms:W3CDTF">2017-07-05T07:04:00Z</dcterms:created>
  <dcterms:modified xsi:type="dcterms:W3CDTF">2018-01-26T11:38:00Z</dcterms:modified>
</cp:coreProperties>
</file>