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C4" w:rsidRPr="00B10989" w:rsidRDefault="001A7BC4" w:rsidP="000D6231">
      <w:pPr>
        <w:jc w:val="both"/>
        <w:rPr>
          <w:b/>
          <w:i/>
        </w:rPr>
      </w:pPr>
      <w:r w:rsidRPr="000D6231">
        <w:rPr>
          <w:b/>
          <w:i/>
        </w:rPr>
        <w:t>Отг</w:t>
      </w:r>
      <w:r w:rsidR="00A87AE8">
        <w:rPr>
          <w:b/>
          <w:i/>
        </w:rPr>
        <w:t>овор на въпрос от Светла Бъчварова – народен</w:t>
      </w:r>
      <w:r w:rsidRPr="000D6231">
        <w:rPr>
          <w:b/>
          <w:i/>
        </w:rPr>
        <w:t xml:space="preserve"> представител от ПГ на БСП за България относ</w:t>
      </w:r>
      <w:r w:rsidR="00A87AE8">
        <w:rPr>
          <w:b/>
          <w:i/>
        </w:rPr>
        <w:t>но регистрация на правните основания за ползване на земеделските земи</w:t>
      </w:r>
    </w:p>
    <w:p w:rsidR="001A7BC4" w:rsidRDefault="001A7BC4" w:rsidP="007F438F">
      <w:pPr>
        <w:spacing w:line="360" w:lineRule="auto"/>
        <w:jc w:val="both"/>
      </w:pPr>
    </w:p>
    <w:p w:rsidR="001A7BC4" w:rsidRPr="00102251" w:rsidRDefault="001A7BC4" w:rsidP="00102251">
      <w:pPr>
        <w:spacing w:line="276" w:lineRule="auto"/>
        <w:jc w:val="both"/>
        <w:rPr>
          <w:b/>
          <w:sz w:val="28"/>
          <w:szCs w:val="28"/>
        </w:rPr>
      </w:pPr>
      <w:r w:rsidRPr="00102251">
        <w:rPr>
          <w:b/>
          <w:sz w:val="28"/>
          <w:szCs w:val="28"/>
        </w:rPr>
        <w:t>УВАЖАЕМИ ГОСПОДИН ПРЕДСЕДАТЕЛ,</w:t>
      </w:r>
    </w:p>
    <w:p w:rsidR="001A7BC4" w:rsidRDefault="001A7BC4" w:rsidP="00102251">
      <w:pPr>
        <w:spacing w:line="276" w:lineRule="auto"/>
        <w:jc w:val="both"/>
        <w:rPr>
          <w:b/>
          <w:sz w:val="28"/>
          <w:szCs w:val="28"/>
        </w:rPr>
      </w:pPr>
      <w:r w:rsidRPr="00102251">
        <w:rPr>
          <w:b/>
          <w:sz w:val="28"/>
          <w:szCs w:val="28"/>
        </w:rPr>
        <w:t>ДАМИ И ГОСПОДА НАРОДНИ ПРЕДСТАВИТЕЛИ,</w:t>
      </w:r>
    </w:p>
    <w:p w:rsidR="001A7BC4" w:rsidRDefault="007F438F" w:rsidP="00102251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УВАЖАЕМА ПРОФЕСОР БЪЧВАРОВА,</w:t>
      </w:r>
    </w:p>
    <w:p w:rsidR="00B10989" w:rsidRPr="00A87AE8" w:rsidRDefault="00B10989" w:rsidP="00A87AE8">
      <w:pPr>
        <w:spacing w:after="200" w:line="360" w:lineRule="auto"/>
        <w:ind w:firstLine="720"/>
        <w:jc w:val="both"/>
        <w:rPr>
          <w:rFonts w:eastAsiaTheme="minorHAnsi"/>
          <w:sz w:val="32"/>
          <w:szCs w:val="32"/>
        </w:rPr>
      </w:pPr>
    </w:p>
    <w:p w:rsidR="00A87AE8" w:rsidRPr="00A87AE8" w:rsidRDefault="00A87AE8" w:rsidP="00A87A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 xml:space="preserve">По силата на </w:t>
      </w:r>
      <w:r w:rsidRPr="00A87AE8">
        <w:rPr>
          <w:b/>
          <w:bCs/>
          <w:sz w:val="32"/>
          <w:szCs w:val="32"/>
        </w:rPr>
        <w:t>§ 20</w:t>
      </w:r>
      <w:r w:rsidRPr="00A87AE8">
        <w:rPr>
          <w:bCs/>
          <w:sz w:val="32"/>
          <w:szCs w:val="32"/>
        </w:rPr>
        <w:t xml:space="preserve"> от Преходни и Заключителни разпоредби към Закона за изменение и допълнение на Закона за подпомагане на земеделските производители, новата редакция на </w:t>
      </w:r>
      <w:r w:rsidRPr="00A87AE8">
        <w:rPr>
          <w:b/>
          <w:bCs/>
          <w:sz w:val="32"/>
          <w:szCs w:val="32"/>
        </w:rPr>
        <w:t>чл. 41</w:t>
      </w:r>
      <w:r w:rsidRPr="00A87AE8">
        <w:rPr>
          <w:bCs/>
          <w:sz w:val="32"/>
          <w:szCs w:val="32"/>
        </w:rPr>
        <w:t xml:space="preserve"> от същия закон влиза в сила от 1 януари 2015 г. </w:t>
      </w:r>
      <w:r w:rsidRPr="00A87AE8">
        <w:rPr>
          <w:b/>
          <w:bCs/>
          <w:sz w:val="32"/>
          <w:szCs w:val="32"/>
        </w:rPr>
        <w:t>Алинея 3</w:t>
      </w:r>
      <w:r w:rsidRPr="00A87AE8">
        <w:rPr>
          <w:bCs/>
          <w:sz w:val="32"/>
          <w:szCs w:val="32"/>
        </w:rPr>
        <w:t xml:space="preserve"> от този член предвижда правните основания за ползване на земеделски площи да се регистрират в специализиран софтуерен продукт, създаден от Министерството на земеделието, храните и горите. Още през 2011 – 2012 г., преди влизане в сила на горепосоченото изменение,</w:t>
      </w:r>
      <w:r w:rsidR="00422F64">
        <w:rPr>
          <w:bCs/>
          <w:sz w:val="32"/>
          <w:szCs w:val="32"/>
        </w:rPr>
        <w:t xml:space="preserve"> в Министерството</w:t>
      </w:r>
      <w:r w:rsidRPr="00A87AE8">
        <w:rPr>
          <w:bCs/>
          <w:sz w:val="32"/>
          <w:szCs w:val="32"/>
        </w:rPr>
        <w:t xml:space="preserve"> е идентифицирана необходимостта да бъде изградена съвременна софтуерна среда/система, включваща база данни за земеделските стопани и техните стопанства (</w:t>
      </w:r>
      <w:r w:rsidRPr="00A87AE8">
        <w:rPr>
          <w:bCs/>
          <w:i/>
          <w:sz w:val="32"/>
          <w:szCs w:val="32"/>
        </w:rPr>
        <w:t>фермерски регистър</w:t>
      </w:r>
      <w:r w:rsidRPr="00A87AE8">
        <w:rPr>
          <w:bCs/>
          <w:sz w:val="32"/>
          <w:szCs w:val="32"/>
        </w:rPr>
        <w:t>) и географска информационна система (</w:t>
      </w:r>
      <w:r w:rsidRPr="00A87AE8">
        <w:rPr>
          <w:bCs/>
          <w:i/>
          <w:sz w:val="32"/>
          <w:szCs w:val="32"/>
        </w:rPr>
        <w:t>ГИС</w:t>
      </w:r>
      <w:r w:rsidRPr="00A87AE8">
        <w:rPr>
          <w:bCs/>
          <w:sz w:val="32"/>
          <w:szCs w:val="32"/>
        </w:rPr>
        <w:t>), която да съхранява, обработва, контролира и обновява личните, пространствените и атрибутивни данни, поддържащи основните дейности на министерството и да управлява свързаните с тях процеси.</w:t>
      </w:r>
    </w:p>
    <w:p w:rsidR="00A87AE8" w:rsidRPr="00A87AE8" w:rsidRDefault="00A87AE8" w:rsidP="00A87A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Такава интегрираната система следва да обхваща в единна среда и формат пространствените, атрибутни и всички други налични и бъдещи видове данни, в това число поне:</w:t>
      </w:r>
    </w:p>
    <w:p w:rsidR="00A87AE8" w:rsidRPr="00A87AE8" w:rsidRDefault="00A87AE8" w:rsidP="00A87A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Данни от Единна система за гражданска регистрация и административно обслужване на населението (ЕСГРАОН);</w:t>
      </w:r>
    </w:p>
    <w:p w:rsidR="00A87AE8" w:rsidRPr="00A87AE8" w:rsidRDefault="00A87AE8" w:rsidP="00A87A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lastRenderedPageBreak/>
        <w:t>Данни за имоти от картата на възстановената собственост (КВС) и от кадастралната карта на Република България (КК), вкл. данни за собствениците и ползвателите на земеделски земи, тежести, ограничения и др.;</w:t>
      </w:r>
    </w:p>
    <w:p w:rsidR="00A87AE8" w:rsidRPr="00A87AE8" w:rsidRDefault="00A87AE8" w:rsidP="00A87A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Данни за начина на трайно ползване на земята, поддържането на земеделската земя и други данни, налични в Системата за идентификация на земеделски парцели (СИЗП);</w:t>
      </w:r>
    </w:p>
    <w:p w:rsidR="00A87AE8" w:rsidRPr="00A87AE8" w:rsidRDefault="00A87AE8" w:rsidP="00A87A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 xml:space="preserve">Данни от Цифрова </w:t>
      </w:r>
      <w:proofErr w:type="spellStart"/>
      <w:r w:rsidRPr="00A87AE8">
        <w:rPr>
          <w:bCs/>
          <w:sz w:val="32"/>
          <w:szCs w:val="32"/>
        </w:rPr>
        <w:t>ортофото</w:t>
      </w:r>
      <w:proofErr w:type="spellEnd"/>
      <w:r w:rsidRPr="00A87AE8">
        <w:rPr>
          <w:bCs/>
          <w:sz w:val="32"/>
          <w:szCs w:val="32"/>
        </w:rPr>
        <w:t xml:space="preserve"> карта (ЦОФК) на територията на страната;</w:t>
      </w:r>
    </w:p>
    <w:p w:rsidR="00A87AE8" w:rsidRPr="00A87AE8" w:rsidRDefault="00A87AE8" w:rsidP="00A87A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Специфични цифрови данни (</w:t>
      </w:r>
      <w:r w:rsidRPr="00A87AE8">
        <w:rPr>
          <w:bCs/>
          <w:i/>
          <w:sz w:val="32"/>
          <w:szCs w:val="32"/>
        </w:rPr>
        <w:t>специализирани слоеве</w:t>
      </w:r>
      <w:r w:rsidRPr="00A87AE8">
        <w:rPr>
          <w:bCs/>
          <w:sz w:val="32"/>
          <w:szCs w:val="32"/>
        </w:rPr>
        <w:t>) за различни части от територията на страната, включително зони със специфични ограничения, статус и др.;</w:t>
      </w:r>
    </w:p>
    <w:p w:rsidR="00A87AE8" w:rsidRPr="00A87AE8" w:rsidRDefault="00A87AE8" w:rsidP="00A87A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Данни от Интегрираната система за администриране и контрол (ИСАК) на Държавен фонд „Земеделие“ – Разплащателна агенция за заявени площи и животни по схеми и мерки за подпомагане, за резултати от административни и проверки на място и за размера на оторизирани субсидии;</w:t>
      </w:r>
    </w:p>
    <w:p w:rsidR="00A87AE8" w:rsidRPr="00A87AE8" w:rsidRDefault="00A87AE8" w:rsidP="00A87A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Данни от Интегрираната информационна система на Българска агенция по безопасност на храните за идентификация на животните и животновъдните обекти, за движение на животните и за изпълнени имунно-профилактични мероприятия;</w:t>
      </w:r>
    </w:p>
    <w:p w:rsidR="00A87AE8" w:rsidRPr="00A87AE8" w:rsidRDefault="00A87AE8" w:rsidP="00A87A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Данни за горския фонд налични в Изпъ</w:t>
      </w:r>
      <w:r w:rsidR="00422F64">
        <w:rPr>
          <w:bCs/>
          <w:sz w:val="32"/>
          <w:szCs w:val="32"/>
        </w:rPr>
        <w:t>лнителна агенция по горите</w:t>
      </w:r>
      <w:r w:rsidRPr="00A87AE8">
        <w:rPr>
          <w:bCs/>
          <w:sz w:val="32"/>
          <w:szCs w:val="32"/>
        </w:rPr>
        <w:t>.</w:t>
      </w:r>
    </w:p>
    <w:p w:rsidR="00A87AE8" w:rsidRPr="00A87AE8" w:rsidRDefault="00A87AE8" w:rsidP="00A87A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Към момента данните за регистрираните правни основания за земеделски площи в М</w:t>
      </w:r>
      <w:r w:rsidR="00422F64">
        <w:rPr>
          <w:bCs/>
          <w:sz w:val="32"/>
          <w:szCs w:val="32"/>
        </w:rPr>
        <w:t xml:space="preserve">инистерството на земеделието, храните и </w:t>
      </w:r>
      <w:r w:rsidR="00422F64">
        <w:rPr>
          <w:bCs/>
          <w:sz w:val="32"/>
          <w:szCs w:val="32"/>
        </w:rPr>
        <w:lastRenderedPageBreak/>
        <w:t>горите</w:t>
      </w:r>
      <w:r w:rsidRPr="00A87AE8">
        <w:rPr>
          <w:bCs/>
          <w:sz w:val="32"/>
          <w:szCs w:val="32"/>
        </w:rPr>
        <w:t xml:space="preserve"> съществуват в децентрализиран вид като набор от специализирани софтуерни модули, предназначени за:</w:t>
      </w:r>
    </w:p>
    <w:p w:rsidR="00A87AE8" w:rsidRPr="00A87AE8" w:rsidRDefault="00A87AE8" w:rsidP="00A87A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•</w:t>
      </w:r>
      <w:r w:rsidRPr="00A87AE8">
        <w:rPr>
          <w:bCs/>
          <w:sz w:val="32"/>
          <w:szCs w:val="32"/>
        </w:rPr>
        <w:tab/>
        <w:t>регистрация на данни за собственост върху земеделските земи, включително и графична част (</w:t>
      </w:r>
      <w:r w:rsidRPr="00A87AE8">
        <w:rPr>
          <w:bCs/>
          <w:i/>
          <w:sz w:val="32"/>
          <w:szCs w:val="32"/>
        </w:rPr>
        <w:t>Ферма - Регистър на земеделски земи</w:t>
      </w:r>
      <w:r w:rsidRPr="00A87AE8">
        <w:rPr>
          <w:bCs/>
          <w:sz w:val="32"/>
          <w:szCs w:val="32"/>
        </w:rPr>
        <w:t>);</w:t>
      </w:r>
    </w:p>
    <w:p w:rsidR="00A87AE8" w:rsidRPr="00A87AE8" w:rsidRDefault="00A87AE8" w:rsidP="00A87A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•</w:t>
      </w:r>
      <w:r w:rsidRPr="00A87AE8">
        <w:rPr>
          <w:bCs/>
          <w:sz w:val="32"/>
          <w:szCs w:val="32"/>
        </w:rPr>
        <w:tab/>
        <w:t>регистрация на правните основания за ползване на земеделските земи – договори за наем, за аренда, за съвместна обработка и др., споразумения за създаване на масиви за уедрено ползване, включително и графична част (</w:t>
      </w:r>
      <w:r w:rsidRPr="00A87AE8">
        <w:rPr>
          <w:bCs/>
          <w:i/>
          <w:sz w:val="32"/>
          <w:szCs w:val="32"/>
        </w:rPr>
        <w:t>Ферма Ползване</w:t>
      </w:r>
      <w:r w:rsidRPr="00A87AE8">
        <w:rPr>
          <w:bCs/>
          <w:sz w:val="32"/>
          <w:szCs w:val="32"/>
        </w:rPr>
        <w:t>).</w:t>
      </w:r>
    </w:p>
    <w:p w:rsidR="00A87AE8" w:rsidRPr="00A87AE8" w:rsidRDefault="00A87AE8" w:rsidP="00A87A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Крайният резултат е, че чрез тези специализирани модули е възможно да се предостави информация в текстови и графичен вид относно регистрираните в общинската служба по земеделие правни основания за ползване за всички поземлени имоти към определена дата, независимо от самото основание – собственост, договори, споразумение и др., и данни за ползвателите им.</w:t>
      </w:r>
    </w:p>
    <w:p w:rsidR="00A87AE8" w:rsidRPr="00A87AE8" w:rsidRDefault="00A87AE8" w:rsidP="00A87A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Следва да се отбележи, че след всяко изменение и допълнение на нормативната уредба, регламентираща поземлените отношения и ползването на земеделските земи, задължително следва и надграждане на съответния специализиран софтуер.</w:t>
      </w:r>
    </w:p>
    <w:p w:rsidR="009B2DAC" w:rsidRDefault="00A87AE8" w:rsidP="00422F64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>В посл</w:t>
      </w:r>
      <w:r w:rsidR="00422F64">
        <w:rPr>
          <w:bCs/>
          <w:sz w:val="32"/>
          <w:szCs w:val="32"/>
        </w:rPr>
        <w:t>едните години Министерството</w:t>
      </w:r>
      <w:r w:rsidRPr="00A87AE8">
        <w:rPr>
          <w:bCs/>
          <w:sz w:val="32"/>
          <w:szCs w:val="32"/>
        </w:rPr>
        <w:t xml:space="preserve"> на </w:t>
      </w:r>
      <w:r w:rsidR="004525B3">
        <w:rPr>
          <w:b/>
          <w:bCs/>
          <w:sz w:val="32"/>
          <w:szCs w:val="32"/>
        </w:rPr>
        <w:t>два</w:t>
      </w:r>
      <w:r w:rsidRPr="00A87AE8">
        <w:rPr>
          <w:b/>
          <w:bCs/>
          <w:sz w:val="32"/>
          <w:szCs w:val="32"/>
        </w:rPr>
        <w:t xml:space="preserve"> пъти стартира</w:t>
      </w:r>
      <w:r w:rsidRPr="00A87AE8">
        <w:rPr>
          <w:bCs/>
          <w:sz w:val="32"/>
          <w:szCs w:val="32"/>
        </w:rPr>
        <w:t xml:space="preserve"> обществени поръчки за изграждане на подобрена интегрирана система, които по различни причини не са </w:t>
      </w:r>
      <w:proofErr w:type="spellStart"/>
      <w:r w:rsidRPr="00A87AE8">
        <w:rPr>
          <w:bCs/>
          <w:sz w:val="32"/>
          <w:szCs w:val="32"/>
        </w:rPr>
        <w:t>финализирани</w:t>
      </w:r>
      <w:proofErr w:type="spellEnd"/>
      <w:r w:rsidRPr="00A87AE8">
        <w:rPr>
          <w:bCs/>
          <w:sz w:val="32"/>
          <w:szCs w:val="32"/>
        </w:rPr>
        <w:t xml:space="preserve">. </w:t>
      </w:r>
    </w:p>
    <w:p w:rsidR="008563DD" w:rsidRDefault="00A87AE8" w:rsidP="00422F64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r w:rsidRPr="00A87AE8">
        <w:rPr>
          <w:bCs/>
          <w:sz w:val="32"/>
          <w:szCs w:val="32"/>
        </w:rPr>
        <w:t xml:space="preserve">Към </w:t>
      </w:r>
      <w:r w:rsidR="00422F64">
        <w:rPr>
          <w:bCs/>
          <w:sz w:val="32"/>
          <w:szCs w:val="32"/>
        </w:rPr>
        <w:t>настоящия момент от 1 септември 2017 г.</w:t>
      </w:r>
      <w:r w:rsidRPr="00A87AE8">
        <w:rPr>
          <w:bCs/>
          <w:sz w:val="32"/>
          <w:szCs w:val="32"/>
        </w:rPr>
        <w:t xml:space="preserve"> е назначена работна група, която да изготви технически спецификации, критерии за подбор, методика за определяне на комплексна оценка на офертата, включително показатели за оценка и тяхната </w:t>
      </w:r>
      <w:r w:rsidRPr="00A87AE8">
        <w:rPr>
          <w:bCs/>
          <w:sz w:val="32"/>
          <w:szCs w:val="32"/>
        </w:rPr>
        <w:lastRenderedPageBreak/>
        <w:t>относителна тежест, с предмет „Разработване на географска информационна система (</w:t>
      </w:r>
      <w:r w:rsidRPr="00A87AE8">
        <w:rPr>
          <w:bCs/>
          <w:i/>
          <w:sz w:val="32"/>
          <w:szCs w:val="32"/>
        </w:rPr>
        <w:t>ГИС</w:t>
      </w:r>
      <w:r w:rsidRPr="00A87AE8">
        <w:rPr>
          <w:bCs/>
          <w:sz w:val="32"/>
          <w:szCs w:val="32"/>
        </w:rPr>
        <w:t>) за нуждите на П</w:t>
      </w:r>
      <w:r w:rsidR="00422F64">
        <w:rPr>
          <w:bCs/>
          <w:sz w:val="32"/>
          <w:szCs w:val="32"/>
        </w:rPr>
        <w:t>рограмата за развитие на селските райони</w:t>
      </w:r>
      <w:r w:rsidRPr="00A87AE8">
        <w:rPr>
          <w:bCs/>
          <w:sz w:val="32"/>
          <w:szCs w:val="32"/>
        </w:rPr>
        <w:t xml:space="preserve"> 2014 – </w:t>
      </w:r>
      <w:r w:rsidR="00422F64">
        <w:rPr>
          <w:bCs/>
          <w:sz w:val="32"/>
          <w:szCs w:val="32"/>
        </w:rPr>
        <w:t xml:space="preserve">2020г.“, която </w:t>
      </w:r>
      <w:r w:rsidR="00422F64" w:rsidRPr="00422F64">
        <w:rPr>
          <w:b/>
          <w:bCs/>
          <w:sz w:val="32"/>
          <w:szCs w:val="32"/>
        </w:rPr>
        <w:t xml:space="preserve">в срок до 29 септември </w:t>
      </w:r>
      <w:r w:rsidRPr="00A87AE8">
        <w:rPr>
          <w:b/>
          <w:bCs/>
          <w:sz w:val="32"/>
          <w:szCs w:val="32"/>
        </w:rPr>
        <w:t xml:space="preserve">2017 г. </w:t>
      </w:r>
      <w:r w:rsidRPr="00A87AE8">
        <w:rPr>
          <w:bCs/>
          <w:sz w:val="32"/>
          <w:szCs w:val="32"/>
        </w:rPr>
        <w:t>следва да предаде за одобрение проект на изготвените документи.</w:t>
      </w:r>
    </w:p>
    <w:p w:rsidR="001221E1" w:rsidRPr="00422F64" w:rsidRDefault="001221E1" w:rsidP="00422F64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sz w:val="32"/>
          <w:szCs w:val="32"/>
        </w:rPr>
      </w:pPr>
      <w:bookmarkStart w:id="0" w:name="_GoBack"/>
      <w:bookmarkEnd w:id="0"/>
    </w:p>
    <w:p w:rsidR="004327D3" w:rsidRPr="00B10989" w:rsidRDefault="001A7BC4" w:rsidP="00B10989">
      <w:pPr>
        <w:spacing w:line="360" w:lineRule="auto"/>
        <w:jc w:val="both"/>
        <w:rPr>
          <w:b/>
          <w:sz w:val="32"/>
          <w:szCs w:val="32"/>
        </w:rPr>
      </w:pPr>
      <w:r w:rsidRPr="00B10989">
        <w:rPr>
          <w:b/>
          <w:sz w:val="32"/>
          <w:szCs w:val="32"/>
        </w:rPr>
        <w:t>БЛАГОДАРЯ ЗА ВНИМАНИЕТО!</w:t>
      </w:r>
    </w:p>
    <w:sectPr w:rsidR="004327D3" w:rsidRPr="00B10989" w:rsidSect="001A7BC4">
      <w:pgSz w:w="11907" w:h="16839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4E8A"/>
    <w:multiLevelType w:val="hybridMultilevel"/>
    <w:tmpl w:val="9C2491DC"/>
    <w:lvl w:ilvl="0" w:tplc="698A55C0">
      <w:numFmt w:val="bullet"/>
      <w:lvlText w:val="•"/>
      <w:lvlJc w:val="left"/>
      <w:pPr>
        <w:ind w:left="2149" w:hanging="144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A5E03"/>
    <w:rsid w:val="000D6231"/>
    <w:rsid w:val="00102251"/>
    <w:rsid w:val="001221E1"/>
    <w:rsid w:val="00124314"/>
    <w:rsid w:val="001A7BC4"/>
    <w:rsid w:val="003E50A4"/>
    <w:rsid w:val="00422F64"/>
    <w:rsid w:val="004327D3"/>
    <w:rsid w:val="004525B3"/>
    <w:rsid w:val="007F438F"/>
    <w:rsid w:val="00840165"/>
    <w:rsid w:val="008563DD"/>
    <w:rsid w:val="009B2DAC"/>
    <w:rsid w:val="00A87AE8"/>
    <w:rsid w:val="00B10989"/>
    <w:rsid w:val="00F6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character" w:styleId="CommentReference">
    <w:name w:val="annotation reference"/>
    <w:rsid w:val="007F43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43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7F438F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8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character" w:styleId="CommentReference">
    <w:name w:val="annotation reference"/>
    <w:rsid w:val="007F43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43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7F438F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8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BE26B-3AAF-44D4-B6C4-9F585441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Martin Radev</cp:lastModifiedBy>
  <cp:revision>13</cp:revision>
  <dcterms:created xsi:type="dcterms:W3CDTF">2017-07-05T07:04:00Z</dcterms:created>
  <dcterms:modified xsi:type="dcterms:W3CDTF">2017-09-08T15:53:00Z</dcterms:modified>
</cp:coreProperties>
</file>