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BC4" w:rsidRPr="00B10989" w:rsidRDefault="001A7BC4" w:rsidP="000D6231">
      <w:pPr>
        <w:jc w:val="both"/>
        <w:rPr>
          <w:b/>
          <w:i/>
        </w:rPr>
      </w:pPr>
      <w:r w:rsidRPr="000D6231">
        <w:rPr>
          <w:b/>
          <w:i/>
        </w:rPr>
        <w:t>Отг</w:t>
      </w:r>
      <w:r w:rsidR="007F438F">
        <w:rPr>
          <w:b/>
          <w:i/>
        </w:rPr>
        <w:t>овор на въпрос от Стоян Мирчев и Светла Бъчварова – народни</w:t>
      </w:r>
      <w:r w:rsidRPr="000D6231">
        <w:rPr>
          <w:b/>
          <w:i/>
        </w:rPr>
        <w:t xml:space="preserve"> представител</w:t>
      </w:r>
      <w:r w:rsidR="007F438F">
        <w:rPr>
          <w:b/>
          <w:i/>
        </w:rPr>
        <w:t>и</w:t>
      </w:r>
      <w:r w:rsidRPr="000D6231">
        <w:rPr>
          <w:b/>
          <w:i/>
        </w:rPr>
        <w:t xml:space="preserve"> от ПГ на БСП за България относ</w:t>
      </w:r>
      <w:r w:rsidR="00B10989">
        <w:rPr>
          <w:b/>
          <w:i/>
        </w:rPr>
        <w:t>но политиката на Министерството на земеделието, храните и горите за развитие на биологичното производство</w:t>
      </w:r>
    </w:p>
    <w:p w:rsidR="001A7BC4" w:rsidRDefault="001A7BC4" w:rsidP="007F438F">
      <w:pPr>
        <w:spacing w:line="360" w:lineRule="auto"/>
        <w:jc w:val="both"/>
      </w:pPr>
    </w:p>
    <w:p w:rsidR="001A7BC4" w:rsidRPr="00102251" w:rsidRDefault="001A7BC4" w:rsidP="00102251">
      <w:pPr>
        <w:spacing w:line="276" w:lineRule="auto"/>
        <w:jc w:val="both"/>
        <w:rPr>
          <w:b/>
          <w:sz w:val="28"/>
          <w:szCs w:val="28"/>
        </w:rPr>
      </w:pPr>
      <w:r w:rsidRPr="00102251">
        <w:rPr>
          <w:b/>
          <w:sz w:val="28"/>
          <w:szCs w:val="28"/>
        </w:rPr>
        <w:t>УВАЖАЕМИ ГОСПОДИН ПРЕДСЕДАТЕЛ,</w:t>
      </w:r>
    </w:p>
    <w:p w:rsidR="001A7BC4" w:rsidRDefault="001A7BC4" w:rsidP="00102251">
      <w:pPr>
        <w:spacing w:line="276" w:lineRule="auto"/>
        <w:jc w:val="both"/>
        <w:rPr>
          <w:b/>
          <w:sz w:val="28"/>
          <w:szCs w:val="28"/>
        </w:rPr>
      </w:pPr>
      <w:r w:rsidRPr="00102251">
        <w:rPr>
          <w:b/>
          <w:sz w:val="28"/>
          <w:szCs w:val="28"/>
        </w:rPr>
        <w:t>ДАМИ И ГОСПОДА НАРОДНИ ПРЕДСТАВИТЕЛИ,</w:t>
      </w:r>
    </w:p>
    <w:p w:rsidR="007F438F" w:rsidRPr="00102251" w:rsidRDefault="007F438F" w:rsidP="00102251">
      <w:pPr>
        <w:spacing w:line="276" w:lineRule="auto"/>
        <w:jc w:val="both"/>
        <w:rPr>
          <w:b/>
          <w:sz w:val="28"/>
          <w:szCs w:val="28"/>
        </w:rPr>
      </w:pPr>
      <w:r>
        <w:rPr>
          <w:b/>
          <w:sz w:val="28"/>
          <w:szCs w:val="28"/>
        </w:rPr>
        <w:t>УВАЖАЕМА ПРОФЕСОР БЪЧВАРОВА,</w:t>
      </w:r>
    </w:p>
    <w:p w:rsidR="001A7BC4" w:rsidRDefault="00B10989" w:rsidP="00102251">
      <w:pPr>
        <w:spacing w:line="276" w:lineRule="auto"/>
        <w:jc w:val="both"/>
        <w:rPr>
          <w:b/>
          <w:sz w:val="28"/>
          <w:szCs w:val="28"/>
        </w:rPr>
      </w:pPr>
      <w:r>
        <w:rPr>
          <w:b/>
          <w:sz w:val="28"/>
          <w:szCs w:val="28"/>
        </w:rPr>
        <w:t>УВАЖАЕМИ ГОСПОДИН МИРЧЕВ</w:t>
      </w:r>
      <w:r w:rsidR="001A7BC4" w:rsidRPr="00102251">
        <w:rPr>
          <w:b/>
          <w:sz w:val="28"/>
          <w:szCs w:val="28"/>
        </w:rPr>
        <w:t>,</w:t>
      </w:r>
    </w:p>
    <w:p w:rsidR="00B10989" w:rsidRDefault="00B10989" w:rsidP="00B10989">
      <w:pPr>
        <w:spacing w:after="200" w:line="276" w:lineRule="auto"/>
        <w:ind w:firstLine="720"/>
        <w:jc w:val="both"/>
        <w:rPr>
          <w:rFonts w:eastAsiaTheme="minorHAnsi"/>
        </w:rPr>
      </w:pPr>
    </w:p>
    <w:p w:rsidR="00B10989" w:rsidRPr="00B10989" w:rsidRDefault="00B10989" w:rsidP="00B10989">
      <w:pPr>
        <w:spacing w:after="200" w:line="360" w:lineRule="auto"/>
        <w:ind w:firstLine="720"/>
        <w:jc w:val="both"/>
        <w:rPr>
          <w:rFonts w:eastAsiaTheme="minorHAnsi"/>
          <w:sz w:val="32"/>
          <w:szCs w:val="32"/>
        </w:rPr>
      </w:pPr>
      <w:r w:rsidRPr="00B10989">
        <w:rPr>
          <w:rFonts w:eastAsiaTheme="minorHAnsi"/>
          <w:sz w:val="32"/>
          <w:szCs w:val="32"/>
        </w:rPr>
        <w:t>През месец май 2017 беше публикуван анализ за възможностите за прием на заявления по мярка 11 „Биологично земеделие“ от Програмата за развитие на селските райони от периода 2014 – 2020. Резултатите от анализа показаха</w:t>
      </w:r>
      <w:r w:rsidRPr="00B10989">
        <w:rPr>
          <w:rFonts w:eastAsiaTheme="minorHAnsi"/>
          <w:sz w:val="32"/>
          <w:szCs w:val="32"/>
          <w:lang w:val="en-US"/>
        </w:rPr>
        <w:t xml:space="preserve"> </w:t>
      </w:r>
      <w:r w:rsidRPr="00B10989">
        <w:rPr>
          <w:rFonts w:eastAsiaTheme="minorHAnsi"/>
          <w:sz w:val="32"/>
          <w:szCs w:val="32"/>
        </w:rPr>
        <w:t>бюджетния дефицит по мярката в края на програмния период.</w:t>
      </w:r>
    </w:p>
    <w:p w:rsidR="00B10989" w:rsidRPr="00B10989" w:rsidRDefault="00B10989" w:rsidP="00B10989">
      <w:pPr>
        <w:spacing w:after="200" w:line="360" w:lineRule="auto"/>
        <w:ind w:firstLine="720"/>
        <w:jc w:val="both"/>
        <w:rPr>
          <w:rFonts w:eastAsiaTheme="minorHAnsi"/>
          <w:sz w:val="32"/>
          <w:szCs w:val="32"/>
        </w:rPr>
      </w:pPr>
      <w:r w:rsidRPr="00B10989">
        <w:rPr>
          <w:rFonts w:eastAsiaTheme="minorHAnsi"/>
          <w:sz w:val="32"/>
          <w:szCs w:val="32"/>
        </w:rPr>
        <w:t>След финализиране на плащанията по мярката от Д</w:t>
      </w:r>
      <w:r>
        <w:rPr>
          <w:rFonts w:eastAsiaTheme="minorHAnsi"/>
          <w:sz w:val="32"/>
          <w:szCs w:val="32"/>
        </w:rPr>
        <w:t>ържавен фонд</w:t>
      </w:r>
      <w:r w:rsidRPr="00B10989">
        <w:rPr>
          <w:rFonts w:eastAsiaTheme="minorHAnsi"/>
          <w:sz w:val="32"/>
          <w:szCs w:val="32"/>
        </w:rPr>
        <w:t xml:space="preserve"> „Земеделие“ и на база данните от приключилата</w:t>
      </w:r>
      <w:r>
        <w:rPr>
          <w:rFonts w:eastAsiaTheme="minorHAnsi"/>
          <w:sz w:val="32"/>
          <w:szCs w:val="32"/>
        </w:rPr>
        <w:t xml:space="preserve"> К</w:t>
      </w:r>
      <w:r w:rsidR="008563DD">
        <w:rPr>
          <w:rFonts w:eastAsiaTheme="minorHAnsi"/>
          <w:sz w:val="32"/>
          <w:szCs w:val="32"/>
        </w:rPr>
        <w:t>ампания 2017 б</w:t>
      </w:r>
      <w:r w:rsidRPr="00B10989">
        <w:rPr>
          <w:rFonts w:eastAsiaTheme="minorHAnsi"/>
          <w:sz w:val="32"/>
          <w:szCs w:val="32"/>
        </w:rPr>
        <w:t>е извършен повторен преглед на средствата, които са необходими за изпълнение на вече поетите ангажименти, като следва да се отчете възможността земеделските стопани да заявяват различни земеделски култури и съответно нива на подпомагане. Следва да бъде съобразен и факта, че целите в П</w:t>
      </w:r>
      <w:r>
        <w:rPr>
          <w:rFonts w:eastAsiaTheme="minorHAnsi"/>
          <w:sz w:val="32"/>
          <w:szCs w:val="32"/>
        </w:rPr>
        <w:t>рограмата за развитие на селските райони</w:t>
      </w:r>
      <w:r w:rsidRPr="00B10989">
        <w:rPr>
          <w:rFonts w:eastAsiaTheme="minorHAnsi"/>
          <w:sz w:val="32"/>
          <w:szCs w:val="32"/>
        </w:rPr>
        <w:t xml:space="preserve"> 2014 – 2020, заложени за под-мярката </w:t>
      </w:r>
      <w:r w:rsidRPr="00B10989">
        <w:rPr>
          <w:rFonts w:eastAsiaTheme="minorHAnsi"/>
          <w:sz w:val="32"/>
          <w:szCs w:val="32"/>
          <w:u w:val="single"/>
        </w:rPr>
        <w:t>за преход</w:t>
      </w:r>
      <w:r w:rsidRPr="00B10989">
        <w:rPr>
          <w:rFonts w:eastAsiaTheme="minorHAnsi"/>
          <w:sz w:val="32"/>
          <w:szCs w:val="32"/>
        </w:rPr>
        <w:t xml:space="preserve"> към биологично производство, са достигнати.</w:t>
      </w:r>
    </w:p>
    <w:p w:rsidR="00B10989" w:rsidRDefault="00B10989" w:rsidP="00B10989">
      <w:pPr>
        <w:spacing w:after="200" w:line="360" w:lineRule="auto"/>
        <w:ind w:firstLine="720"/>
        <w:jc w:val="both"/>
        <w:rPr>
          <w:rFonts w:eastAsiaTheme="minorHAnsi"/>
          <w:sz w:val="32"/>
          <w:szCs w:val="32"/>
          <w:lang w:val="en-US"/>
        </w:rPr>
      </w:pPr>
      <w:proofErr w:type="spellStart"/>
      <w:r>
        <w:rPr>
          <w:rFonts w:eastAsiaTheme="minorHAnsi"/>
          <w:sz w:val="32"/>
          <w:szCs w:val="32"/>
        </w:rPr>
        <w:t>Н</w:t>
      </w:r>
      <w:r w:rsidRPr="00B10989">
        <w:rPr>
          <w:rFonts w:eastAsiaTheme="minorHAnsi"/>
          <w:sz w:val="32"/>
          <w:szCs w:val="32"/>
        </w:rPr>
        <w:t>отифициране</w:t>
      </w:r>
      <w:r>
        <w:rPr>
          <w:rFonts w:eastAsiaTheme="minorHAnsi"/>
          <w:sz w:val="32"/>
          <w:szCs w:val="32"/>
        </w:rPr>
        <w:t>то</w:t>
      </w:r>
      <w:proofErr w:type="spellEnd"/>
      <w:r w:rsidRPr="00B10989">
        <w:rPr>
          <w:rFonts w:eastAsiaTheme="minorHAnsi"/>
          <w:sz w:val="32"/>
          <w:szCs w:val="32"/>
        </w:rPr>
        <w:t xml:space="preserve"> на изменение в </w:t>
      </w:r>
      <w:r>
        <w:rPr>
          <w:rFonts w:eastAsiaTheme="minorHAnsi"/>
          <w:sz w:val="32"/>
          <w:szCs w:val="32"/>
        </w:rPr>
        <w:t>П</w:t>
      </w:r>
      <w:r w:rsidRPr="00B10989">
        <w:rPr>
          <w:rFonts w:eastAsiaTheme="minorHAnsi"/>
          <w:sz w:val="32"/>
          <w:szCs w:val="32"/>
        </w:rPr>
        <w:t>рограмата, свързано с ангажиране на допълнителни средства към мярка 11 „Биологично земеделие“</w:t>
      </w:r>
      <w:r>
        <w:rPr>
          <w:rFonts w:eastAsiaTheme="minorHAnsi"/>
          <w:sz w:val="32"/>
          <w:szCs w:val="32"/>
        </w:rPr>
        <w:t xml:space="preserve"> </w:t>
      </w:r>
      <w:r w:rsidRPr="00B10989">
        <w:rPr>
          <w:rFonts w:eastAsiaTheme="minorHAnsi"/>
          <w:sz w:val="32"/>
          <w:szCs w:val="32"/>
        </w:rPr>
        <w:t xml:space="preserve">не би следвало да се разглежда като единственото решение на създалата се ситуация, </w:t>
      </w:r>
      <w:r>
        <w:rPr>
          <w:rFonts w:eastAsiaTheme="minorHAnsi"/>
          <w:sz w:val="32"/>
          <w:szCs w:val="32"/>
        </w:rPr>
        <w:t>защото</w:t>
      </w:r>
      <w:r w:rsidRPr="00B10989">
        <w:rPr>
          <w:rFonts w:eastAsiaTheme="minorHAnsi"/>
          <w:sz w:val="32"/>
          <w:szCs w:val="32"/>
        </w:rPr>
        <w:t xml:space="preserve"> прехвърлянето на средства към мярката може да доведе до ограничения в приеми по </w:t>
      </w:r>
      <w:r>
        <w:rPr>
          <w:rFonts w:eastAsiaTheme="minorHAnsi"/>
          <w:sz w:val="32"/>
          <w:szCs w:val="32"/>
        </w:rPr>
        <w:t>планирани в Програмата</w:t>
      </w:r>
      <w:r w:rsidRPr="00B10989">
        <w:rPr>
          <w:rFonts w:eastAsiaTheme="minorHAnsi"/>
          <w:sz w:val="32"/>
          <w:szCs w:val="32"/>
        </w:rPr>
        <w:t xml:space="preserve"> мерки и съответните заложени </w:t>
      </w:r>
      <w:r w:rsidRPr="00B10989">
        <w:rPr>
          <w:rFonts w:eastAsiaTheme="minorHAnsi"/>
          <w:sz w:val="32"/>
          <w:szCs w:val="32"/>
        </w:rPr>
        <w:lastRenderedPageBreak/>
        <w:t xml:space="preserve">индикатори. Към настоящия момент се разработват мерки, които да допринесат за подобряване на ефективността на системата за контрол в областта на биологичното земеделие. Препоръки, свързани със засилване на извършваните проверки, са отправяни както от службите на Европейската комисия, така и от самите земеделски стопани. По-високата ефективност на проверките, извършвани от всички компетентните органи цели от една страна да минимизира възможността за отпускане на средства към земеделски стопани, които прилагат недотам добри практики при извършваните дейности, като по този начин да се гарантира целесъобразното разходване на средствата по мярката. </w:t>
      </w:r>
    </w:p>
    <w:p w:rsidR="008563DD" w:rsidRPr="00581EF0" w:rsidRDefault="008563DD" w:rsidP="008563DD">
      <w:pPr>
        <w:spacing w:after="200" w:line="360" w:lineRule="auto"/>
        <w:ind w:firstLine="720"/>
        <w:jc w:val="both"/>
        <w:rPr>
          <w:rFonts w:eastAsiaTheme="minorHAnsi"/>
          <w:sz w:val="32"/>
          <w:szCs w:val="32"/>
          <w:lang w:val="en-US"/>
        </w:rPr>
      </w:pPr>
      <w:r>
        <w:rPr>
          <w:sz w:val="32"/>
          <w:szCs w:val="32"/>
        </w:rPr>
        <w:t>На база преглед на изпълнението на П</w:t>
      </w:r>
      <w:r w:rsidR="00124314">
        <w:rPr>
          <w:sz w:val="32"/>
          <w:szCs w:val="32"/>
        </w:rPr>
        <w:t>рограмата за развитие на селските райони</w:t>
      </w:r>
      <w:r>
        <w:rPr>
          <w:sz w:val="32"/>
          <w:szCs w:val="32"/>
        </w:rPr>
        <w:t xml:space="preserve"> 2014 – 2020 в края на 2018, от страна на Европейската комисия ще бъдат анализирани резултати</w:t>
      </w:r>
      <w:r w:rsidR="00124314">
        <w:rPr>
          <w:sz w:val="32"/>
          <w:szCs w:val="32"/>
        </w:rPr>
        <w:t>те от изпълнението й</w:t>
      </w:r>
      <w:r>
        <w:rPr>
          <w:sz w:val="32"/>
          <w:szCs w:val="32"/>
        </w:rPr>
        <w:t>, като на база тези резултати могат да бъдат изведени препоръки и предложени</w:t>
      </w:r>
      <w:r w:rsidR="00124314">
        <w:rPr>
          <w:sz w:val="32"/>
          <w:szCs w:val="32"/>
        </w:rPr>
        <w:t>я за изменения на Програмата</w:t>
      </w:r>
      <w:r w:rsidR="005C45FC">
        <w:rPr>
          <w:sz w:val="32"/>
          <w:szCs w:val="32"/>
        </w:rPr>
        <w:t>. Към настоящия момент това не е нова тема, по Мярка 11 има 50 млн. евро дефицит на база поетите към момента ангажименти, тъй като биологичните производители от 2011 от 1054 през 2016 година те са вече 7262. Това е брой регистрирани биологични производители или такива в преход. В тази връзка е невъзможно да бъдат покрити всички със субсидии, а могат да бъдат финансирани само тези, които са влезли в Програмата в настоящия програмен период и към тях са поети 5-годишните ангажименти.</w:t>
      </w:r>
    </w:p>
    <w:p w:rsidR="004327D3" w:rsidRPr="00B10989" w:rsidRDefault="001A7BC4" w:rsidP="00B10989">
      <w:pPr>
        <w:spacing w:line="360" w:lineRule="auto"/>
        <w:jc w:val="both"/>
        <w:rPr>
          <w:b/>
          <w:sz w:val="32"/>
          <w:szCs w:val="32"/>
        </w:rPr>
      </w:pPr>
      <w:bookmarkStart w:id="0" w:name="_GoBack"/>
      <w:bookmarkEnd w:id="0"/>
      <w:r w:rsidRPr="00B10989">
        <w:rPr>
          <w:b/>
          <w:sz w:val="32"/>
          <w:szCs w:val="32"/>
        </w:rPr>
        <w:t>БЛАГОДАРЯ ЗА ВНИМАНИЕТО!</w:t>
      </w:r>
    </w:p>
    <w:sectPr w:rsidR="004327D3" w:rsidRPr="00B10989" w:rsidSect="001A7BC4">
      <w:pgSz w:w="11907" w:h="16839"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BC4"/>
    <w:rsid w:val="000A5E03"/>
    <w:rsid w:val="000D6231"/>
    <w:rsid w:val="00102251"/>
    <w:rsid w:val="00124314"/>
    <w:rsid w:val="001A7BC4"/>
    <w:rsid w:val="003E50A4"/>
    <w:rsid w:val="004327D3"/>
    <w:rsid w:val="005C45FC"/>
    <w:rsid w:val="007F438F"/>
    <w:rsid w:val="00840165"/>
    <w:rsid w:val="008563DD"/>
    <w:rsid w:val="00B10989"/>
    <w:rsid w:val="00F67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 w:type="character" w:styleId="CommentReference">
    <w:name w:val="annotation reference"/>
    <w:rsid w:val="007F438F"/>
    <w:rPr>
      <w:sz w:val="16"/>
      <w:szCs w:val="16"/>
    </w:rPr>
  </w:style>
  <w:style w:type="paragraph" w:styleId="CommentText">
    <w:name w:val="annotation text"/>
    <w:basedOn w:val="Normal"/>
    <w:link w:val="CommentTextChar"/>
    <w:rsid w:val="007F438F"/>
    <w:pPr>
      <w:overflowPunct w:val="0"/>
      <w:autoSpaceDE w:val="0"/>
      <w:autoSpaceDN w:val="0"/>
      <w:adjustRightInd w:val="0"/>
      <w:textAlignment w:val="baseline"/>
    </w:pPr>
    <w:rPr>
      <w:rFonts w:ascii="Arial" w:hAnsi="Arial"/>
      <w:sz w:val="20"/>
      <w:szCs w:val="20"/>
      <w:lang w:val="en-US"/>
    </w:rPr>
  </w:style>
  <w:style w:type="character" w:customStyle="1" w:styleId="CommentTextChar">
    <w:name w:val="Comment Text Char"/>
    <w:basedOn w:val="DefaultParagraphFont"/>
    <w:link w:val="CommentText"/>
    <w:rsid w:val="007F438F"/>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7F438F"/>
    <w:rPr>
      <w:rFonts w:ascii="Tahoma" w:hAnsi="Tahoma" w:cs="Tahoma"/>
      <w:sz w:val="16"/>
      <w:szCs w:val="16"/>
    </w:rPr>
  </w:style>
  <w:style w:type="character" w:customStyle="1" w:styleId="BalloonTextChar">
    <w:name w:val="Balloon Text Char"/>
    <w:basedOn w:val="DefaultParagraphFont"/>
    <w:link w:val="BalloonText"/>
    <w:uiPriority w:val="99"/>
    <w:semiHidden/>
    <w:rsid w:val="007F438F"/>
    <w:rPr>
      <w:rFonts w:ascii="Tahoma" w:eastAsia="Times New Roman" w:hAnsi="Tahoma" w:cs="Tahoma"/>
      <w:sz w:val="16"/>
      <w:szCs w:val="16"/>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BC4"/>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лавие #3_"/>
    <w:link w:val="30"/>
    <w:uiPriority w:val="99"/>
    <w:rsid w:val="001A7BC4"/>
    <w:rPr>
      <w:b/>
      <w:bCs/>
      <w:sz w:val="23"/>
      <w:szCs w:val="23"/>
      <w:shd w:val="clear" w:color="auto" w:fill="FFFFFF"/>
    </w:rPr>
  </w:style>
  <w:style w:type="paragraph" w:customStyle="1" w:styleId="30">
    <w:name w:val="Заглавие #3"/>
    <w:basedOn w:val="Normal"/>
    <w:link w:val="3"/>
    <w:uiPriority w:val="99"/>
    <w:rsid w:val="001A7BC4"/>
    <w:pPr>
      <w:shd w:val="clear" w:color="auto" w:fill="FFFFFF"/>
      <w:spacing w:line="413" w:lineRule="exact"/>
      <w:outlineLvl w:val="2"/>
    </w:pPr>
    <w:rPr>
      <w:rFonts w:asciiTheme="minorHAnsi" w:eastAsiaTheme="minorHAnsi" w:hAnsiTheme="minorHAnsi" w:cstheme="minorBidi"/>
      <w:b/>
      <w:bCs/>
      <w:sz w:val="23"/>
      <w:szCs w:val="23"/>
      <w:lang w:val="en-US"/>
    </w:rPr>
  </w:style>
  <w:style w:type="character" w:styleId="CommentReference">
    <w:name w:val="annotation reference"/>
    <w:rsid w:val="007F438F"/>
    <w:rPr>
      <w:sz w:val="16"/>
      <w:szCs w:val="16"/>
    </w:rPr>
  </w:style>
  <w:style w:type="paragraph" w:styleId="CommentText">
    <w:name w:val="annotation text"/>
    <w:basedOn w:val="Normal"/>
    <w:link w:val="CommentTextChar"/>
    <w:rsid w:val="007F438F"/>
    <w:pPr>
      <w:overflowPunct w:val="0"/>
      <w:autoSpaceDE w:val="0"/>
      <w:autoSpaceDN w:val="0"/>
      <w:adjustRightInd w:val="0"/>
      <w:textAlignment w:val="baseline"/>
    </w:pPr>
    <w:rPr>
      <w:rFonts w:ascii="Arial" w:hAnsi="Arial"/>
      <w:sz w:val="20"/>
      <w:szCs w:val="20"/>
      <w:lang w:val="en-US"/>
    </w:rPr>
  </w:style>
  <w:style w:type="character" w:customStyle="1" w:styleId="CommentTextChar">
    <w:name w:val="Comment Text Char"/>
    <w:basedOn w:val="DefaultParagraphFont"/>
    <w:link w:val="CommentText"/>
    <w:rsid w:val="007F438F"/>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7F438F"/>
    <w:rPr>
      <w:rFonts w:ascii="Tahoma" w:hAnsi="Tahoma" w:cs="Tahoma"/>
      <w:sz w:val="16"/>
      <w:szCs w:val="16"/>
    </w:rPr>
  </w:style>
  <w:style w:type="character" w:customStyle="1" w:styleId="BalloonTextChar">
    <w:name w:val="Balloon Text Char"/>
    <w:basedOn w:val="DefaultParagraphFont"/>
    <w:link w:val="BalloonText"/>
    <w:uiPriority w:val="99"/>
    <w:semiHidden/>
    <w:rsid w:val="007F438F"/>
    <w:rPr>
      <w:rFonts w:ascii="Tahoma" w:eastAsia="Times New Roman" w:hAnsi="Tahoma" w:cs="Tahoma"/>
      <w:sz w:val="16"/>
      <w:szCs w:val="16"/>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Draganova</dc:creator>
  <cp:lastModifiedBy>Martin Radev</cp:lastModifiedBy>
  <cp:revision>8</cp:revision>
  <dcterms:created xsi:type="dcterms:W3CDTF">2017-07-05T07:04:00Z</dcterms:created>
  <dcterms:modified xsi:type="dcterms:W3CDTF">2017-09-08T14:04:00Z</dcterms:modified>
</cp:coreProperties>
</file>