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BC4" w:rsidRPr="00B10989" w:rsidRDefault="001A7BC4" w:rsidP="000D6231">
      <w:pPr>
        <w:jc w:val="both"/>
        <w:rPr>
          <w:b/>
          <w:i/>
        </w:rPr>
      </w:pPr>
      <w:r w:rsidRPr="000D6231">
        <w:rPr>
          <w:b/>
          <w:i/>
        </w:rPr>
        <w:t>Отг</w:t>
      </w:r>
      <w:r w:rsidR="00B953D4">
        <w:rPr>
          <w:b/>
          <w:i/>
        </w:rPr>
        <w:t xml:space="preserve">овор на </w:t>
      </w:r>
      <w:r w:rsidR="00B953D4" w:rsidRPr="00B953D4">
        <w:rPr>
          <w:b/>
          <w:i/>
          <w:u w:val="single"/>
        </w:rPr>
        <w:t>питане</w:t>
      </w:r>
      <w:r w:rsidR="007F438F">
        <w:rPr>
          <w:b/>
          <w:i/>
        </w:rPr>
        <w:t xml:space="preserve"> от</w:t>
      </w:r>
      <w:r w:rsidR="00761FB3">
        <w:rPr>
          <w:b/>
          <w:i/>
        </w:rPr>
        <w:t xml:space="preserve"> </w:t>
      </w:r>
      <w:r w:rsidR="00B953D4">
        <w:rPr>
          <w:b/>
          <w:i/>
        </w:rPr>
        <w:t>Ивелина Василева и Димитър Бойчев – народни</w:t>
      </w:r>
      <w:r w:rsidRPr="000D6231">
        <w:rPr>
          <w:b/>
          <w:i/>
        </w:rPr>
        <w:t xml:space="preserve"> представител</w:t>
      </w:r>
      <w:r w:rsidR="00B953D4">
        <w:rPr>
          <w:b/>
          <w:i/>
        </w:rPr>
        <w:t>и</w:t>
      </w:r>
      <w:r w:rsidRPr="000D6231">
        <w:rPr>
          <w:b/>
          <w:i/>
        </w:rPr>
        <w:t xml:space="preserve"> от ПГ на </w:t>
      </w:r>
      <w:r w:rsidR="00761FB3">
        <w:rPr>
          <w:b/>
          <w:i/>
        </w:rPr>
        <w:t>ГЕРБ</w:t>
      </w:r>
      <w:r w:rsidRPr="000D6231">
        <w:rPr>
          <w:b/>
          <w:i/>
        </w:rPr>
        <w:t xml:space="preserve"> относ</w:t>
      </w:r>
      <w:r w:rsidR="00B953D4">
        <w:rPr>
          <w:b/>
          <w:i/>
        </w:rPr>
        <w:t>но спазване на разпоредбите, имащи отношение към риболовния капацитет и възможностите за риболов, и коректно прилагане на процедурите от страна на Изпълнителната агенция по рибарство и аквакултури</w:t>
      </w:r>
    </w:p>
    <w:p w:rsidR="001A7BC4" w:rsidRDefault="001A7BC4" w:rsidP="007F438F">
      <w:pPr>
        <w:spacing w:line="360" w:lineRule="auto"/>
        <w:jc w:val="both"/>
      </w:pPr>
    </w:p>
    <w:p w:rsidR="001A7BC4" w:rsidRPr="00102251" w:rsidRDefault="001A7BC4" w:rsidP="00102251">
      <w:pPr>
        <w:spacing w:line="276" w:lineRule="auto"/>
        <w:jc w:val="both"/>
        <w:rPr>
          <w:b/>
          <w:sz w:val="28"/>
          <w:szCs w:val="28"/>
        </w:rPr>
      </w:pPr>
      <w:r w:rsidRPr="00102251">
        <w:rPr>
          <w:b/>
          <w:sz w:val="28"/>
          <w:szCs w:val="28"/>
        </w:rPr>
        <w:t>УВАЖАЕМИ ГОСПОДИН ПРЕДСЕДАТЕЛ,</w:t>
      </w:r>
    </w:p>
    <w:p w:rsidR="007F438F" w:rsidRDefault="001A7BC4" w:rsidP="00102251">
      <w:pPr>
        <w:spacing w:line="276" w:lineRule="auto"/>
        <w:jc w:val="both"/>
        <w:rPr>
          <w:b/>
          <w:sz w:val="28"/>
          <w:szCs w:val="28"/>
        </w:rPr>
      </w:pPr>
      <w:r w:rsidRPr="00102251">
        <w:rPr>
          <w:b/>
          <w:sz w:val="28"/>
          <w:szCs w:val="28"/>
        </w:rPr>
        <w:t>ДАМИ И ГОСПОДА НАРОДНИ ПРЕДСТАВИТЕЛИ,</w:t>
      </w:r>
    </w:p>
    <w:p w:rsidR="00B953D4" w:rsidRPr="00102251" w:rsidRDefault="00B953D4" w:rsidP="00102251">
      <w:pPr>
        <w:spacing w:line="276" w:lineRule="auto"/>
        <w:jc w:val="both"/>
        <w:rPr>
          <w:b/>
          <w:sz w:val="28"/>
          <w:szCs w:val="28"/>
        </w:rPr>
      </w:pPr>
      <w:r>
        <w:rPr>
          <w:b/>
          <w:sz w:val="28"/>
          <w:szCs w:val="28"/>
        </w:rPr>
        <w:t>УВАЖАЕМА ГОСПОЖО ВАСИЛЕВА,</w:t>
      </w:r>
    </w:p>
    <w:p w:rsidR="001A7BC4" w:rsidRDefault="00761FB3" w:rsidP="00102251">
      <w:pPr>
        <w:spacing w:line="276" w:lineRule="auto"/>
        <w:jc w:val="both"/>
        <w:rPr>
          <w:b/>
          <w:sz w:val="28"/>
          <w:szCs w:val="28"/>
        </w:rPr>
      </w:pPr>
      <w:r>
        <w:rPr>
          <w:b/>
          <w:sz w:val="28"/>
          <w:szCs w:val="28"/>
        </w:rPr>
        <w:t>УВАЖАЕМИ ГОСПОДИН БОЙЧЕВ</w:t>
      </w:r>
      <w:r w:rsidR="001A7BC4" w:rsidRPr="00102251">
        <w:rPr>
          <w:b/>
          <w:sz w:val="28"/>
          <w:szCs w:val="28"/>
        </w:rPr>
        <w:t>,</w:t>
      </w:r>
    </w:p>
    <w:p w:rsidR="00B953D4" w:rsidRDefault="00B953D4" w:rsidP="00102251">
      <w:pPr>
        <w:spacing w:line="276" w:lineRule="auto"/>
        <w:jc w:val="both"/>
        <w:rPr>
          <w:b/>
          <w:sz w:val="28"/>
          <w:szCs w:val="28"/>
        </w:rPr>
      </w:pPr>
    </w:p>
    <w:p w:rsidR="00B953D4" w:rsidRPr="00B953D4" w:rsidRDefault="00B953D4" w:rsidP="00B953D4">
      <w:pPr>
        <w:shd w:val="clear" w:color="auto" w:fill="FFFFFF"/>
        <w:spacing w:after="200" w:line="360" w:lineRule="auto"/>
        <w:ind w:firstLine="567"/>
        <w:jc w:val="both"/>
        <w:rPr>
          <w:color w:val="000000"/>
          <w:sz w:val="32"/>
          <w:szCs w:val="32"/>
          <w:lang w:eastAsia="bg-BG"/>
        </w:rPr>
      </w:pPr>
      <w:r w:rsidRPr="00B953D4">
        <w:rPr>
          <w:color w:val="000000"/>
          <w:sz w:val="32"/>
          <w:szCs w:val="32"/>
          <w:lang w:eastAsia="bg-BG"/>
        </w:rPr>
        <w:t>Съгласно вътрешните правила за организация на деловодната дейност и документооборота в И</w:t>
      </w:r>
      <w:r>
        <w:rPr>
          <w:color w:val="000000"/>
          <w:sz w:val="32"/>
          <w:szCs w:val="32"/>
          <w:lang w:eastAsia="bg-BG"/>
        </w:rPr>
        <w:t>зпълнителната агенция по рибарство и аквакултури</w:t>
      </w:r>
      <w:r w:rsidRPr="00B953D4">
        <w:rPr>
          <w:color w:val="000000"/>
          <w:sz w:val="32"/>
          <w:szCs w:val="32"/>
          <w:lang w:eastAsia="bg-BG"/>
        </w:rPr>
        <w:t xml:space="preserve"> всички входящи документи се регистрират в деловодната система на Агенцията. Във връзка с твърдението за отказ на приемане на заявления за извършване на стопански риболов, бих желал да Ви уведомя, че бе извършена вътрешна п</w:t>
      </w:r>
      <w:r>
        <w:rPr>
          <w:color w:val="000000"/>
          <w:sz w:val="32"/>
          <w:szCs w:val="32"/>
          <w:lang w:eastAsia="bg-BG"/>
        </w:rPr>
        <w:t>роверка на документацията в Агенцията</w:t>
      </w:r>
      <w:r w:rsidRPr="00B953D4">
        <w:rPr>
          <w:color w:val="000000"/>
          <w:sz w:val="32"/>
          <w:szCs w:val="32"/>
          <w:lang w:eastAsia="bg-BG"/>
        </w:rPr>
        <w:t xml:space="preserve"> и не бе установен отказ за прием на заявления. Нещо повече – от началото на тази година ИАРА е издала </w:t>
      </w:r>
      <w:r w:rsidRPr="00B953D4">
        <w:rPr>
          <w:b/>
          <w:color w:val="000000"/>
          <w:sz w:val="32"/>
          <w:szCs w:val="32"/>
          <w:lang w:eastAsia="bg-BG"/>
        </w:rPr>
        <w:t xml:space="preserve">129 </w:t>
      </w:r>
      <w:r w:rsidRPr="00B953D4">
        <w:rPr>
          <w:color w:val="000000"/>
          <w:sz w:val="32"/>
          <w:szCs w:val="32"/>
          <w:lang w:eastAsia="bg-BG"/>
        </w:rPr>
        <w:t>безсрочни разрешителни за стопански риболов.</w:t>
      </w:r>
    </w:p>
    <w:p w:rsidR="00B953D4" w:rsidRPr="00B953D4" w:rsidRDefault="00B953D4" w:rsidP="00B953D4">
      <w:pPr>
        <w:shd w:val="clear" w:color="auto" w:fill="FFFFFF"/>
        <w:spacing w:after="200" w:line="360" w:lineRule="auto"/>
        <w:ind w:firstLine="567"/>
        <w:jc w:val="both"/>
        <w:rPr>
          <w:color w:val="000000"/>
          <w:sz w:val="32"/>
          <w:szCs w:val="32"/>
          <w:lang w:eastAsia="bg-BG"/>
        </w:rPr>
      </w:pPr>
      <w:r w:rsidRPr="00B953D4">
        <w:rPr>
          <w:color w:val="000000"/>
          <w:sz w:val="32"/>
          <w:szCs w:val="32"/>
          <w:lang w:eastAsia="bg-BG"/>
        </w:rPr>
        <w:t>По отношение на управлението на риболовния флот, всички държави-членки на Европейския съюз в това число и България, са длъжни да предоставят на Европейската Комисия годишни доклади относно баланса между риболовния капацитет на своя флот</w:t>
      </w:r>
      <w:r w:rsidRPr="00B953D4">
        <w:rPr>
          <w:sz w:val="32"/>
          <w:szCs w:val="32"/>
          <w:lang w:eastAsia="bg-BG"/>
        </w:rPr>
        <w:t xml:space="preserve"> </w:t>
      </w:r>
      <w:r w:rsidRPr="00B953D4">
        <w:rPr>
          <w:color w:val="000000"/>
          <w:sz w:val="32"/>
          <w:szCs w:val="32"/>
          <w:lang w:eastAsia="bg-BG"/>
        </w:rPr>
        <w:t>и възможностите си за риболов. В докладите за 2015 и 2016 година, наред с анализа на икономическите, техническите и биологичните инд</w:t>
      </w:r>
      <w:r>
        <w:rPr>
          <w:color w:val="000000"/>
          <w:sz w:val="32"/>
          <w:szCs w:val="32"/>
          <w:lang w:eastAsia="bg-BG"/>
        </w:rPr>
        <w:t>икатори на риболовния флот, Агенцията</w:t>
      </w:r>
      <w:r w:rsidRPr="00B953D4">
        <w:rPr>
          <w:color w:val="000000"/>
          <w:sz w:val="32"/>
          <w:szCs w:val="32"/>
          <w:lang w:eastAsia="bg-BG"/>
        </w:rPr>
        <w:t xml:space="preserve"> е предвидила и мерки за адаптиране на сегментите от флота, за които има установен структурен излишък на капацитет. Същите са включени в план за действие по отношение на небалансираните сегменти от флота. </w:t>
      </w:r>
      <w:r w:rsidRPr="00B953D4">
        <w:rPr>
          <w:color w:val="000000"/>
          <w:sz w:val="32"/>
          <w:szCs w:val="32"/>
          <w:lang w:eastAsia="bg-BG"/>
        </w:rPr>
        <w:lastRenderedPageBreak/>
        <w:t>Съгласно тези мерки се предвижда през 2017 година да бъдат отписани от регистъра на риболовните кораби,</w:t>
      </w:r>
      <w:r>
        <w:rPr>
          <w:color w:val="000000"/>
          <w:sz w:val="32"/>
          <w:szCs w:val="32"/>
          <w:lang w:eastAsia="bg-BG"/>
        </w:rPr>
        <w:t xml:space="preserve"> </w:t>
      </w:r>
      <w:r w:rsidRPr="00B953D4">
        <w:rPr>
          <w:color w:val="000000"/>
          <w:sz w:val="32"/>
          <w:szCs w:val="32"/>
          <w:lang w:eastAsia="bg-BG"/>
        </w:rPr>
        <w:t>тези плавателни съдове, които не са извършвали риболовна дейност през 2014 и 2015 година. Към настоящия момента тече процедура по отписването на тези риболовни съдове, а освободеният капацитет ще бъде разпределен по реда на националното законодателство.</w:t>
      </w:r>
    </w:p>
    <w:p w:rsidR="00B953D4" w:rsidRPr="00B953D4" w:rsidRDefault="00B953D4" w:rsidP="00B953D4">
      <w:pPr>
        <w:shd w:val="clear" w:color="auto" w:fill="FFFFFF"/>
        <w:spacing w:line="360" w:lineRule="auto"/>
        <w:ind w:firstLine="567"/>
        <w:jc w:val="both"/>
        <w:rPr>
          <w:color w:val="000000"/>
          <w:sz w:val="32"/>
          <w:szCs w:val="32"/>
          <w:lang w:eastAsia="bg-BG"/>
        </w:rPr>
      </w:pPr>
      <w:r w:rsidRPr="00B953D4">
        <w:rPr>
          <w:color w:val="000000"/>
          <w:sz w:val="32"/>
          <w:szCs w:val="32"/>
          <w:lang w:eastAsia="bg-BG"/>
        </w:rPr>
        <w:t>Съгласно разпоредбите на националното законодателство (</w:t>
      </w:r>
      <w:r w:rsidRPr="00B953D4">
        <w:rPr>
          <w:i/>
          <w:color w:val="000000"/>
          <w:lang w:eastAsia="bg-BG"/>
        </w:rPr>
        <w:t>Наредба № 54 от 2006 г. за водене на регистрите по чл. 16 от Закона за рибарството и аквакултурите</w:t>
      </w:r>
      <w:r w:rsidRPr="00B953D4">
        <w:rPr>
          <w:color w:val="000000"/>
          <w:sz w:val="32"/>
          <w:szCs w:val="32"/>
          <w:lang w:eastAsia="bg-BG"/>
        </w:rPr>
        <w:t>) всички кораби, използвани за извършване на стопански риболов във водите на Черно море или превоз на продукти от риболов</w:t>
      </w:r>
      <w:r w:rsidR="00A660B2">
        <w:rPr>
          <w:color w:val="000000"/>
          <w:sz w:val="32"/>
          <w:szCs w:val="32"/>
          <w:lang w:eastAsia="bg-BG"/>
        </w:rPr>
        <w:t>,</w:t>
      </w:r>
      <w:r w:rsidRPr="00B953D4">
        <w:rPr>
          <w:color w:val="000000"/>
          <w:sz w:val="32"/>
          <w:szCs w:val="32"/>
          <w:lang w:eastAsia="bg-BG"/>
        </w:rPr>
        <w:t xml:space="preserve"> трябва да бъдат вписвани в регистъра на риболовните кораби. Вписването се извършва след осигуряване на свободен капацитет (</w:t>
      </w:r>
      <w:r w:rsidRPr="00A660B2">
        <w:rPr>
          <w:i/>
          <w:color w:val="000000"/>
          <w:lang w:eastAsia="bg-BG"/>
        </w:rPr>
        <w:t xml:space="preserve">бруто тонаж и мощност, </w:t>
      </w:r>
      <w:r w:rsidRPr="00A660B2">
        <w:rPr>
          <w:i/>
          <w:lang w:eastAsia="bg-BG"/>
        </w:rPr>
        <w:t>kW</w:t>
      </w:r>
      <w:r w:rsidRPr="00B953D4">
        <w:rPr>
          <w:color w:val="000000"/>
          <w:sz w:val="32"/>
          <w:szCs w:val="32"/>
          <w:lang w:eastAsia="bg-BG"/>
        </w:rPr>
        <w:t>), което е задължение на собственика на риболовния кораб, и след вписване в регистъра на корабите,</w:t>
      </w:r>
      <w:r>
        <w:rPr>
          <w:color w:val="000000"/>
          <w:sz w:val="32"/>
          <w:szCs w:val="32"/>
          <w:lang w:eastAsia="bg-BG"/>
        </w:rPr>
        <w:t xml:space="preserve"> воден от Изпълнителна агенция „Морска администрация“</w:t>
      </w:r>
      <w:r w:rsidRPr="00B953D4">
        <w:rPr>
          <w:color w:val="000000"/>
          <w:sz w:val="32"/>
          <w:szCs w:val="32"/>
          <w:lang w:eastAsia="bg-BG"/>
        </w:rPr>
        <w:t>. В този смисъл вписването на риболовни кораби чрез осигуряване на свободен капацитет се явява постоянен процес, който не налага задължително провеждане на процедура за разпределяне на свободен капацитет.</w:t>
      </w:r>
    </w:p>
    <w:p w:rsidR="00B953D4" w:rsidRPr="00B953D4" w:rsidRDefault="00B953D4" w:rsidP="00B953D4">
      <w:pPr>
        <w:shd w:val="clear" w:color="auto" w:fill="FFFFFF"/>
        <w:spacing w:line="360" w:lineRule="auto"/>
        <w:ind w:firstLine="567"/>
        <w:jc w:val="both"/>
        <w:rPr>
          <w:color w:val="000000"/>
          <w:sz w:val="32"/>
          <w:szCs w:val="32"/>
          <w:lang w:eastAsia="bg-BG"/>
        </w:rPr>
      </w:pPr>
      <w:r w:rsidRPr="00B953D4">
        <w:rPr>
          <w:color w:val="000000"/>
          <w:sz w:val="32"/>
          <w:szCs w:val="32"/>
          <w:lang w:eastAsia="bg-BG"/>
        </w:rPr>
        <w:t>До момента процедури за разпределяне на свободен капацитет са се провеждали, когато е имало наличен достатъчно свободен такъв. Това което имам предвид е, че свободния бруто тонаж, изразен в бруто тона следва да бъде достатъчен за да обезпечи съответната мощност, изразена в киловати и обратното,</w:t>
      </w:r>
    </w:p>
    <w:p w:rsidR="00B953D4" w:rsidRPr="00B953D4" w:rsidRDefault="00B953D4" w:rsidP="00B953D4">
      <w:pPr>
        <w:shd w:val="clear" w:color="auto" w:fill="FFFFFF"/>
        <w:spacing w:after="200" w:line="360" w:lineRule="auto"/>
        <w:ind w:firstLine="567"/>
        <w:jc w:val="both"/>
        <w:rPr>
          <w:color w:val="000000"/>
          <w:sz w:val="32"/>
          <w:szCs w:val="32"/>
          <w:lang w:eastAsia="bg-BG"/>
        </w:rPr>
      </w:pPr>
      <w:r w:rsidRPr="00B953D4">
        <w:rPr>
          <w:color w:val="000000"/>
          <w:sz w:val="32"/>
          <w:szCs w:val="32"/>
          <w:lang w:eastAsia="bg-BG"/>
        </w:rPr>
        <w:t xml:space="preserve">От друга страна, към настоящия момент процедурата по разпределение на капацитет, проведена през 2016 година, е в процес на съдебен контрол. В случай, че съдът отмени заповедта за </w:t>
      </w:r>
      <w:r w:rsidRPr="00B953D4">
        <w:rPr>
          <w:color w:val="000000"/>
          <w:sz w:val="32"/>
          <w:szCs w:val="32"/>
          <w:lang w:eastAsia="bg-BG"/>
        </w:rPr>
        <w:lastRenderedPageBreak/>
        <w:t>разпределяне на свободен капацитет</w:t>
      </w:r>
      <w:r w:rsidR="009544B2">
        <w:rPr>
          <w:color w:val="000000"/>
          <w:sz w:val="32"/>
          <w:szCs w:val="32"/>
          <w:lang w:val="en-US" w:eastAsia="bg-BG"/>
        </w:rPr>
        <w:t xml:space="preserve"> </w:t>
      </w:r>
      <w:r w:rsidR="009544B2">
        <w:rPr>
          <w:color w:val="000000"/>
          <w:sz w:val="32"/>
          <w:szCs w:val="32"/>
          <w:lang w:eastAsia="bg-BG"/>
        </w:rPr>
        <w:t>от 2016 г.</w:t>
      </w:r>
      <w:r w:rsidRPr="00B953D4">
        <w:rPr>
          <w:color w:val="000000"/>
          <w:sz w:val="32"/>
          <w:szCs w:val="32"/>
          <w:lang w:eastAsia="bg-BG"/>
        </w:rPr>
        <w:t>, е необходимо Агенцията да разполага с наличен такъв, който да бъде предоставен на жалбоподателите, без да се засегнат правата на лицата, които са получили капацитет по процедурата. Следва да се има предвид, че съгласно европейското законодателство за България има определено ниво на риболовния капацитет, което не може да бъде превишавано.</w:t>
      </w:r>
    </w:p>
    <w:p w:rsidR="00B953D4" w:rsidRDefault="00B953D4" w:rsidP="00B953D4">
      <w:pPr>
        <w:shd w:val="clear" w:color="auto" w:fill="FFFFFF"/>
        <w:spacing w:after="200" w:line="360" w:lineRule="auto"/>
        <w:ind w:firstLine="567"/>
        <w:jc w:val="both"/>
        <w:rPr>
          <w:color w:val="000000"/>
          <w:sz w:val="32"/>
          <w:szCs w:val="32"/>
          <w:lang w:eastAsia="bg-BG"/>
        </w:rPr>
      </w:pPr>
      <w:r w:rsidRPr="00B953D4">
        <w:rPr>
          <w:color w:val="000000"/>
          <w:sz w:val="32"/>
          <w:szCs w:val="32"/>
          <w:lang w:eastAsia="bg-BG"/>
        </w:rPr>
        <w:t>Във връзка с осигуряването на прозрачност и публичност при разпределянето на риболовен</w:t>
      </w:r>
      <w:r>
        <w:rPr>
          <w:color w:val="000000"/>
          <w:sz w:val="32"/>
          <w:szCs w:val="32"/>
          <w:lang w:eastAsia="bg-BG"/>
        </w:rPr>
        <w:t xml:space="preserve"> капацитет,</w:t>
      </w:r>
      <w:r w:rsidRPr="00B953D4">
        <w:rPr>
          <w:color w:val="000000"/>
          <w:sz w:val="32"/>
          <w:szCs w:val="32"/>
          <w:lang w:eastAsia="bg-BG"/>
        </w:rPr>
        <w:t xml:space="preserve"> на 21 септември 2017 г. стартира</w:t>
      </w:r>
      <w:r w:rsidRPr="00B953D4">
        <w:rPr>
          <w:sz w:val="32"/>
          <w:szCs w:val="32"/>
          <w:lang w:eastAsia="bg-BG"/>
        </w:rPr>
        <w:t xml:space="preserve"> </w:t>
      </w:r>
      <w:r w:rsidRPr="00B953D4">
        <w:rPr>
          <w:color w:val="000000"/>
          <w:sz w:val="32"/>
          <w:szCs w:val="32"/>
          <w:lang w:eastAsia="bg-BG"/>
        </w:rPr>
        <w:t>производство по издаване на общ административен акт за разпределяне на риболовен к</w:t>
      </w:r>
      <w:r w:rsidR="00A660B2">
        <w:rPr>
          <w:color w:val="000000"/>
          <w:sz w:val="32"/>
          <w:szCs w:val="32"/>
          <w:lang w:eastAsia="bg-BG"/>
        </w:rPr>
        <w:t>апацитет</w:t>
      </w:r>
      <w:r w:rsidRPr="00B953D4">
        <w:rPr>
          <w:color w:val="000000"/>
          <w:sz w:val="32"/>
          <w:szCs w:val="32"/>
          <w:lang w:eastAsia="bg-BG"/>
        </w:rPr>
        <w:t>. На интернет страницата на ИАРА са публикувани уведомление и проект на заповед н</w:t>
      </w:r>
      <w:r>
        <w:rPr>
          <w:color w:val="000000"/>
          <w:sz w:val="32"/>
          <w:szCs w:val="32"/>
          <w:lang w:eastAsia="bg-BG"/>
        </w:rPr>
        <w:t>а изпълнителния директор на Агенцията</w:t>
      </w:r>
      <w:r w:rsidRPr="00B953D4">
        <w:rPr>
          <w:color w:val="000000"/>
          <w:sz w:val="32"/>
          <w:szCs w:val="32"/>
          <w:lang w:eastAsia="bg-BG"/>
        </w:rPr>
        <w:t xml:space="preserve"> за разпределяне на риболовен капацитет. По този начин се осигурява възможност и срок на заинтересованите лица да участват в производството чрез писмени предложения и възражения. Агенцията се ангажира да осигури необходимата публичност и прозрачност на процедурата.</w:t>
      </w:r>
      <w:r>
        <w:rPr>
          <w:color w:val="000000"/>
          <w:sz w:val="32"/>
          <w:szCs w:val="32"/>
          <w:lang w:eastAsia="bg-BG"/>
        </w:rPr>
        <w:t xml:space="preserve"> </w:t>
      </w:r>
    </w:p>
    <w:p w:rsidR="00137614" w:rsidRPr="00137614" w:rsidRDefault="001A7BC4" w:rsidP="00B953D4">
      <w:pPr>
        <w:shd w:val="clear" w:color="auto" w:fill="FFFFFF"/>
        <w:spacing w:after="200" w:line="360" w:lineRule="auto"/>
        <w:jc w:val="both"/>
        <w:rPr>
          <w:b/>
          <w:sz w:val="32"/>
          <w:szCs w:val="32"/>
        </w:rPr>
      </w:pPr>
      <w:r w:rsidRPr="00B10989">
        <w:rPr>
          <w:b/>
          <w:sz w:val="32"/>
          <w:szCs w:val="32"/>
        </w:rPr>
        <w:t>БЛАГОДАРЯ ЗА ВНИМАНИЕТО!</w:t>
      </w:r>
      <w:bookmarkStart w:id="0" w:name="_GoBack"/>
      <w:bookmarkEnd w:id="0"/>
    </w:p>
    <w:sectPr w:rsidR="00137614" w:rsidRPr="00137614" w:rsidSect="00B953D4">
      <w:pgSz w:w="11907" w:h="16839" w:code="9"/>
      <w:pgMar w:top="1134" w:right="851" w:bottom="56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BC4"/>
    <w:rsid w:val="000A5E03"/>
    <w:rsid w:val="000D4786"/>
    <w:rsid w:val="000D6231"/>
    <w:rsid w:val="00102251"/>
    <w:rsid w:val="00137614"/>
    <w:rsid w:val="001A7BC4"/>
    <w:rsid w:val="002D5EDD"/>
    <w:rsid w:val="003E50A4"/>
    <w:rsid w:val="00420CB7"/>
    <w:rsid w:val="004327D3"/>
    <w:rsid w:val="004549AB"/>
    <w:rsid w:val="00761FB3"/>
    <w:rsid w:val="00787346"/>
    <w:rsid w:val="007E0D09"/>
    <w:rsid w:val="007F438F"/>
    <w:rsid w:val="00840165"/>
    <w:rsid w:val="0085721D"/>
    <w:rsid w:val="009544B2"/>
    <w:rsid w:val="00A660B2"/>
    <w:rsid w:val="00AD1E2D"/>
    <w:rsid w:val="00B10989"/>
    <w:rsid w:val="00B953D4"/>
    <w:rsid w:val="00D4206F"/>
    <w:rsid w:val="00D86A41"/>
    <w:rsid w:val="00F67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C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лавие #3_"/>
    <w:link w:val="30"/>
    <w:uiPriority w:val="99"/>
    <w:rsid w:val="001A7BC4"/>
    <w:rPr>
      <w:b/>
      <w:bCs/>
      <w:sz w:val="23"/>
      <w:szCs w:val="23"/>
      <w:shd w:val="clear" w:color="auto" w:fill="FFFFFF"/>
    </w:rPr>
  </w:style>
  <w:style w:type="paragraph" w:customStyle="1" w:styleId="30">
    <w:name w:val="Заглавие #3"/>
    <w:basedOn w:val="Normal"/>
    <w:link w:val="3"/>
    <w:uiPriority w:val="99"/>
    <w:rsid w:val="001A7BC4"/>
    <w:pPr>
      <w:shd w:val="clear" w:color="auto" w:fill="FFFFFF"/>
      <w:spacing w:line="413" w:lineRule="exact"/>
      <w:outlineLvl w:val="2"/>
    </w:pPr>
    <w:rPr>
      <w:rFonts w:asciiTheme="minorHAnsi" w:eastAsiaTheme="minorHAnsi" w:hAnsiTheme="minorHAnsi" w:cstheme="minorBidi"/>
      <w:b/>
      <w:bCs/>
      <w:sz w:val="23"/>
      <w:szCs w:val="23"/>
      <w:lang w:val="en-US"/>
    </w:rPr>
  </w:style>
  <w:style w:type="character" w:styleId="CommentReference">
    <w:name w:val="annotation reference"/>
    <w:rsid w:val="007F438F"/>
    <w:rPr>
      <w:sz w:val="16"/>
      <w:szCs w:val="16"/>
    </w:rPr>
  </w:style>
  <w:style w:type="paragraph" w:styleId="CommentText">
    <w:name w:val="annotation text"/>
    <w:basedOn w:val="Normal"/>
    <w:link w:val="CommentTextChar"/>
    <w:rsid w:val="007F438F"/>
    <w:pPr>
      <w:overflowPunct w:val="0"/>
      <w:autoSpaceDE w:val="0"/>
      <w:autoSpaceDN w:val="0"/>
      <w:adjustRightInd w:val="0"/>
      <w:textAlignment w:val="baseline"/>
    </w:pPr>
    <w:rPr>
      <w:rFonts w:ascii="Arial" w:hAnsi="Arial"/>
      <w:sz w:val="20"/>
      <w:szCs w:val="20"/>
      <w:lang w:val="en-US"/>
    </w:rPr>
  </w:style>
  <w:style w:type="character" w:customStyle="1" w:styleId="CommentTextChar">
    <w:name w:val="Comment Text Char"/>
    <w:basedOn w:val="DefaultParagraphFont"/>
    <w:link w:val="CommentText"/>
    <w:rsid w:val="007F438F"/>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7F438F"/>
    <w:rPr>
      <w:rFonts w:ascii="Tahoma" w:hAnsi="Tahoma" w:cs="Tahoma"/>
      <w:sz w:val="16"/>
      <w:szCs w:val="16"/>
    </w:rPr>
  </w:style>
  <w:style w:type="character" w:customStyle="1" w:styleId="BalloonTextChar">
    <w:name w:val="Balloon Text Char"/>
    <w:basedOn w:val="DefaultParagraphFont"/>
    <w:link w:val="BalloonText"/>
    <w:uiPriority w:val="99"/>
    <w:semiHidden/>
    <w:rsid w:val="007F438F"/>
    <w:rPr>
      <w:rFonts w:ascii="Tahoma" w:eastAsia="Times New Roman" w:hAnsi="Tahoma" w:cs="Tahoma"/>
      <w:sz w:val="16"/>
      <w:szCs w:val="16"/>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C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лавие #3_"/>
    <w:link w:val="30"/>
    <w:uiPriority w:val="99"/>
    <w:rsid w:val="001A7BC4"/>
    <w:rPr>
      <w:b/>
      <w:bCs/>
      <w:sz w:val="23"/>
      <w:szCs w:val="23"/>
      <w:shd w:val="clear" w:color="auto" w:fill="FFFFFF"/>
    </w:rPr>
  </w:style>
  <w:style w:type="paragraph" w:customStyle="1" w:styleId="30">
    <w:name w:val="Заглавие #3"/>
    <w:basedOn w:val="Normal"/>
    <w:link w:val="3"/>
    <w:uiPriority w:val="99"/>
    <w:rsid w:val="001A7BC4"/>
    <w:pPr>
      <w:shd w:val="clear" w:color="auto" w:fill="FFFFFF"/>
      <w:spacing w:line="413" w:lineRule="exact"/>
      <w:outlineLvl w:val="2"/>
    </w:pPr>
    <w:rPr>
      <w:rFonts w:asciiTheme="minorHAnsi" w:eastAsiaTheme="minorHAnsi" w:hAnsiTheme="minorHAnsi" w:cstheme="minorBidi"/>
      <w:b/>
      <w:bCs/>
      <w:sz w:val="23"/>
      <w:szCs w:val="23"/>
      <w:lang w:val="en-US"/>
    </w:rPr>
  </w:style>
  <w:style w:type="character" w:styleId="CommentReference">
    <w:name w:val="annotation reference"/>
    <w:rsid w:val="007F438F"/>
    <w:rPr>
      <w:sz w:val="16"/>
      <w:szCs w:val="16"/>
    </w:rPr>
  </w:style>
  <w:style w:type="paragraph" w:styleId="CommentText">
    <w:name w:val="annotation text"/>
    <w:basedOn w:val="Normal"/>
    <w:link w:val="CommentTextChar"/>
    <w:rsid w:val="007F438F"/>
    <w:pPr>
      <w:overflowPunct w:val="0"/>
      <w:autoSpaceDE w:val="0"/>
      <w:autoSpaceDN w:val="0"/>
      <w:adjustRightInd w:val="0"/>
      <w:textAlignment w:val="baseline"/>
    </w:pPr>
    <w:rPr>
      <w:rFonts w:ascii="Arial" w:hAnsi="Arial"/>
      <w:sz w:val="20"/>
      <w:szCs w:val="20"/>
      <w:lang w:val="en-US"/>
    </w:rPr>
  </w:style>
  <w:style w:type="character" w:customStyle="1" w:styleId="CommentTextChar">
    <w:name w:val="Comment Text Char"/>
    <w:basedOn w:val="DefaultParagraphFont"/>
    <w:link w:val="CommentText"/>
    <w:rsid w:val="007F438F"/>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7F438F"/>
    <w:rPr>
      <w:rFonts w:ascii="Tahoma" w:hAnsi="Tahoma" w:cs="Tahoma"/>
      <w:sz w:val="16"/>
      <w:szCs w:val="16"/>
    </w:rPr>
  </w:style>
  <w:style w:type="character" w:customStyle="1" w:styleId="BalloonTextChar">
    <w:name w:val="Balloon Text Char"/>
    <w:basedOn w:val="DefaultParagraphFont"/>
    <w:link w:val="BalloonText"/>
    <w:uiPriority w:val="99"/>
    <w:semiHidden/>
    <w:rsid w:val="007F438F"/>
    <w:rPr>
      <w:rFonts w:ascii="Tahoma" w:eastAsia="Times New Roman" w:hAnsi="Tahoma" w:cs="Tahoma"/>
      <w:sz w:val="16"/>
      <w:szCs w:val="16"/>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628</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Draganova</dc:creator>
  <cp:lastModifiedBy>Evelina Stoyanova</cp:lastModifiedBy>
  <cp:revision>17</cp:revision>
  <dcterms:created xsi:type="dcterms:W3CDTF">2017-07-05T07:04:00Z</dcterms:created>
  <dcterms:modified xsi:type="dcterms:W3CDTF">2017-10-06T08:21:00Z</dcterms:modified>
</cp:coreProperties>
</file>